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(DePIN), DeFi, infrastructure, and</w:t>
      </w:r>
      <w:r>
        <w:t xml:space="preserve"> </w:t>
      </w:r>
      <w:r>
        <w:t xml:space="preserve">social token categories documents that team and investor allocation at</w:t>
      </w:r>
      <w:r>
        <w:t xml:space="preserve"> </w:t>
      </w:r>
      <w:r>
        <w:t xml:space="preserve">launch is uninformative about post-distribution governance concentration</w:t>
      </w:r>
      <w:r>
        <w:t xml:space="preserve"> </w:t>
      </w:r>
      <w:r>
        <w:t xml:space="preserve">(Pearson r = 0.17, p = 0.32, N = 37): protocols with generous community</w:t>
      </w:r>
      <w:r>
        <w:t xml:space="preserve"> </w:t>
      </w:r>
      <w:r>
        <w:t xml:space="preserve">distributions exhibit concentration patterns similar to those with heavy</w:t>
      </w:r>
      <w:r>
        <w:t xml:space="preserve"> </w:t>
      </w:r>
      <w:r>
        <w:t xml:space="preserve">insider allocations. Hyperliquid (zero venture capital, 31% community</w:t>
      </w:r>
      <w:r>
        <w:t xml:space="preserve"> </w:t>
      </w:r>
      <w:r>
        <w:t xml:space="preserve">airdrop) shows the lowest DeFi-subsample Herfindahl-Hirschman Index</w:t>
      </w:r>
      <w:r>
        <w:t xml:space="preserve"> </w:t>
      </w:r>
      <w:r>
        <w:t xml:space="preserve">(HHI) of 0.005, but the broader null holds across allocation designs.</w:t>
      </w:r>
      <w:r>
        <w:t xml:space="preserve"> </w:t>
      </w:r>
      <w:r>
        <w:t xml:space="preserve">Evidence is consistent with post-distribution market dynamics shaping</w:t>
      </w:r>
      <w:r>
        <w:t xml:space="preserve"> </w:t>
      </w:r>
      <w:r>
        <w:t xml:space="preserve">concentration more than initial structural design.</w:t>
      </w:r>
    </w:p>
    <w:p>
      <w:pPr>
        <w:pStyle w:val="BodyText"/>
      </w:pPr>
      <w:r>
        <w:t xml:space="preserve">Four supporting findings sharpen the picture. First, protocols with more</w:t>
      </w:r>
      <w:r>
        <w:t xml:space="preserve"> </w:t>
      </w:r>
      <w:r>
        <w:t xml:space="preserve">insider wallets in their top-holder sets exhibit higher concentration</w:t>
      </w:r>
      <w:r>
        <w:t xml:space="preserve"> </w:t>
      </w:r>
      <w:r>
        <w:t xml:space="preserve">among non-insider holders (Spearman rho = 0.54, p = 0.001, N = 34):</w:t>
      </w:r>
      <w:r>
        <w:t xml:space="preserve"> </w:t>
      </w:r>
      <w:r>
        <w:t xml:space="preserve">insider-heavy protocols develop concentrated governance ecosystems, not</w:t>
      </w:r>
      <w:r>
        <w:t xml:space="preserve"> </w:t>
      </w:r>
      <w:r>
        <w:t xml:space="preserve">merely concentrated insider positions. Second, sector membership</w:t>
      </w:r>
      <w:r>
        <w:t xml:space="preserve"> </w:t>
      </w:r>
      <w:r>
        <w:t xml:space="preserve">predicts concentration: DePIN exceeds DeFi (Mann-Whitney p = 0.016,</w:t>
      </w:r>
      <w:r>
        <w:t xml:space="preserve"> </w:t>
      </w:r>
      <w:r>
        <w:t xml:space="preserve">Cohen’s d = 1.03), and the effect survives across three nested OLS</w:t>
      </w:r>
      <w:r>
        <w:t xml:space="preserve"> </w:t>
      </w:r>
      <w:r>
        <w:t xml:space="preserve">specifications adding protocol age, log fully diluted valuation (FDV),</w:t>
      </w:r>
      <w:r>
        <w:t xml:space="preserve"> </w:t>
      </w:r>
      <w:r>
        <w:t xml:space="preserve">and initial insider allocation as successive controls (sector</w:t>
      </w:r>
      <w:r>
        <w:t xml:space="preserve"> </w:t>
      </w:r>
      <w:r>
        <w:t xml:space="preserve">coefficient p &lt; 0.05 in Models 1 and 2, just above the conventional</w:t>
      </w:r>
      <w:r>
        <w:t xml:space="preserve"> </w:t>
      </w:r>
      <w:r>
        <w:t xml:space="preserve">threshold at p = 0.060 in Model 3 with the full control set;</w:t>
      </w:r>
      <w:r>
        <w:t xml:space="preserve"> </w:t>
      </w:r>
      <w:r>
        <w:t xml:space="preserve">adjusted R² 0.15 to 0.19; Table 6).</w:t>
      </w:r>
      <w:r>
        <w:t xml:space="preserve"> </w:t>
      </w:r>
      <w:r>
        <w:t xml:space="preserve">Third, on-chain subsidy intensity correlates with concentration in</w:t>
      </w:r>
      <w:r>
        <w:t xml:space="preserve"> </w:t>
      </w:r>
      <w:r>
        <w:t xml:space="preserve">levels (r = 0.57, p = 0.008, N = 20) but entirely through Livepeer</w:t>
      </w:r>
      <w:r>
        <w:t xml:space="preserve"> </w:t>
      </w:r>
      <w:r>
        <w:t xml:space="preserve">(88.5x subsidy); excluding Livepeer yields r = 0.11, p = 0.65. Fourth,</w:t>
      </w:r>
      <w:r>
        <w:t xml:space="preserve"> </w:t>
      </w:r>
      <w:r>
        <w:t xml:space="preserve">delegation concentrates governance power above the level measured from</w:t>
      </w:r>
      <w:r>
        <w:t xml:space="preserve"> </w:t>
      </w:r>
      <w:r>
        <w:t xml:space="preserve">token holdings in nine of ten protocols sampled (voting-power HHI</w:t>
      </w:r>
      <w:r>
        <w:t xml:space="preserve"> </w:t>
      </w:r>
      <w:r>
        <w:t xml:space="preserve">exceeds holding HHI by factors of 1.2x to 11.4x),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holders systematically delegate to a broad community-delegate set).</w:t>
      </w:r>
      <w:r>
        <w:t xml:space="preserve"> </w:t>
      </w:r>
      <w:r>
        <w:t xml:space="preserve">Two further vote-escrowed protocols (Curve and Balancer) show extreme</w:t>
      </w:r>
      <w:r>
        <w:t xml:space="preserve"> </w:t>
      </w:r>
      <w:r>
        <w:t xml:space="preserve">amplification (15x and 21x) under ve-token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non-ve-token sample is not predicted by sector or governance venue</w:t>
      </w:r>
      <w:r>
        <w:t xml:space="preserve"> </w:t>
      </w:r>
      <w:r>
        <w:t xml:space="preserve">(Tally on-chain versus Snapshot off-chain), consistent with</w:t>
      </w:r>
      <w:r>
        <w:t xml:space="preserve"> </w:t>
      </w:r>
      <w:r>
        <w:t xml:space="preserve">institutional design at the delegate-program level governing both the</w:t>
      </w:r>
      <w:r>
        <w:t xml:space="preserve"> </w:t>
      </w:r>
      <w:r>
        <w:t xml:space="preserve">direction and magnitude of delegation’s 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(Gini, dispersion across all holders) and governance concentration (HHI,</w:t>
      </w:r>
      <w:r>
        <w:t xml:space="preserve"> </w:t>
      </w:r>
      <w:r>
        <w:t xml:space="preserve">sum of squared top-holder shares) capture distinct properties of the</w:t>
      </w:r>
      <w:r>
        <w:t xml:space="preserve"> </w:t>
      </w:r>
      <w:r>
        <w:t xml:space="preserve">same holder set. Inequality is severe in every protocol (Gini 0.52 to</w:t>
      </w:r>
      <w:r>
        <w:t xml:space="preserve"> </w:t>
      </w:r>
      <w:r>
        <w:t xml:space="preserve">0.99), while concentration varies across two orders of magnitude (HHI</w:t>
      </w:r>
      <w:r>
        <w:t xml:space="preserve"> </w:t>
      </w:r>
      <w:r>
        <w:t xml:space="preserve">0.005 to 0.199); the moderate correlation (r = 0.51) confirms that</w:t>
      </w:r>
      <w:r>
        <w:t xml:space="preserve"> </w:t>
      </w:r>
      <w:r>
        <w:t xml:space="preserve">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Three protocols with near-identical subsidy ratios exhibit governance</w:t>
      </w:r>
      <w:r>
        <w:t xml:space="preserve"> </w:t>
      </w:r>
      <w:r>
        <w:t xml:space="preserve">HHI spanning 0.013 to 0.209: financial sustainability is neither</w:t>
      </w:r>
      <w:r>
        <w:t xml:space="preserve"> </w:t>
      </w:r>
      <w:r>
        <w:t xml:space="preserve">necessary nor sufficient for governance decentralization (Section 3.4).</w:t>
      </w:r>
      <w:r>
        <w:t xml:space="preserve"> </w:t>
      </w:r>
      <w:r>
        <w:t xml:space="preserve">Governance concentration is a secondary market outcome, shaped by</w:t>
      </w:r>
      <w:r>
        <w:t xml:space="preserve"> </w:t>
      </w:r>
      <w:r>
        <w:t xml:space="preserve">post-distribution trading and accumulation dynamics that neither</w:t>
      </w:r>
      <w:r>
        <w:t xml:space="preserve"> </w:t>
      </w:r>
      <w:r>
        <w:t xml:space="preserve">allocation design nor protocol 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69</w:t>
      </w:r>
      <w:r>
        <w:t xml:space="preserve"> </w:t>
      </w:r>
      <w:r>
        <w:t xml:space="preserve">protocol-controlled addresses (staking contracts, exchange custodians,</w:t>
      </w:r>
      <w:r>
        <w:t xml:space="preserve"> </w:t>
      </w:r>
      <w:r>
        <w:t xml:space="preserve">vesting locks, and protocol treasuries) from HHI computation, and test</w:t>
      </w:r>
      <w:r>
        <w:t xml:space="preserve"> </w:t>
      </w:r>
      <w:r>
        <w:t xml:space="preserve">every available cross-sectional predictor of concentration using both</w:t>
      </w:r>
      <w:r>
        <w:t xml:space="preserve"> </w:t>
      </w:r>
      <w:r>
        <w:t xml:space="preserve">parametric and 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38 protocols, 126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0.016, Cohen’s d = 1.03),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1.2x (GMX), 2.8x</w:t>
      </w:r>
      <w:r>
        <w:t xml:space="preserve"> </w:t>
      </w:r>
      <w:r>
        <w:t xml:space="preserve">(Uniswap), 3.3x (WeatherXM), 3.6x (Optimism), 4.4x (Arbitrum), 5.7x</w:t>
      </w:r>
      <w:r>
        <w:t xml:space="preserve"> </w:t>
      </w:r>
      <w:r>
        <w:t xml:space="preserve">(Compound), 5.9x (Aave), 9.1x (DIMO), and 11.4x (Lido). One protocol</w:t>
      </w:r>
      <w:r>
        <w:t xml:space="preserve"> </w:t>
      </w:r>
      <w:r>
        <w:t xml:space="preserve">(ENS) shows delegation-mediated dispersion at ratio 0.39x,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The two protocols previously cited as</w:t>
      </w:r>
      <w:r>
        <w:t xml:space="preserve"> </w:t>
      </w:r>
      <w:r>
        <w:t xml:space="preserve">showing dispersion (Uniswap, Optimism) do so only when holding HHI is</w:t>
      </w:r>
      <w:r>
        <w:t xml:space="preserve"> </w:t>
      </w:r>
      <w:r>
        <w:t xml:space="preserve">measured without excluding addresses that cannot vote, such as burn</w:t>
      </w:r>
      <w:r>
        <w:t xml:space="preserve"> </w:t>
      </w:r>
      <w:r>
        <w:t xml:space="preserve">wallets and foundation treasuries; once those exclusions are applied</w:t>
      </w:r>
      <w:r>
        <w:t xml:space="preserve"> </w:t>
      </w:r>
      <w:r>
        <w:t xml:space="preserve">consistently with Table 4, both protocols join the amplification</w:t>
      </w:r>
      <w:r>
        <w:t xml:space="preserve"> </w:t>
      </w:r>
      <w:r>
        <w:t xml:space="preserve">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secure)</w:t>
      </w:r>
      <w:r>
        <w:t xml:space="preserve"> </w:t>
      </w:r>
      <w:r>
        <w:t xml:space="preserve">from the operational mechanism Layer 2 (what is observable in protocol</w:t>
      </w:r>
      <w:r>
        <w:t xml:space="preserve"> </w:t>
      </w:r>
      <w:r>
        <w:t xml:space="preserve">design and scored in Table 1).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(burn destinations;</w:t>
      </w:r>
      <w:r>
        <w:t xml:space="preserve"> </w:t>
      </w:r>
      <w:r>
        <w:t xml:space="preserve">foundation and treasury custody; staking-aggregation contracts; bridge</w:t>
      </w:r>
      <w:r>
        <w:t xml:space="preserve"> </w:t>
      </w:r>
      <w:r>
        <w:t xml:space="preserve">custody and migration addresses), supporting uniform replication and</w:t>
      </w:r>
      <w:r>
        <w:t xml:space="preserve"> </w:t>
      </w:r>
      <w:r>
        <w:t xml:space="preserve">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limitations"/>
    <w:p>
      <w:pPr>
        <w:pStyle w:val="Heading3"/>
      </w:pPr>
      <w:r>
        <w:t xml:space="preserve">1.4.3 Limitations</w:t>
      </w:r>
    </w:p>
    <w:p>
      <w:pPr>
        <w:pStyle w:val="FirstParagraph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0.013)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126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0.013;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0.027, Grass 0.035, DIMO</w:t>
      </w:r>
      <w:r>
        <w:t xml:space="preserve"> </w:t>
      </w:r>
      <w:r>
        <w:t xml:space="preserve">0.025, Anyone 0.013, Filecoin 0.022)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Subsequent Tally and Snapshot</w:t>
      </w:r>
      <w:r>
        <w:t xml:space="preserve"> </w:t>
      </w:r>
      <w:r>
        <w:t xml:space="preserve">API queries during the R2 revision cycle (May 2026) confirmed that</w:t>
      </w:r>
      <w:r>
        <w:t xml:space="preserve"> </w:t>
      </w:r>
      <w:r>
        <w:t xml:space="preserve">voting-power distributions can drift materially over multi-month</w:t>
      </w:r>
      <w:r>
        <w:t xml:space="preserve"> </w:t>
      </w:r>
      <w:r>
        <w:t xml:space="preserve">windows: a fresh Compound Tally pull in May 2026 returned roughly 120</w:t>
      </w:r>
      <w:r>
        <w:t xml:space="preserve"> </w:t>
      </w:r>
      <w:r>
        <w:t xml:space="preserve">delegates with non-zero voting power, compared with the 100-delegate</w:t>
      </w:r>
      <w:r>
        <w:t xml:space="preserve"> </w:t>
      </w:r>
      <w:r>
        <w:t xml:space="preserve">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(113 addresses across 38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(0.013);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(3.6x).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3.6x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five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126 PCA addresses across</w:t>
      </w:r>
      <w:r>
        <w:t xml:space="preserve"> </w:t>
      </w:r>
      <w:r>
        <w:t xml:space="preserve">22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08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2.10).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75</w:t>
      </w:r>
      <w:r>
        <w:t xml:space="preserve"> </w:t>
      </w:r>
      <w:r>
        <w:t xml:space="preserve">protocol-controlled addresses across 38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86 protocol-controlled addresses excluded across 38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 (ATH)</w:t>
      </w:r>
      <w:r>
        <w:rPr>
          <w:i/>
          <w:iCs/>
        </w:rPr>
        <w:t xml:space="preserve"> </w:t>
      </w:r>
      <w:r>
        <w:rPr>
          <w:i/>
          <w:iCs/>
        </w:rPr>
        <w:t xml:space="preserve">appear as full Table 4 rows above following supplementary</w:t>
      </w:r>
      <w:r>
        <w:rPr>
          <w:i/>
          <w:iCs/>
        </w:rPr>
        <w:t xml:space="preserve"> </w:t>
      </w:r>
      <w:r>
        <w:rPr>
          <w:i/>
          <w:iCs/>
        </w:rPr>
        <w:t xml:space="preserve">holder-list collection in the R2 cycle: Hivemapper and io.net via</w:t>
      </w:r>
      <w:r>
        <w:rPr>
          <w:i/>
          <w:iCs/>
        </w:rPr>
        <w:t xml:space="preserve"> </w:t>
      </w:r>
      <w:r>
        <w:rPr>
          <w:i/>
          <w:iCs/>
        </w:rPr>
        <w:t xml:space="preserve">Helius DAS API (90,680 HONEY holders; 84,861 IO holders); Aethir via</w:t>
      </w:r>
      <w:r>
        <w:rPr>
          <w:i/>
          <w:iCs/>
        </w:rPr>
        <w:t xml:space="preserve"> </w:t>
      </w:r>
      <w:r>
        <w:rPr>
          <w:i/>
          <w:iCs/>
        </w:rPr>
        <w:t xml:space="preserve">Dune erc20_ethereum.evt_transfer net-balance aggregation (1,000</w:t>
      </w:r>
      <w:r>
        <w:rPr>
          <w:i/>
          <w:iCs/>
        </w:rPr>
        <w:t xml:space="preserve"> </w:t>
      </w:r>
      <w:r>
        <w:rPr>
          <w:i/>
          <w:iCs/>
        </w:rPr>
        <w:t xml:space="preserve">holders pulled). All three were footnote-only in the R1 submission</w:t>
      </w:r>
      <w:r>
        <w:rPr>
          <w:i/>
          <w:iCs/>
        </w:rPr>
        <w:t xml:space="preserve"> </w:t>
      </w:r>
      <w:r>
        <w:rPr>
          <w:i/>
          <w:iCs/>
        </w:rPr>
        <w:t xml:space="preserve">because the original Dune holder-list extraction did not include them.</w:t>
      </w:r>
      <w:r>
        <w:rPr>
          <w:i/>
          <w:iCs/>
        </w:rPr>
        <w:t xml:space="preserve"> </w:t>
      </w:r>
      <w:r>
        <w:rPr>
          <w:i/>
          <w:iCs/>
        </w:rPr>
        <w:t xml:space="preserve">The Aethir HHI (0.209) reported here reflects the R2 recomputation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May 2026 Dune top-1000 pull (holders_ATH_2026-05-17.csv); the</w:t>
      </w:r>
      <w:r>
        <w:rPr>
          <w:i/>
          <w:iCs/>
        </w:rPr>
        <w:t xml:space="preserve"> </w:t>
      </w:r>
      <w:r>
        <w:rPr>
          <w:i/>
          <w:iCs/>
        </w:rPr>
        <w:t xml:space="preserve">R1 footnote value of 0.168 was based on the March 2026 cascade</w:t>
      </w:r>
      <w:r>
        <w:rPr>
          <w:i/>
          <w:iCs/>
        </w:rPr>
        <w:t xml:space="preserve"> </w:t>
      </w:r>
      <w:r>
        <w:rPr>
          <w:i/>
          <w:iCs/>
        </w:rPr>
        <w:t xml:space="preserve">snapshot. The R2 value (0.209) supersedes earlier interim estimates</w:t>
      </w:r>
      <w:r>
        <w:rPr>
          <w:i/>
          <w:iCs/>
        </w:rPr>
        <w:t xml:space="preserve"> </w:t>
      </w:r>
      <w:r>
        <w:rPr>
          <w:i/>
          <w:iCs/>
        </w:rPr>
        <w:t xml:space="preserve">(including 0.153 cited in earlier R2 drafts) per the universal ATH</w:t>
      </w:r>
      <w:r>
        <w:rPr>
          <w:i/>
          <w:iCs/>
        </w:rPr>
        <w:t xml:space="preserve"> </w:t>
      </w:r>
      <w:r>
        <w:rPr>
          <w:i/>
          <w:iCs/>
        </w:rPr>
        <w:t xml:space="preserve">Top-N% convention codified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roughly twice the governance concentration of DeFi</w:t>
      </w:r>
      <w:r>
        <w:t xml:space="preserve"> </w:t>
      </w:r>
      <w:r>
        <w:t xml:space="preserve">protocols (mean HHI 0.085 vs. 0.031; Mann-Whitney p = 0.016, Cohen’s d =</w:t>
      </w:r>
      <w:r>
        <w:t xml:space="preserve"> </w:t>
      </w:r>
      <w:r>
        <w:t xml:space="preserve">1.03, N = 15/15). The gap holds after adjusting for protocol age,</w:t>
      </w:r>
      <w:r>
        <w:t xml:space="preserve"> </w:t>
      </w:r>
      <w:r>
        <w:t xml:space="preserve">valuation, and insider allocation (Table 6, Models 1-3).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iterations, and a</w:t>
      </w:r>
      <w:r>
        <w:t xml:space="preserve"> </w:t>
      </w:r>
      <w:r>
        <w:t xml:space="preserve">two-sided permutation test (100,000 random reassignments of sector</w:t>
      </w:r>
      <w:r>
        <w:t xml:space="preserve"> </w:t>
      </w:r>
      <w:r>
        <w:t xml:space="preserve">labels) yields p = 0.008.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(0.085) exceeds DeFi mean (0.031),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0.016, d = 1.03)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0.027, N=8): Welch t-test p = 0.008,</w:t>
      </w:r>
      <w:r>
        <w:t xml:space="preserve"> </w:t>
      </w:r>
      <w:r>
        <w:t xml:space="preserve">Cohen’s d = 1.00; Mann-Whitney p = 0.019.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0.009) and MakerDAO (2017, HHI 0.040) are older than</w:t>
      </w:r>
      <w:r>
        <w:t xml:space="preserve"> </w:t>
      </w:r>
      <w:r>
        <w:t xml:space="preserve">DIMO (2022, HHI 0.025)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0.013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0.17, p = 0.32,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0.17, p = 0.32)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(Lido at 0.008 is the second-lowest after the post-PCA-audit</w:t>
      </w:r>
      <w:r>
        <w:t xml:space="preserve"> </w:t>
      </w:r>
      <w:r>
        <w:t xml:space="preserve">exclusions, and Compound at 0.009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0.025, 0.209, and 0.013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0.053, p = 0.008, N = 38; Model</w:t>
      </w:r>
      <w:r>
        <w:t xml:space="preserve"> </w:t>
      </w:r>
      <w:r>
        <w:t xml:space="preserve">2: 0.053, p = 0.036, N = 36) and just above the conventional 0.05</w:t>
      </w:r>
      <w:r>
        <w:t xml:space="preserve"> </w:t>
      </w:r>
      <w:r>
        <w:t xml:space="preserve">threshold in Model 3 (0.054, p = 0.060, N = 35). No other covariate</w:t>
      </w:r>
      <w:r>
        <w:t xml:space="preserve"> </w:t>
      </w:r>
      <w:r>
        <w:t xml:space="preserve">achieves p &lt; 0.10. In particular, the initial insider allocation</w:t>
      </w:r>
      <w:r>
        <w:t xml:space="preserve"> </w:t>
      </w:r>
      <w:r>
        <w:t xml:space="preserve">percentage used as a Table 6 covariate is not significant, consistent</w:t>
      </w:r>
      <w:r>
        <w:t xml:space="preserve"> </w:t>
      </w:r>
      <w:r>
        <w:t xml:space="preserve">with the bivariate null in Table 5. This is distinct from the current</w:t>
      </w:r>
      <w:r>
        <w:t xml:space="preserve"> </w:t>
      </w:r>
      <w:r>
        <w:t xml:space="preserve">insider-retention measure reported in Section 3.4 (Spearman rho = 0.48),</w:t>
      </w:r>
      <w:r>
        <w:t xml:space="preserve"> </w:t>
      </w:r>
      <w:r>
        <w:t xml:space="preserve">which counts how many of a protocol's top-10 holders are insiders</w:t>
      </w:r>
      <w:r>
        <w:t xml:space="preserve"> </w:t>
      </w:r>
      <w:r>
        <w:t xml:space="preserve">rather than measuring the share of supply allocated to insiders at</w:t>
      </w:r>
      <w:r>
        <w:t xml:space="preserve"> </w:t>
      </w:r>
      <w:r>
        <w:t xml:space="preserve">launch. The adjusted R-squared ranges from 0.15 to 0.19, indicating</w:t>
      </w:r>
      <w:r>
        <w:t xml:space="preserve"> </w:t>
      </w:r>
      <w:r>
        <w:t xml:space="preserve">that sector membership accounts for more cross-sectional variation than</w:t>
      </w:r>
      <w:r>
        <w:t xml:space="preserve"> </w:t>
      </w:r>
      <w:r>
        <w:t xml:space="preserve">protocol age, valuation, or 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governance concentration above holding levels</w:t>
      </w:r>
      <w:r>
        <w:t xml:space="preserve"> </w:t>
      </w:r>
      <w:r>
        <w:t xml:space="preserve">across nearly every protocol sampled, with amplification ratios ranging</w:t>
      </w:r>
      <w:r>
        <w:t xml:space="preserve"> </w:t>
      </w:r>
      <w:r>
        <w:t xml:space="preserve">from 1.2x to 11.4x (mean 5.3x) and a single structural exception (ENS)</w:t>
      </w:r>
      <w:r>
        <w:t xml:space="preserve"> </w:t>
      </w:r>
      <w:r>
        <w:t xml:space="preserve">where a mature delegate program disperses voting power below the</w:t>
      </w:r>
      <w:r>
        <w:t xml:space="preserve"> </w:t>
      </w:r>
      <w:r>
        <w:t xml:space="preserve">holding baseline (Table 7).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 in the Tier B1 expansion,</w:t>
      </w:r>
      <w:r>
        <w:t xml:space="preserve"> </w:t>
      </w:r>
      <w:r>
        <w:t xml:space="preserve">yielding 10 protocols with sufficient governance activity in the 12</w:t>
      </w:r>
      <w:r>
        <w:t xml:space="preserve"> </w:t>
      </w:r>
      <w:r>
        <w:t xml:space="preserve">months preceding the 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0.39x),</w:t>
      </w:r>
      <w:r>
        <w:t xml:space="preserve"> </w:t>
      </w:r>
      <w:r>
        <w:t xml:space="preserve">with amplification ratios ranging from 1.2x (GMX) to 11.4x (Lido). The</w:t>
      </w:r>
      <w:r>
        <w:t xml:space="preserve"> </w:t>
      </w:r>
      <w:r>
        <w:t xml:space="preserve">amplification range within DeFi spans 1.2x (GMX) to 11.4x (Lido);</w:t>
      </w:r>
      <w:r>
        <w:t xml:space="preserve"> </w:t>
      </w:r>
      <w:r>
        <w:t xml:space="preserve">DePIN spans 3.3x (WeatherXM) to 9.1x (DIMO); infrastructure spans 3.6x</w:t>
      </w:r>
      <w:r>
        <w:t xml:space="preserve"> </w:t>
      </w:r>
      <w:r>
        <w:t xml:space="preserve">(Optimism) to 4.4x (Arbitrum). Sector membership does not predict how</w:t>
      </w:r>
      <w:r>
        <w:t xml:space="preserve"> </w:t>
      </w:r>
      <w:r>
        <w:t xml:space="preserve">strongly delegation concentrates power. Institutional design within</w:t>
      </w:r>
      <w:r>
        <w:t xml:space="preserve"> </w:t>
      </w:r>
      <w:r>
        <w:t xml:space="preserve">each delegate program does. DIMO’s voting HHI (0.228) is 9.1 times its</w:t>
      </w:r>
      <w:r>
        <w:t xml:space="preserve"> </w:t>
      </w:r>
      <w:r>
        <w:t xml:space="preserve">holding HHI (0.025), though this ratio is based on only 10 Snapshot</w:t>
      </w:r>
      <w:r>
        <w:t xml:space="preserve"> </w:t>
      </w:r>
      <w:r>
        <w:t xml:space="preserve">voters and should be interpreted with caution, and WeatherXM’s (0.486)</w:t>
      </w:r>
      <w:r>
        <w:t xml:space="preserve"> </w:t>
      </w:r>
      <w:r>
        <w:t xml:space="preserve">is 3.3 times its holding HHI (0.148). A small number of delegates,</w:t>
      </w:r>
      <w:r>
        <w:t xml:space="preserve"> </w:t>
      </w:r>
      <w:r>
        <w:t xml:space="preserve">likely foundation-affiliated or early-investor wallets, control</w:t>
      </w:r>
      <w:r>
        <w:t xml:space="preserve"> </w:t>
      </w:r>
      <w:r>
        <w:t xml:space="preserve">governance outcomes despite relatively 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five DeFi protocols sampled show delegation amplification, with</w:t>
      </w:r>
      <w:r>
        <w:t xml:space="preserve"> </w:t>
      </w:r>
      <w:r>
        <w:t xml:space="preserve">GMX (1.2x) and Uniswap (2.8x) at the lower end and Compound (5.7x),</w:t>
      </w:r>
      <w:r>
        <w:t xml:space="preserve"> </w:t>
      </w:r>
      <w:r>
        <w:t xml:space="preserve">Aave (5.9x), and Lido (11.4x) at the higher end. The Uniswap result is</w:t>
      </w:r>
      <w:r>
        <w:t xml:space="preserve"> </w:t>
      </w:r>
      <w:r>
        <w:t xml:space="preserve">worth examining in detail. Earlier analyses, using a holding HHI of</w:t>
      </w:r>
      <w:r>
        <w:t xml:space="preserve"> </w:t>
      </w:r>
      <w:r>
        <w:t xml:space="preserve">0.032, produced a voting/holding ratio of 0.84x and were cited as</w:t>
      </w:r>
      <w:r>
        <w:t xml:space="preserve"> </w:t>
      </w:r>
      <w:r>
        <w:t xml:space="preserve">evidence that Uniswap’s mature delegate ecosystem can disperse</w:t>
      </w:r>
      <w:r>
        <w:t xml:space="preserve"> </w:t>
      </w:r>
      <w:r>
        <w:t xml:space="preserve">governance power. That earlier HHI included the canonical UNI burn</w:t>
      </w:r>
      <w:r>
        <w:t xml:space="preserve"> </w:t>
      </w:r>
      <w:r>
        <w:t xml:space="preserve">address (0x000…000dead), which holds 102.5 million UNI (11.3 percent</w:t>
      </w:r>
      <w:r>
        <w:t xml:space="preserve"> </w:t>
      </w:r>
      <w:r>
        <w:t xml:space="preserve">of supply) inert and cannot participate in governance under any</w:t>
      </w:r>
      <w:r>
        <w:t xml:space="preserve"> </w:t>
      </w:r>
      <w:r>
        <w:t xml:space="preserve">condition: it has no delegate, no votes, and no path to ever cast one.</w:t>
      </w:r>
      <w:r>
        <w:t xml:space="preserve"> </w:t>
      </w:r>
      <w:r>
        <w:t xml:space="preserve">After excluding this burn address, the corrected holding HHI is 0.010,</w:t>
      </w:r>
      <w:r>
        <w:t xml:space="preserve"> </w:t>
      </w:r>
      <w:r>
        <w:t xml:space="preserve">and the voting/holding ratio is 2.8x.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3.6 times its corrected</w:t>
      </w:r>
      <w:r>
        <w:t xml:space="preserve"> </w:t>
      </w:r>
      <w:r>
        <w:t xml:space="preserve">holding HHI (0.009). Arbitrum’s voting HHI (0.052) is 4.4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3.6x to 4.4x range, which</w:t>
      </w:r>
      <w:r>
        <w:t xml:space="preserve"> </w:t>
      </w:r>
      <w:r>
        <w:t xml:space="preserve">sits below the cross-protocol mean (5.3x).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3.6x delegation amplification, below the</w:t>
      </w:r>
      <w:r>
        <w:t xml:space="preserve"> </w:t>
      </w:r>
      <w:r>
        <w:t xml:space="preserve">cross-protocol mean (5.3x) but consistent with the universal direction</w:t>
      </w:r>
      <w:r>
        <w:t xml:space="preserve"> </w:t>
      </w:r>
      <w:r>
        <w:t xml:space="preserve">of effect.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11.4x amplification, the highest in the cross-protocol sample,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amplification ratio measured from a curated active-governance holder</w:t>
      </w:r>
      <w:r>
        <w:t xml:space="preserve"> </w:t>
      </w:r>
      <w:r>
        <w:t xml:space="preserve">subset (N = 189; minimum balance threshold approximately 414K LDO).</w:t>
      </w:r>
      <w:r>
        <w:t xml:space="preserve"> </w:t>
      </w:r>
      <w:r>
        <w:t xml:space="preserve">Under the universal top-1000 holder methodology applied in this</w:t>
      </w:r>
      <w:r>
        <w:t xml:space="preserve"> </w:t>
      </w:r>
      <w:r>
        <w:t xml:space="preserve">manuscript with the full protocol-controlled-address audit (Section</w:t>
      </w:r>
      <w:r>
        <w:t xml:space="preserve"> </w:t>
      </w:r>
      <w:r>
        <w:t xml:space="preserve">2.10.10; Bybit and Binance custody addresses excluded as Class 5 CEX</w:t>
      </w:r>
      <w:r>
        <w:t xml:space="preserve"> </w:t>
      </w:r>
      <w:r>
        <w:t xml:space="preserve">custody), Lido’s amplification ratio is the most extreme in the</w:t>
      </w:r>
      <w:r>
        <w:t xml:space="preserve"> </w:t>
      </w:r>
      <w:r>
        <w:t xml:space="preserve">sample, and the direction (concentration above stake) is consistent</w:t>
      </w:r>
      <w:r>
        <w:t xml:space="preserve"> </w:t>
      </w:r>
      <w:r>
        <w:t xml:space="preserve">with the universal-amplification pattern documented across nine of ten</w:t>
      </w:r>
      <w:r>
        <w:t xml:space="preserve"> </w:t>
      </w:r>
      <w:r>
        <w:t xml:space="preserve">protocols.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1.2x (GMX)</w:t>
      </w:r>
      <w:r>
        <w:t xml:space="preserve"> </w:t>
      </w:r>
      <w:r>
        <w:t xml:space="preserve">to 11.4x (Lido) across the nine amplifying protocols; ENS at 0.39x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1.2x to 11.4x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1.2x to 11.4x; mean 5.3x); one protocol (ENS)</w:t>
      </w:r>
      <w:r>
        <w:rPr>
          <w:i/>
          <w:iCs/>
        </w:rPr>
        <w:t xml:space="preserve"> </w:t>
      </w:r>
      <w:r>
        <w:rPr>
          <w:i/>
          <w:iCs/>
        </w:rPr>
        <w:t xml:space="preserve">shows delegation-mediated dispersion (ratio 0.39x),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added in R2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original eight protocols) and May 2026 (used for GMX and ENS) is</w:t>
      </w:r>
      <w:r>
        <w:t xml:space="preserve"> </w:t>
      </w:r>
      <w:r>
        <w:t xml:space="preserve">documented in Section 2.10.3; rank-ordering across protocols is the</w:t>
      </w:r>
      <w:r>
        <w:t xml:space="preserve"> </w:t>
      </w:r>
      <w:r>
        <w:t xml:space="preserve">durable inferential property, with absolute magnitudes subject to</w:t>
      </w:r>
      <w:r>
        <w:t xml:space="preserve"> </w:t>
      </w:r>
      <w:r>
        <w:t xml:space="preserve">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0.39x; voting HHI 0.028 vs holding HHI 0.071, the latter</w:t>
      </w:r>
      <w:r>
        <w:t xml:space="preserve"> </w:t>
      </w:r>
      <w:r>
        <w:t xml:space="preserve">computed after the ENS DAO Wallet and Treasury PCA exclusions</w:t>
      </w:r>
      <w:r>
        <w:t xml:space="preserve"> </w:t>
      </w:r>
      <w:r>
        <w:t xml:space="preserve">codified in Section 2.10.10). The dispersion case is informative for</w:t>
      </w:r>
      <w:r>
        <w:t xml:space="preserve"> </w:t>
      </w:r>
      <w:r>
        <w:t xml:space="preserve">the framework’s institutional-design thesis because it provides an</w:t>
      </w:r>
      <w:r>
        <w:t xml:space="preserve"> </w:t>
      </w:r>
      <w:r>
        <w:t xml:space="preserve">existence-proof that delegation outcomes are design-tractable rather</w:t>
      </w:r>
      <w:r>
        <w:t xml:space="preserve"> </w:t>
      </w:r>
      <w:r>
        <w:t xml:space="preserve">than mechanism-inevitable. The ENS delegate program funds approximately</w:t>
      </w:r>
      <w:r>
        <w:t xml:space="preserve"> </w:t>
      </w:r>
      <w:r>
        <w:t xml:space="preserve">100 active delegates (including the ENS DAO ecosystem grants for</w:t>
      </w:r>
      <w:r>
        <w:t xml:space="preserve"> </w:t>
      </w:r>
      <w:r>
        <w:t xml:space="preserve">delegate work), and the top-100 delegate voting-power distribution is</w:t>
      </w:r>
      <w:r>
        <w:t xml:space="preserve"> </w:t>
      </w:r>
      <w:r>
        <w:t xml:space="preserve">structurally broader than the holding distribution: top-1 post-exclusion</w:t>
      </w:r>
      <w:r>
        <w:t xml:space="preserve"> </w:t>
      </w:r>
      <w:r>
        <w:t xml:space="preserve">holding share is 19.9%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Phase 0 Tier C1 analysis (Section 4.1; supplementary file</w:t>
      </w:r>
      <w:r>
        <w:t xml:space="preserve"> </w:t>
      </w:r>
      <w:r>
        <w:t xml:space="preserve">veCRV_voting_concentration_2026-05-17.csv).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1.2x-11.4x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pull (per Phase 0 Tier C1 fact-check).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07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 after the F1 holder-list correction). The subsidy correlation</w:t>
      </w:r>
      <w:r>
        <w:t xml:space="preserve"> </w:t>
      </w:r>
      <w:r>
        <w:t xml:space="preserve">is entirely driven by Livepeer. 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 after the F1 holder-list correction)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0.016, Cohen’s</w:t>
      </w:r>
      <w:r>
        <w:t xml:space="preserve"> </w:t>
      </w:r>
      <w:r>
        <w:t xml:space="preserve">d = 1.03) is robust to sample composition. The test remains significant</w:t>
      </w:r>
      <w:r>
        <w:t xml:space="preserve"> </w:t>
      </w:r>
      <w:r>
        <w:t xml:space="preserve">in all 30 of 30 leave-one-out iterations. Seven protocols, when</w:t>
      </w:r>
      <w:r>
        <w:t xml:space="preserve"> </w:t>
      </w:r>
      <w:r>
        <w:t xml:space="preserve">individually dropped, push the p-value to 0.052: Hyperliquid, Aethir,</w:t>
      </w:r>
      <w:r>
        <w:t xml:space="preserve"> </w:t>
      </w:r>
      <w:r>
        <w:t xml:space="preserve">Lido, POKT Network, GEODNET, Livepeer, and WeatherXM. No single protocol</w:t>
      </w:r>
      <w:r>
        <w:t xml:space="preserve"> </w:t>
      </w:r>
      <w:r>
        <w:t xml:space="preserve">uniquely drives the result; rather, the test sits near the 5% threshold</w:t>
      </w:r>
      <w:r>
        <w:t xml:space="preserve"> </w:t>
      </w:r>
      <w:r>
        <w:t xml:space="preserve">and is sensitive to the exact composition of both sector subsamples. A</w:t>
      </w:r>
      <w:r>
        <w:t xml:space="preserve"> </w:t>
      </w:r>
      <w:r>
        <w:t xml:space="preserve">permutation test (10,000 random reassignments of sector labels) yields p</w:t>
      </w:r>
      <w:r>
        <w:t xml:space="preserve"> </w:t>
      </w:r>
      <w:r>
        <w:t xml:space="preserve">= 0.009, consistent with the direction not being an artifact of the</w:t>
      </w:r>
      <w:r>
        <w:t xml:space="preserve"> </w:t>
      </w:r>
      <w:r>
        <w:t xml:space="preserve">asymptotic approximation. We characterize this finding as suggestive</w:t>
      </w:r>
      <w:r>
        <w:t xml:space="preserve"> </w:t>
      </w:r>
      <w:r>
        <w:t xml:space="preserve">rather than robust.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8.7x</w:t>
      </w:r>
      <w:r>
        <w:t xml:space="preserve"> </w:t>
      </w:r>
      <w:r>
        <w:t xml:space="preserve">to 5.8x.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5.9x to 3.5x.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R1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 and the F1 cycle refinements).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1.03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0.39x is the</w:t>
      </w:r>
      <w:r>
        <w:t xml:space="preserve"> </w:t>
      </w:r>
      <w:r>
        <w:t xml:space="preserve">structural exception), with mean amplification of 5.3x and the</w:t>
      </w:r>
      <w:r>
        <w:t xml:space="preserve"> </w:t>
      </w:r>
      <w:r>
        <w:t xml:space="preserve">smallest amplification (GMX at 1.2x)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1.03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The R1 F1 cycle surfaced a</w:t>
      </w:r>
      <w:r>
        <w:t xml:space="preserve"> </w:t>
      </w:r>
      <w:r>
        <w:t xml:space="preserve">methodological lesson with broad applicability: holder-list extraction</w:t>
      </w:r>
      <w:r>
        <w:t xml:space="preserve"> </w:t>
      </w:r>
      <w:r>
        <w:t xml:space="preserve">cutoffs materially affect the measured concentration for sparse-holder</w:t>
      </w:r>
      <w:r>
        <w:t xml:space="preserve"> </w:t>
      </w:r>
      <w:r>
        <w:t xml:space="preserve">protocols. For three protocols (MOR, AXL, ZRO), Dune holder-list</w:t>
      </w:r>
      <w:r>
        <w:t xml:space="preserve"> </w:t>
      </w:r>
      <w:r>
        <w:t xml:space="preserve">queries had been inadvertently capped at top-100 rather than top-1000;</w:t>
      </w:r>
      <w:r>
        <w:t xml:space="preserve"> </w:t>
      </w:r>
      <w:r>
        <w:t xml:space="preserve">re-pulling at the top-1000 cutoff after applying PCA exclusion methodology</w:t>
      </w:r>
      <w:r>
        <w:t xml:space="preserve"> </w:t>
      </w:r>
      <w:r>
        <w:t xml:space="preserve">yielded substantively different HHI values: MOR 0.013 to 0.031 (post-F1);</w:t>
      </w:r>
      <w:r>
        <w:t xml:space="preserve"> </w:t>
      </w:r>
      <w:r>
        <w:t xml:space="preserve">AXL 0.004 to 0.028 (post-F1); ZRO 0.010 to 0.015 (post-F1). The</w:t>
      </w:r>
      <w:r>
        <w:t xml:space="preserve"> </w:t>
      </w:r>
      <w:r>
        <w:t xml:space="preserve">correction affected the cross-sector test statistics (DePIN-vs-DeFi</w:t>
      </w:r>
      <w:r>
        <w:t xml:space="preserve"> </w:t>
      </w:r>
      <w:r>
        <w:t xml:space="preserve">Mann-Whitney p = 0.027 to 0.016; Cohen’s d = 1.02 to 1.10; leave-one-out</w:t>
      </w:r>
      <w:r>
        <w:t xml:space="preserve"> </w:t>
      </w:r>
      <w:r>
        <w:t xml:space="preserve">sensitivity 23-of-30 to 30-of-30).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bookmarkEnd w:id="107"/>
    <w:bookmarkEnd w:id="108"/>
    <w:bookmarkStart w:id="119" w:name="discussion"/>
    <w:p>
      <w:pPr>
        <w:pStyle w:val="Heading1"/>
      </w:pPr>
      <w:r>
        <w:t xml:space="preserve">4 Discussion</w:t>
      </w:r>
    </w:p>
    <w:bookmarkStart w:id="109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(0.209)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1.2x to 11.4x; mean for the</w:t>
      </w:r>
      <w:r>
        <w:t xml:space="preserve"> </w:t>
      </w:r>
      <w:r>
        <w:t xml:space="preserve">nine amplifying protocols 5.3x; one structural-exception protocol (ENS</w:t>
      </w:r>
      <w:r>
        <w:t xml:space="preserve"> </w:t>
      </w:r>
      <w:r>
        <w:t xml:space="preserve">at 0.39x)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0.013)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0.009)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0.17, p = 0.32,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1.2 times (GMX) to 11.4 times (Lido)</w:t>
      </w:r>
      <w:r>
        <w:t xml:space="preserve"> </w:t>
      </w:r>
      <w:r>
        <w:t xml:space="preserve">across the amplifying protocols (nine of ten; ENS at 0.39x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(3.6 times) and Arbitrum (4.4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09"/>
    <w:bookmarkStart w:id="110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0.040)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0"/>
    <w:bookmarkStart w:id="111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1"/>
    <w:bookmarkStart w:id="112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0.013)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2"/>
    <w:bookmarkStart w:id="113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0.016,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3"/>
    <w:bookmarkStart w:id="114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0.17, p = 0.32):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0.016, d = 1.03),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highest DePIN HHI</w:t>
      </w:r>
      <w:r>
        <w:t xml:space="preserve"> </w:t>
      </w:r>
      <w:r>
        <w:t xml:space="preserve">(0.209), while Hivemapper combines a 5.46x subsidy ratio with the lowest</w:t>
      </w:r>
      <w:r>
        <w:t xml:space="preserve"> </w:t>
      </w:r>
      <w:r>
        <w:t xml:space="preserve">HHI among expansion protocols (0.018).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0.15 and 0.19).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1.2x to 11.4x; mean 5.3x; Section 3.5),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4"/>
    <w:bookmarkStart w:id="115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126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after adjusting for protocol age, log fully diluted</w:t>
      </w:r>
      <w:r>
        <w:t xml:space="preserve"> </w:t>
      </w:r>
      <w:r>
        <w:t xml:space="preserve">valuation, and insider allocation (Mann-Whitney p = 0.016, Cohen’s</w:t>
      </w:r>
      <w:r>
        <w:t xml:space="preserve"> </w:t>
      </w:r>
      <w:r>
        <w:t xml:space="preserve">d = 1.03; Table 6: sector coefficient p &lt; 0.05 in Models 1 and 2,</w:t>
      </w:r>
      <w:r>
        <w:t xml:space="preserve"> </w:t>
      </w:r>
      <w:r>
        <w:t xml:space="preserve">just above the threshold at p = 0.060 in Model 3 with the full</w:t>
      </w:r>
      <w:r>
        <w:t xml:space="preserve"> </w:t>
      </w:r>
      <w:r>
        <w:t xml:space="preserve">control set).</w:t>
      </w:r>
      <w:r>
        <w:t xml:space="preserve"> </w:t>
      </w:r>
      <w:r>
        <w:t xml:space="preserve">Initial allocation, maturity, subsidy structure, and token unlock</w:t>
      </w:r>
      <w:r>
        <w:t xml:space="preserve"> </w:t>
      </w:r>
      <w:r>
        <w:t xml:space="preserve">progress (three float specifications, all |r| &lt; 0.05) do not</w:t>
      </w:r>
      <w:r>
        <w:t xml:space="preserve"> </w:t>
      </w:r>
      <w:r>
        <w:t xml:space="preserve">predict concentration. The allocation null is the headline finding;</w:t>
      </w:r>
      <w:r>
        <w:t xml:space="preserve"> </w:t>
      </w:r>
      <w:r>
        <w:t xml:space="preserve">the sector contrast is the headline positive result.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1.2x to 11.4x; mean</w:t>
      </w:r>
      <w:r>
        <w:t xml:space="preserve"> </w:t>
      </w:r>
      <w:r>
        <w:t xml:space="preserve">5.3x), with one structural exception (ENS at 0.39x).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0.071; delegation-mediated dispersion at</w:t>
      </w:r>
      <w:r>
        <w:t xml:space="preserve"> </w:t>
      </w:r>
      <w:r>
        <w:t xml:space="preserve">ratio 0.39x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5"/>
    <w:bookmarkStart w:id="116" w:name="limitations-1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carries several limitations. The governance concentration</w:t>
      </w:r>
      <w:r>
        <w:t xml:space="preserve"> </w:t>
      </w:r>
      <w:r>
        <w:t xml:space="preserve">analysis is a March 2026 snapshot: tracking concentration over time</w:t>
      </w:r>
      <w:r>
        <w:t xml:space="preserve"> </w:t>
      </w:r>
      <w:r>
        <w:t xml:space="preserve">would reveal whether protocols are becoming more or less concentrated</w:t>
      </w:r>
      <w:r>
        <w:t xml:space="preserve"> </w:t>
      </w:r>
      <w:r>
        <w:t xml:space="preserve">and strengthen causal claims. A single scorer has applied the scoring</w:t>
      </w:r>
      <w:r>
        <w:t xml:space="preserve"> </w:t>
      </w:r>
      <w:r>
        <w:t xml:space="preserve">rubric; inter-rater reliability testing with independent scorers is</w:t>
      </w:r>
      <w:r>
        <w:t xml:space="preserve"> </w:t>
      </w:r>
      <w:r>
        <w:t xml:space="preserve">needed before the rubric can claim measurement validity beyond its</w:t>
      </w:r>
      <w:r>
        <w:t xml:space="preserve"> </w:t>
      </w:r>
      <w:r>
        <w:t xml:space="preserve">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1968)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bookmarkEnd w:id="116"/>
    <w:bookmarkStart w:id="118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17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two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 that future panel-data analysis can test. First, if</w:t>
      </w:r>
      <w:r>
        <w:t xml:space="preserve"> </w:t>
      </w:r>
      <w:r>
        <w:t xml:space="preserve">governance concentration continues to track sector membership (the</w:t>
      </w:r>
      <w:r>
        <w:t xml:space="preserve"> </w:t>
      </w:r>
      <w:r>
        <w:t xml:space="preserve">DePIN-DeFi differential documented in Section 3.3), we predict that</w:t>
      </w:r>
      <w:r>
        <w:t xml:space="preserve"> </w:t>
      </w:r>
      <w:r>
        <w:t xml:space="preserve">DePIN protocols entering the cross-section in 2026-2027 will, on</w:t>
      </w:r>
      <w:r>
        <w:t xml:space="preserve"> </w:t>
      </w:r>
      <w:r>
        <w:t xml:space="preserve">average, exhibit higher holding HHI than DeFi protocols entering in</w:t>
      </w:r>
      <w:r>
        <w:t xml:space="preserve"> </w:t>
      </w:r>
      <w:r>
        <w:t xml:space="preserve">the same period, conditional on launch year and insider allocation</w:t>
      </w:r>
      <w:r>
        <w:t xml:space="preserve"> </w:t>
      </w:r>
      <w:r>
        <w:t xml:space="preserve">similarity. Second, given the universal delegation amplification</w:t>
      </w:r>
      <w:r>
        <w:t xml:space="preserve"> </w:t>
      </w:r>
      <w:r>
        <w:t xml:space="preserve">documented in Section 3.5, we predict that any protocol introducing a</w:t>
      </w:r>
      <w:r>
        <w:t xml:space="preserve"> </w:t>
      </w:r>
      <w:r>
        <w:t xml:space="preserve">delegate-program after R2 submission (or expanding from informal to</w:t>
      </w:r>
      <w:r>
        <w:t xml:space="preserve"> </w:t>
      </w:r>
      <w:r>
        <w:t xml:space="preserve">formal delegation) will produce voting HHI greater than its holding</w:t>
      </w:r>
      <w:r>
        <w:t xml:space="preserve"> </w:t>
      </w:r>
      <w:r>
        <w:t xml:space="preserve">HHI within twelve months of the program launch, with magnitude varying</w:t>
      </w:r>
      <w:r>
        <w:t xml:space="preserve"> </w:t>
      </w:r>
      <w:r>
        <w:t xml:space="preserve">by delegate-program design rather than by sector. Both predictions</w:t>
      </w:r>
      <w:r>
        <w:t xml:space="preserve"> </w:t>
      </w:r>
      <w:r>
        <w:t xml:space="preserve">inherit the methodology applied in this paper (PCA-symmetric HHI</w:t>
      </w:r>
      <w:r>
        <w:t xml:space="preserve"> </w:t>
      </w:r>
      <w:r>
        <w:t xml:space="preserve">computation; March 2026 baseline methodology). Subsequent panel-data</w:t>
      </w:r>
      <w:r>
        <w:t xml:space="preserve"> </w:t>
      </w:r>
      <w:r>
        <w:t xml:space="preserve">and event-study work testing these predictions will be pre-registered</w:t>
      </w:r>
      <w:r>
        <w:t xml:space="preserve"> </w:t>
      </w:r>
      <w:r>
        <w:t xml:space="preserve">(OSF or equivalent) to commit hypothesis specifications prior to data</w:t>
      </w:r>
      <w:r>
        <w:t xml:space="preserve"> </w:t>
      </w:r>
      <w:r>
        <w:t xml:space="preserve">analysis, addressing the multiple-comparisons concerns inherent in</w:t>
      </w:r>
      <w:r>
        <w:t xml:space="preserve"> </w:t>
      </w:r>
      <w:r>
        <w:t xml:space="preserve">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(86 protocol-controlled address</w:t>
      </w:r>
      <w:r>
        <w:t xml:space="preserve"> </w:t>
      </w:r>
      <w:r>
        <w:t xml:space="preserve">exclusions across 38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R2 Table 4 expansion,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18"/>
    <w:bookmarkEnd w:id="119"/>
    <w:bookmarkStart w:id="121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1"/>
    <w:bookmarkStart w:id="12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2"/>
    <w:bookmarkStart w:id="12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2026-05-19T06:57:18Z</dcterms:created>
  <dcterms:modified xsi:type="dcterms:W3CDTF">2026-05-19T06:57:18Z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