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80.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9"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5"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refines the binary amplify-versus-disperse framing into a three-class amplification typology.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Pearson r between SS-HHI and Voting-HHI is 0.9756 across the N = 16 sample,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4"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Solana-side Sim API verification of 7 cross-protocol candidate addresses in</w:t>
      </w:r>
      <w:r>
        <w:t xml:space="preserve"> </w:t>
      </w:r>
      <w:hyperlink r:id="rId67">
        <w:r>
          <w:rPr>
            <w:rStyle w:val="Hyperlink"/>
          </w:rPr>
          <w:t xml:space="preserve">Supplementary File S13 addendum</w:t>
        </w:r>
      </w:hyperlink>
      <w:r>
        <w:t xml:space="preserve">; EVM-side universal CEX hot-wallet sweep across the N = 40 cross-section in</w:t>
      </w:r>
      <w:r>
        <w:t xml:space="preserve"> </w:t>
      </w:r>
      <w:hyperlink r:id="rId68">
        <w:r>
          <w:rPr>
            <w:rStyle w:val="Hyperlink"/>
          </w:rPr>
          <w:t xml:space="preserve">Supplementary File S19 phase 4 scope expansion</w:t>
        </w:r>
      </w:hyperlink>
      <w:r>
        <w:t xml:space="preserve">). The EVM sweep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second, structurally-distinct evidence path converges on the cross-protocol CEX-mediated concentration pattern at the Substrate validator-set layer. On Polkadot (Nominated Proof-of-Stake; standard holder-HHI returns 0.0017 mechanically by Phragmen-equalization design and is not the analytical surface where concentration manifests), a five-axis operator-attribution methodology combining Subscan Identity Pallet + Web3 Foundation Thousand Validators Programme registry + Layer-2 funding-source clustering + Polkawatch display-name matching + direct Polkawatch DDP API access lifts cumulative attribution from 16 percent of bonded stake (Identity Pallet baseline) to 53 percent (300 of 600 validators attributed) and surfaces Binance at 15 validators (3.72 percent of bonded stake), Coinbase at 12 validators, and EXNESS at 6 validators (the latter two invisible to all four on-chain attribution axes; operational accounts funded via relay-mixing patterns). Combined CEX-validator footprint is at least 27 validators across the Polkadot active set, a 69 percent increase in counted CEX presence relative to on-chain-only verification. The Polkadot evidence demonstrates that the EVM universal CEX-sweep pattern is not EVM-specific: cross-protocol CEX-mediated concentration generalizes to Substrate NPoS chains under appropriate methodology adaptation. Sister-finding: TAO (Bittensor) exhibits validator-network-layer concentration patterns analogous to Polkadot, suggesting the substrate-native L1+DePIN class warrants methodology adaptation as a coherent class rather than ad-hoc per-protocol treatment. Full multi-axis methodology + per-axis attribution decomposition + 47 percent structural attribution ceiling discussion + per-operator stake breakdown + operator-infrastructure-axis candidate (Hetzner / AWS / colocation / self-hosted classification surfaced via Polkawatch LastNetwork field) in</w:t>
      </w:r>
      <w:r>
        <w:t xml:space="preserve"> </w:t>
      </w:r>
      <w:hyperlink r:id="rId69">
        <w:r>
          <w:rPr>
            <w:rStyle w:val="Hyperlink"/>
          </w:rPr>
          <w:t xml:space="preserve">Supplementary File S16 DOT addendum</w:t>
        </w:r>
      </w:hyperlink>
      <w:r>
        <w:t xml:space="preserve">,</w:t>
      </w:r>
      <w:r>
        <w:t xml:space="preserve"> </w:t>
      </w:r>
      <w:hyperlink r:id="rId70">
        <w:r>
          <w:rPr>
            <w:rStyle w:val="Hyperlink"/>
          </w:rPr>
          <w:t xml:space="preserve">Supplementary File S19 verification execution</w:t>
        </w:r>
      </w:hyperlink>
      <w:r>
        <w:t xml:space="preserve">,</w:t>
      </w:r>
      <w:r>
        <w:t xml:space="preserve"> </w:t>
      </w:r>
      <w:hyperlink r:id="rId71">
        <w:r>
          <w:rPr>
            <w:rStyle w:val="Hyperlink"/>
          </w:rPr>
          <w:t xml:space="preserve">Polkawatch synthesis</w:t>
        </w:r>
      </w:hyperlink>
      <w:r>
        <w:t xml:space="preserve">,</w:t>
      </w:r>
      <w:r>
        <w:t xml:space="preserve"> </w:t>
      </w:r>
      <w:hyperlink r:id="rId72">
        <w:r>
          <w:rPr>
            <w:rStyle w:val="Hyperlink"/>
          </w:rPr>
          <w:t xml:space="preserve">Polkawatch API discovery</w:t>
        </w:r>
      </w:hyperlink>
      <w:r>
        <w:t xml:space="preserve">, and</w:t>
      </w:r>
      <w:r>
        <w:t xml:space="preserve"> </w:t>
      </w:r>
      <w:hyperlink r:id="rId73">
        <w:r>
          <w:rPr>
            <w:rStyle w:val="Hyperlink"/>
          </w:rPr>
          <w:t xml:space="preserve">Subscan refresh finding</w:t>
        </w:r>
      </w:hyperlink>
      <w:r>
        <w:t xml:space="preserve">; Section 5.7 documents the cross-architecture attribution-coverage asymmetry as a methodological limitation.</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An initial cross-protocol Solana candidate-address verification (Sim API balance + token-portfolio analysis on 7 candidate addresses; 6 classified as CEX hot wallet and 1 as institutional investor) is reported in</w:t>
      </w:r>
      <w:r>
        <w:t xml:space="preserve"> </w:t>
      </w:r>
      <w:hyperlink r:id="rId67">
        <w:r>
          <w:rPr>
            <w:rStyle w:val="Hyperlink"/>
          </w:rPr>
          <w:t xml:space="preserve">Supplementary File S13</w:t>
        </w:r>
      </w:hyperlink>
      <w:r>
        <w:t xml:space="preserve">.</w:t>
      </w:r>
    </w:p>
    <w:bookmarkEnd w:id="74"/>
    <w:bookmarkEnd w:id="75"/>
    <w:bookmarkStart w:id="88"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7" name="Picture"/>
            <a:graphic>
              <a:graphicData uri="http://schemas.openxmlformats.org/drawingml/2006/picture">
                <pic:pic>
                  <pic:nvPicPr>
                    <pic:cNvPr descr="media/fig9_loo_forest.png" id="78" name="Picture"/>
                    <pic:cNvPicPr>
                      <a:picLocks noChangeArrowheads="1" noChangeAspect="1"/>
                    </pic:cNvPicPr>
                  </pic:nvPicPr>
                  <pic:blipFill>
                    <a:blip r:embed="rId76"/>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9">
        <w:r>
          <w:rPr>
            <w:rStyle w:val="Hyperlink"/>
          </w:rPr>
          <w:t xml:space="preserve">Supplementary File S8</w:t>
        </w:r>
      </w:hyperlink>
      <w:r>
        <w:t xml:space="preserve">.</w:t>
      </w:r>
    </w:p>
    <w:p>
      <w:pPr>
        <w:pStyle w:val="BodyText"/>
      </w:pPr>
      <w:r>
        <w:drawing>
          <wp:inline>
            <wp:extent cx="5334000" cy="4186514"/>
            <wp:effectExtent b="0" l="0" r="0" t="0"/>
            <wp:docPr descr="" title="" id="81" name="Picture"/>
            <a:graphic>
              <a:graphicData uri="http://schemas.openxmlformats.org/drawingml/2006/picture">
                <pic:pic>
                  <pic:nvPicPr>
                    <pic:cNvPr descr="media/fig7_subsidy_scatter.png" id="82" name="Picture"/>
                    <pic:cNvPicPr>
                      <a:picLocks noChangeArrowheads="1" noChangeAspect="1"/>
                    </pic:cNvPicPr>
                  </pic:nvPicPr>
                  <pic:blipFill>
                    <a:blip r:embed="rId80"/>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9">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4"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captured in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83">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The Snapshot signer-side pattern generalizes to a broader institutional-provider dual-account class that complicates on-chain attribution beyond Snapshot governance specifically. The Polkadot operator-attribution audit (Section 4.5.5; supplements S19) surfaces the analogous structure on a different surface: institutional staking providers (Blockdaemon, KILN, pos.dog, Iceberg Nodes, ParaNodes) register Subscan Identity Pallet attestation on their funding</w:t>
      </w:r>
      <w:r>
        <w:t xml:space="preserve"> </w:t>
      </w:r>
      <w:r>
        <w:t xml:space="preserve">“warm wallet”</w:t>
      </w:r>
      <w:r>
        <w:t xml:space="preserve"> </w:t>
      </w:r>
      <w:r>
        <w:t xml:space="preserve">accounts but NOT on their validator stash accounts, producing brand-attested funding flows with operationally-anonymous staking activity. The methodological implication is symmetric across Snapshot (signer-side functional PCAs whose holder-side custody is operationally anonymous) and Polkadot (funding-side Identity attestation with operationally-anonymous validator stash): identity-pallet-on-the-acting-surface is an insufficient verification methodology for the institutional-provider class; Layer-2 funding-source clustering (Snapshot Blockscout MCP verification + Subscan transfers-received clustering) is the productive cross-surface verification method. Future cross-protocol expansion should incorporate Layer-2 funding-source clustering as a standard verification axis alongside the surface-specific identity attestation.</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83">
        <w:r>
          <w:rPr>
            <w:rStyle w:val="Hyperlink"/>
          </w:rPr>
          <w:t xml:space="preserve">Supplementary File S12</w:t>
        </w:r>
      </w:hyperlink>
      <w:r>
        <w:t xml:space="preserve">.</w:t>
      </w:r>
    </w:p>
    <w:bookmarkEnd w:id="84"/>
    <w:bookmarkStart w:id="86"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5">
        <w:r>
          <w:rPr>
            <w:rStyle w:val="Hyperlink"/>
          </w:rPr>
          <w:t xml:space="preserve">Supplementary File S10</w:t>
        </w:r>
      </w:hyperlink>
      <w:r>
        <w:t xml:space="preserve">.</w:t>
      </w:r>
    </w:p>
    <w:bookmarkEnd w:id="86"/>
    <w:bookmarkStart w:id="87"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7"/>
    <w:bookmarkEnd w:id="88"/>
    <w:bookmarkEnd w:id="89"/>
    <w:bookmarkStart w:id="101" w:name="discussion"/>
    <w:p>
      <w:pPr>
        <w:pStyle w:val="Heading1"/>
      </w:pPr>
      <w:r>
        <w:t xml:space="preserve">5 Discussion</w:t>
      </w:r>
    </w:p>
    <w:bookmarkStart w:id="90"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90"/>
    <w:bookmarkStart w:id="91"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91"/>
    <w:bookmarkStart w:id="92"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92"/>
    <w:bookmarkStart w:id="93"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93"/>
    <w:bookmarkStart w:id="94"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4"/>
    <w:bookmarkStart w:id="95"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5"/>
    <w:bookmarkStart w:id="96" w:name="limitations"/>
    <w:p>
      <w:pPr>
        <w:pStyle w:val="Heading2"/>
      </w:pPr>
      <w:r>
        <w:t xml:space="preserve">5.7 Limitations</w:t>
      </w:r>
    </w:p>
    <w:p>
      <w:pPr>
        <w:pStyle w:val="FirstParagraph"/>
      </w:pPr>
      <w:r>
        <w:t xml:space="preserve">The evidence reported here carries three main limitations. First, the analysis is a March 2026 cross-section, so it supports descriptive association rather than causal inference or trajectory claims; an initial 14-protocol quarterly panel is reported in Supplementary File S7 (11 of 14 protocols monotonic-decay) and a 14-protocol Q1/Q8 trajectory analysis is reported in Supplementary File S17 (85.7 percent monotonic-decay), but a full 40-protocol monthly panel remains future work (Section 5.8). Second, the 40-protocol cross-section is large enough for descriptive comparison but small for fully specified multivariate regression; Model 3 has only 35 observations, and a 45-protocol extended sample is reported in Supplementary File S16 with the multivariate regression on the extended sample pending revenue and treasury covariate extraction for the 5 added protocols (Section 5.8). Third, operator-attribution coverage is asymmetric across chain architectures: Etherscan + Nansen labels yield roughly 95 percent high-share holder attribution on EVM protocols; Helius DAS + Sim API yields roughly 80 percent on Solana protocols; Substrate NPoS protocols (Polkadot; sister substrate-native L1+DePIN) require external attribution services (Polkawatch DDP API; Web3 Foundation TVP registry) to reach 53 percent coverage from a 16 percent on-chain baseline, with the residual approximately 47 percent representing a structural attribution ceiling for voluntary-identity-pallet protocols. The CEX-validator concentration findings in Section 4.5.5 are therefore reported as lower bounds for Substrate NPoS protocols; the same is not true for the EVM and Solana CEX-overlap findings, which use near-complete-coverage attribution data.</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6"/>
    <w:bookmarkStart w:id="99" w:name="future-research"/>
    <w:p>
      <w:pPr>
        <w:pStyle w:val="Heading2"/>
      </w:pPr>
      <w:r>
        <w:t xml:space="preserve">5.8 Future Research</w:t>
      </w:r>
    </w:p>
    <w:p>
      <w:pPr>
        <w:pStyle w:val="FirstParagraph"/>
      </w:pPr>
      <w:r>
        <w:t xml:space="preserve">Four research directions have highest priority. First, longitudinal governance tracking: monthly snapshots of HHI and Gini across the full 40-protocol sample would convert the current cross-section into a panel dataset, enabling analysis of deconcentration trajectories and the governance effects of specific reform events (delegation program launches; vesting cliff expirations). An initial 14-protocol quarterly panel (</w:t>
      </w:r>
      <w:hyperlink r:id="rId97">
        <w:r>
          <w:rPr>
            <w:rStyle w:val="Hyperlink"/>
          </w:rPr>
          <w:t xml:space="preserve">Supplementary File S7</w:t>
        </w:r>
      </w:hyperlink>
      <w:r>
        <w:t xml:space="preserve">) documents that 11 of 14 protocols exhibit monotonic governance HHI decay over 24 months post-token-generation event with vote-escrow CRV, reservoir-drip COMP, and claim-window ENS as exceptions; a 14-protocol Q1/Q8 trajectory analysis (</w:t>
      </w:r>
      <w:hyperlink r:id="rId98">
        <w:r>
          <w:rPr>
            <w:rStyle w:val="Hyperlink"/>
          </w:rPr>
          <w:t xml:space="preserve">Supplementary File S17</w:t>
        </w:r>
      </w:hyperlink>
      <w:r>
        <w:t xml:space="preserve">) returns 85.7 percent monotonic-decay; both are consistent with the cross-sectional allocation null reported in Section 4.4. Full 40-protocol monthly extraction is the natural extension.</w:t>
      </w:r>
    </w:p>
    <w:p>
      <w:pPr>
        <w:pStyle w:val="BodyText"/>
      </w:pPr>
      <w:r>
        <w:t xml:space="preserve">Second, sample expansion: the current 40-protocol cross-section supports descriptive analysis; an extended 45-protocol sample (FXS, SNX, GNO, TAO, DOT added with PCA classification + holder distributions + top-N values;</w:t>
      </w:r>
      <w:r>
        <w:t xml:space="preserve"> </w:t>
      </w:r>
      <w:hyperlink r:id="rId69">
        <w:r>
          <w:rPr>
            <w:rStyle w:val="Hyperlink"/>
          </w:rPr>
          <w:t xml:space="preserve">Supplementary File S16</w:t>
        </w:r>
      </w:hyperlink>
      <w:r>
        <w:t xml:space="preserve">) provides infrastructure for the multivariate regression on the extended sample, pending revenue and treasury covariate extraction for the 5 added protocols. Further expansion to N = 50-60 would enable the panel and event-study analyses currently specified as replication-ready designs.</w:t>
      </w:r>
    </w:p>
    <w:p>
      <w:pPr>
        <w:pStyle w:val="BodyText"/>
      </w:pPr>
      <w:r>
        <w:t xml:space="preserve">Third, cross-protocol delegate overlap extension: Section 4.5.5 documents the pattern across Snapshot, Tally, and Polkadot validator-set surfaces; extension to Solana governance surfaces (Realms, SPL Governance) and to off-Snapshot off-Tally surfaces (governance forums, off-chain coordination mechanisms) remains the natural next step.</w:t>
      </w:r>
    </w:p>
    <w:p>
      <w:pPr>
        <w:pStyle w:val="BodyText"/>
      </w:pPr>
      <w:r>
        <w:t xml:space="preserve">Fourth, operator-infrastructure concentration as candidate sixth concentration axis. The Polkadot operator-attribution audit (Section 4.5.5; supplements S19) surfaces a candidate axis specific to validator-network infrastructure: cloud-provider / colocation / self-hosted classification of the underlying compute substrate, computable from external sources (Polkawatch records include LastRegion + LastCountry + LastNetwork + Nominators + TokenRewards fields). Validator-infrastructure HHI at the ISP-tier (Hetzner Online GmbH vs AWS vs DigitalOcean vs self-hosted residential) is not load-bearing for the Section 4.5 amplification finding but is methodologically relevant for any future Section 3.8 typology extension covering operator-infrastructure as a distinct concentration class. The axis generalizes beyond Polkadot to any protocol with validator-set governance (Ethereum proposer-builder separation; Cosmos validator sets; Solana validator clusters); cross-protocol operator-infrastructure HHI is a natural N &gt;= 5 expansion target.</w:t>
      </w:r>
    </w:p>
    <w:p>
      <w:pPr>
        <w:pStyle w:val="BodyText"/>
      </w:pPr>
      <w:r>
        <w:t xml:space="preserve">The forward empirical agenda is to convert the current cross-section into panel evidence, complete the sample expansion to N = 50-60 with multivariate regression on the extended sample, extend cross-protocol delegate overlap to Solana governance surfaces, and evaluate operator-infrastructure as candidate sixth axis. Recent game-theoretic results (Kiayias et al., 2025) indicate Shapley-based reward distributions achieve bounded Price of Stability (4/3) in oceanic staking models while resisting Sybil stake-splitting attacks, supporting the measurement extensions’ theoretical grounding.</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8">
        <w:r>
          <w:rPr>
            <w:rStyle w:val="Hyperlink"/>
          </w:rPr>
          <w:t xml:space="preserve">Supplementary File S17</w:t>
        </w:r>
      </w:hyperlink>
      <w:r>
        <w:t xml:space="preserve">.</w:t>
      </w:r>
    </w:p>
    <w:bookmarkEnd w:id="99"/>
    <w:bookmarkStart w:id="100"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100"/>
    <w:bookmarkEnd w:id="101"/>
    <w:bookmarkStart w:id="102"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102"/>
    <w:bookmarkStart w:id="103"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103"/>
    <w:bookmarkStart w:id="104"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4"/>
    <w:bookmarkStart w:id="105"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85" Target="https://github.com/Research-Publications-and-Data/Tokenomics-As-Institutional_Design/blob/main/b2/paper/supplements/S10_pca_classification_robustness.md" TargetMode="External" /><Relationship Type="http://schemas.openxmlformats.org/officeDocument/2006/relationships/hyperlink" Id="rId83"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9" Target="https://github.com/Research-Publications-and-Data/Tokenomics-As-Institutional_Design/blob/main/b2/paper/supplements/S16_phase4_minibatch_2026-05-27.md" TargetMode="External" /><Relationship Type="http://schemas.openxmlformats.org/officeDocument/2006/relationships/hyperlink" Id="rId98" Target="https://github.com/Research-Publications-and-Data/Tokenomics-As-Institutional_Design/blob/main/b2/paper/supplements/S17_falsifiable_predictions.md" TargetMode="External" /><Relationship Type="http://schemas.openxmlformats.org/officeDocument/2006/relationships/hyperlink" Id="rId71" Target="https://github.com/Research-Publications-and-Data/Tokenomics-As-Institutional_Design/blob/main/b2/paper/supplements/S19_dot_polkawatch_synthesis_2026-05-27.md" TargetMode="External" /><Relationship Type="http://schemas.openxmlformats.org/officeDocument/2006/relationships/hyperlink" Id="rId70" Target="https://github.com/Research-Publications-and-Data/Tokenomics-As-Institutional_Design/blob/main/b2/paper/supplements/S19_dot_verification_execution_2026-05-27.md" TargetMode="External" /><Relationship Type="http://schemas.openxmlformats.org/officeDocument/2006/relationships/hyperlink" Id="rId68" Target="https://github.com/Research-Publications-and-Data/Tokenomics-As-Institutional_Design/blob/main/b2/paper/supplements/S19_phase4_scope_expansion_2026-05-27.md" TargetMode="External" /><Relationship Type="http://schemas.openxmlformats.org/officeDocument/2006/relationships/hyperlink" Id="rId72" Target="https://github.com/Research-Publications-and-Data/Tokenomics-As-Institutional_Design/blob/main/b2/paper/supplements/S19_polkawatch_api_discovery_2026-05-27.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73" Target="https://github.com/Research-Publications-and-Data/Tokenomics-As-Institutional_Design/blob/main/b2/paper/supplements/S20_dot_subscan_refresh_finding_2026-05-27.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9" Target="https://github.com/Research-Publications-and-Data/Tokenomics-As-Institutional_Design/blob/main/b2/paper/supplements/S8_tt_expansion.md" TargetMode="External" /><Relationship Type="http://schemas.openxmlformats.org/officeDocument/2006/relationships/hyperlink" Id="rId97"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2026-05-27T10:07:59Z</dcterms:created>
  <dcterms:modified xsi:type="dcterms:W3CDTF">2026-05-27T10:07:59Z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