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 The Solana-side cross-protocol audit (whether the same institutional class operates on Realms and SPL Governance surfaces alongside its EVM presence) and the extension to off-Snapshot off-Tally governance surfaces remain measurement-priority items.</w:t>
      </w:r>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5">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5">
        <w:r>
          <w:rPr>
            <w:rStyle w:val="Hyperlink"/>
          </w:rPr>
          <w:t xml:space="preserve">Supplementary File S12</w:t>
        </w:r>
      </w:hyperlink>
      <w:r>
        <w:t xml:space="preserve">.</w:t>
      </w:r>
    </w:p>
    <w:bookmarkEnd w:id="76"/>
    <w:bookmarkStart w:id="78"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77">
        <w:r>
          <w:rPr>
            <w:rStyle w:val="Hyperlink"/>
          </w:rPr>
          <w:t xml:space="preserve">Supplementary File S10</w:t>
        </w:r>
      </w:hyperlink>
      <w:r>
        <w:t xml:space="preserve">.</w:t>
      </w:r>
    </w:p>
    <w:bookmarkEnd w:id="78"/>
    <w:bookmarkStart w:id="79"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2"/>
    <w:bookmarkStart w:id="83"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3"/>
    <w:bookmarkStart w:id="84"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4"/>
    <w:bookmarkStart w:id="85"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5"/>
    <w:bookmarkStart w:id="86"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86"/>
    <w:bookmarkStart w:id="87"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7"/>
    <w:bookmarkStart w:id="88"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0">
        <w:r>
          <w:rPr>
            <w:rStyle w:val="Hyperlink"/>
          </w:rPr>
          <w:t xml:space="preserve">Supplementary File S17</w:t>
        </w:r>
      </w:hyperlink>
      <w:r>
        <w:t xml:space="preserve">.</w:t>
      </w:r>
    </w:p>
    <w:bookmarkEnd w:id="91"/>
    <w:bookmarkStart w:id="92"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2"/>
    <w:bookmarkEnd w:id="93"/>
    <w:bookmarkStart w:id="9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2026-05-27T07:20:08Z</dcterms:created>
  <dcterms:modified xsi:type="dcterms:W3CDTF">2026-05-27T07:20:08Z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