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0.18, p = 0.28,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0.023,</w:t>
      </w:r>
      <w:r>
        <w:t xml:space="preserve"> </w:t>
      </w:r>
      <w:r>
        <w:t xml:space="preserve">Cohen’s d = 1.00),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0.023, Cohen’s d = 1.00),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75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(75 addresses across 22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75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69</w:t>
      </w:r>
      <w:r>
        <w:t xml:space="preserve"> </w:t>
      </w:r>
      <w:r>
        <w:t xml:space="preserve">protocol-controlled addresses across 20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75 protocol-controlled addresses excluded across 22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0.090 vs. 0.043; Mann-Whitney p = 0.023,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0.006.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0.023, d = 1.00)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0.18, p = 0.28,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0.18, p = 0.28)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1.4x (GMX)</w:t>
      </w:r>
      <w:r>
        <w:t xml:space="preserve"> </w:t>
      </w:r>
      <w:r>
        <w:t xml:space="preserve">to 6.0x (DIMO) across the nine amplifying protocols; ENS at 0.21x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1.4x to 6.0x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0.023, Cohen’s</w:t>
      </w:r>
      <w:r>
        <w:t xml:space="preserve"> </w:t>
      </w:r>
      <w:r>
        <w:t xml:space="preserve">d = 1.00)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1.00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0.21x is the</w:t>
      </w:r>
      <w:r>
        <w:t xml:space="preserve"> </w:t>
      </w:r>
      <w:r>
        <w:t xml:space="preserve">structural exception), with mean amplification of 3.3x and the</w:t>
      </w:r>
      <w:r>
        <w:t xml:space="preserve"> </w:t>
      </w:r>
      <w:r>
        <w:t xml:space="preserve">smallest amplification (GMX at 1.4x)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1.00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0.031 to 0.023; Cohen’s d = 0.96 to 1.00;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0.18, p = 0.28,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0.18, p = 0.28):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0.023, d = 1.00),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75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0.023, Cohen’s</w:t>
      </w:r>
      <w:r>
        <w:t xml:space="preserve"> </w:t>
      </w:r>
      <w:r>
        <w:t xml:space="preserve">d = 1.00;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(75 protocol-controlled address</w:t>
      </w:r>
      <w:r>
        <w:t xml:space="preserve"> </w:t>
      </w:r>
      <w:r>
        <w:t xml:space="preserve">exclusions across 20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2026-05-19T04:45:45Z</dcterms:created>
  <dcterms:modified xsi:type="dcterms:W3CDTF">2026-05-19T04:45:45Z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