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0.17, p = 0.32,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0.016,</w:t>
      </w:r>
      <w:r>
        <w:t xml:space="preserve"> </w:t>
      </w:r>
      <w:r>
        <w:t xml:space="preserve">Cohen’s d = 1.10), and the effect survives across three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2, borderline at p = 0.050 in</w:t>
      </w:r>
      <w:r>
        <w:t xml:space="preserve"> </w:t>
      </w:r>
      <w:r>
        <w:t xml:space="preserve">Model 3 with the full control set; adjusted R² 0.14 to 0.17;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1.4x to 6.0x),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0.020 to 0.153: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20 protocols, 69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0.008, Cohen’s d = 1.10),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1.4x (GMX), 1.9x</w:t>
      </w:r>
      <w:r>
        <w:t xml:space="preserve"> </w:t>
      </w:r>
      <w:r>
        <w:t xml:space="preserve">(Compound), 2.3x (Lido), 2.7x (Uniswap), 3.3x (WeatherXM), 3.7x</w:t>
      </w:r>
      <w:r>
        <w:t xml:space="preserve"> </w:t>
      </w:r>
      <w:r>
        <w:t xml:space="preserve">(Optimism), 3.8x (Aave), 4.3x (Arbitrum), and 6.0x (DIMO). One protocol</w:t>
      </w:r>
      <w:r>
        <w:t xml:space="preserve"> </w:t>
      </w:r>
      <w:r>
        <w:t xml:space="preserve">(ENS) shows delegation-mediated dispersion at ratio 0.21x,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0.040)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113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0.040;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0.032, Grass 0.035, DIMO</w:t>
      </w:r>
      <w:r>
        <w:t xml:space="preserve"> </w:t>
      </w:r>
      <w:r>
        <w:t xml:space="preserve">0.038, Anyone 0.040, Filecoin 0.047)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(113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(0.040);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(3.7x).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3.7x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113 PCA addresses across</w:t>
      </w:r>
      <w:r>
        <w:t xml:space="preserve"> </w:t>
      </w:r>
      <w:r>
        <w:t xml:space="preserve">22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86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(0.153) reported here reflects the May 2026 Dune pull</w:t>
      </w:r>
      <w:r>
        <w:rPr>
          <w:i/>
          <w:iCs/>
        </w:rPr>
        <w:t xml:space="preserve"> </w:t>
      </w:r>
      <w:r>
        <w:rPr>
          <w:i/>
          <w:iCs/>
        </w:rPr>
        <w:t xml:space="preserve">and is slightly below the R1 footnote value of 0.168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cascade snapshot); the 2-month snapshot drift is consistent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Tally and Snapshot drift documented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roughly twice the governance concentration of DeFi</w:t>
      </w:r>
      <w:r>
        <w:t xml:space="preserve"> </w:t>
      </w:r>
      <w:r>
        <w:t xml:space="preserve">protocols (mean HHI 0.085 vs. 0.032; Mann-Whitney p = 0.008, Cohen’s d =</w:t>
      </w:r>
      <w:r>
        <w:t xml:space="preserve"> </w:t>
      </w:r>
      <w:r>
        <w:t xml:space="preserve">1.03, N = 15/15). The gap holds after adjusting for protocol age,</w:t>
      </w:r>
      <w:r>
        <w:t xml:space="preserve"> </w:t>
      </w:r>
      <w:r>
        <w:t xml:space="preserve">valuation, and insider allocation (Table 6, Models 1-3).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permutation test yields p = 0.004.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(0.091) exceeds DeFi mean (0.041),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1.10)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0.035, N=8): Welch t-test p = 0.016,</w:t>
      </w:r>
      <w:r>
        <w:t xml:space="preserve"> </w:t>
      </w:r>
      <w:r>
        <w:t xml:space="preserve">Cohen’s d = 1.09; Mann-Whitney p = 0.005.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0.027) and MakerDAO (2017, HHI 0.045) are older than</w:t>
      </w:r>
      <w:r>
        <w:t xml:space="preserve"> </w:t>
      </w:r>
      <w:r>
        <w:t xml:space="preserve">DIMO (2022, HHI 0.038)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0.020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(Uniswap at 0.010 is the second-lowest after the universal</w:t>
      </w:r>
      <w:r>
        <w:t xml:space="preserve"> </w:t>
      </w:r>
      <w:r>
        <w:t xml:space="preserve">burn-rule exclusion, and Aave at 0.020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0.038, 0.153, and 0.020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0.048, p = 0.012, N = 38; Model</w:t>
      </w:r>
      <w:r>
        <w:t xml:space="preserve"> </w:t>
      </w:r>
      <w:r>
        <w:t xml:space="preserve">2: 0.050, p = 0.027, N = 36) and borderline significant in Model 3</w:t>
      </w:r>
      <w:r>
        <w:t xml:space="preserve"> </w:t>
      </w:r>
      <w:r>
        <w:t xml:space="preserve">(0.048, p = 0.050, N = 35). No other covariate achieves p &lt; 0.10. In</w:t>
      </w:r>
      <w:r>
        <w:t xml:space="preserve"> </w:t>
      </w:r>
      <w:r>
        <w:t xml:space="preserve">particular, the initial insider allocation percentage used as a Table 6</w:t>
      </w:r>
      <w:r>
        <w:t xml:space="preserve"> </w:t>
      </w:r>
      <w:r>
        <w:t xml:space="preserve">covariate is not significant, consistent with the bivariate null in</w:t>
      </w:r>
      <w:r>
        <w:t xml:space="preserve"> </w:t>
      </w:r>
      <w:r>
        <w:t xml:space="preserve">Table 5. This is distinct from the current insider-retention measure</w:t>
      </w:r>
      <w:r>
        <w:t xml:space="preserve"> </w:t>
      </w:r>
      <w:r>
        <w:t xml:space="preserve">reported in Section 3.4 (Spearman rho = 0.48), which counts how many of</w:t>
      </w:r>
      <w:r>
        <w:t xml:space="preserve"> </w:t>
      </w:r>
      <w:r>
        <w:t xml:space="preserve">a protocol's top-10 holders are insiders rather than measuring the</w:t>
      </w:r>
      <w:r>
        <w:t xml:space="preserve"> </w:t>
      </w:r>
      <w:r>
        <w:t xml:space="preserve">share of supply allocated to insiders at launch. The adjusted R-squared</w:t>
      </w:r>
      <w:r>
        <w:t xml:space="preserve"> </w:t>
      </w:r>
      <w:r>
        <w:t xml:space="preserve">ranges from 0.14 to 0.17, indicating that sector membership accounts for</w:t>
      </w:r>
      <w:r>
        <w:t xml:space="preserve"> </w:t>
      </w:r>
      <w:r>
        <w:t xml:space="preserve">more cross-sectional variation than protocol age, valuation, or</w:t>
      </w:r>
      <w:r>
        <w:t xml:space="preserve"> </w:t>
      </w:r>
      <w:r>
        <w:t xml:space="preserve">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DePIN governance concentration 3 to 6 times above</w:t>
      </w:r>
      <w:r>
        <w:t xml:space="preserve"> </w:t>
      </w:r>
      <w:r>
        <w:t xml:space="preserve">holding levels, while the two infrastructure protocols sampled show</w:t>
      </w:r>
      <w:r>
        <w:t xml:space="preserve"> </w:t>
      </w:r>
      <w:r>
        <w:t xml:space="preserve">opposite patterns (Table 7), with one protocol’s delegation marginally</w:t>
      </w:r>
      <w:r>
        <w:t xml:space="preserve"> </w:t>
      </w:r>
      <w:r>
        <w:t xml:space="preserve">distributing voting power and the other’s substantially concentrating</w:t>
      </w:r>
      <w:r>
        <w:t xml:space="preserve"> </w:t>
      </w:r>
      <w:r>
        <w:t xml:space="preserve">it.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 in the Tier B1 expansion,</w:t>
      </w:r>
      <w:r>
        <w:t xml:space="preserve"> </w:t>
      </w:r>
      <w:r>
        <w:t xml:space="preserve">yielding 10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0.21x),</w:t>
      </w:r>
      <w:r>
        <w:t xml:space="preserve"> </w:t>
      </w:r>
      <w:r>
        <w:t xml:space="preserve">with amplification ratios ranging from 1.4x (GMX) to 6.0x (DIMO). The</w:t>
      </w:r>
      <w:r>
        <w:t xml:space="preserve"> </w:t>
      </w:r>
      <w:r>
        <w:t xml:space="preserve">amplification range within DeFi spans 1.9x (Compound) to 3.8x (Aave);</w:t>
      </w:r>
      <w:r>
        <w:t xml:space="preserve"> </w:t>
      </w:r>
      <w:r>
        <w:t xml:space="preserve">DePIN spans 2.3x (Lido, also classified DeFi by some taxonomies) to</w:t>
      </w:r>
      <w:r>
        <w:t xml:space="preserve"> </w:t>
      </w:r>
      <w:r>
        <w:t xml:space="preserve">6.0x (DIMO); infrastructure spans 3.7x (Optimism) to 4.3x (Arbitrum).</w:t>
      </w:r>
      <w:r>
        <w:t xml:space="preserve"> </w:t>
      </w:r>
      <w:r>
        <w:t xml:space="preserve">Sector membership does not predict how strongly delegation concentrates</w:t>
      </w:r>
      <w:r>
        <w:t xml:space="preserve"> </w:t>
      </w:r>
      <w:r>
        <w:t xml:space="preserve">power. Institutional design within each delegate program does. DIMO’s</w:t>
      </w:r>
      <w:r>
        <w:t xml:space="preserve"> </w:t>
      </w:r>
      <w:r>
        <w:t xml:space="preserve">voting HHI (0.228) is 6.0 times its holding HHI (0.038), though this</w:t>
      </w:r>
      <w:r>
        <w:t xml:space="preserve"> </w:t>
      </w:r>
      <w:r>
        <w:t xml:space="preserve">ratio is based on only 10 Snapshot voters and should be interpreted</w:t>
      </w:r>
      <w:r>
        <w:t xml:space="preserve"> </w:t>
      </w:r>
      <w:r>
        <w:t xml:space="preserve">with caution, and WeatherXM’s (0.486) is 3.3 times its holding HHI</w:t>
      </w:r>
      <w:r>
        <w:t xml:space="preserve"> </w:t>
      </w:r>
      <w:r>
        <w:t xml:space="preserve">(0.148). A small number of delegates, likely foundation-affiliated or</w:t>
      </w:r>
      <w:r>
        <w:t xml:space="preserve"> </w:t>
      </w:r>
      <w:r>
        <w:t xml:space="preserve">early-investor wallets, control governance outcomes despite relatively</w:t>
      </w:r>
      <w:r>
        <w:t xml:space="preserve"> </w:t>
      </w:r>
      <w:r>
        <w:t xml:space="preserve">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four DeFi protocols sampled show delegation amplification, ranging</w:t>
      </w:r>
      <w:r>
        <w:t xml:space="preserve"> </w:t>
      </w:r>
      <w:r>
        <w:t xml:space="preserve">from Compound (1.9x), Lido (2.3x), and Uniswap (2.7x) at the lower end</w:t>
      </w:r>
      <w:r>
        <w:t xml:space="preserve"> </w:t>
      </w:r>
      <w:r>
        <w:t xml:space="preserve">to Aave (3.8x) at the higher end. The Uniswap result is worth</w:t>
      </w:r>
      <w:r>
        <w:t xml:space="preserve"> </w:t>
      </w:r>
      <w:r>
        <w:t xml:space="preserve">examining in detail. Earlier analyses, using a holding HHI of 0.032,</w:t>
      </w:r>
      <w:r>
        <w:t xml:space="preserve"> </w:t>
      </w:r>
      <w:r>
        <w:t xml:space="preserve">produced a voting/holding ratio of 0.84x and were cited as evidence</w:t>
      </w:r>
      <w:r>
        <w:t xml:space="preserve"> </w:t>
      </w:r>
      <w:r>
        <w:t xml:space="preserve">that Uniswap’s mature delegate ecosystem can disperse governance power.</w:t>
      </w:r>
      <w:r>
        <w:t xml:space="preserve"> </w:t>
      </w:r>
      <w:r>
        <w:t xml:space="preserve">That earlier HHI included the canonical UNI burn address</w:t>
      </w:r>
      <w:r>
        <w:t xml:space="preserve"> </w:t>
      </w:r>
      <w:r>
        <w:t xml:space="preserve">(0x000…000dead), which holds 102.5 million UNI (11.3 percent of</w:t>
      </w:r>
      <w:r>
        <w:t xml:space="preserve"> </w:t>
      </w:r>
      <w:r>
        <w:t xml:space="preserve">supply) inert and cannot participate in governance under any condition:</w:t>
      </w:r>
      <w:r>
        <w:t xml:space="preserve"> </w:t>
      </w:r>
      <w:r>
        <w:t xml:space="preserve">it has no delegate, no votes, and no path to ever cast one. After</w:t>
      </w:r>
      <w:r>
        <w:t xml:space="preserve"> </w:t>
      </w:r>
      <w:r>
        <w:t xml:space="preserve">excluding this burn address, the corrected holding HHI is 0.010, and</w:t>
      </w:r>
      <w:r>
        <w:t xml:space="preserve"> </w:t>
      </w:r>
      <w:r>
        <w:t xml:space="preserve">the voting/holding ratio is 2.7x.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3.7 times its corrected</w:t>
      </w:r>
      <w:r>
        <w:t xml:space="preserve"> </w:t>
      </w:r>
      <w:r>
        <w:t xml:space="preserve">holding HHI (0.009). Arbitrum’s voting HHI (0.052) is 4.3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3.7x to 4.3x range, which</w:t>
      </w:r>
      <w:r>
        <w:t xml:space="preserve"> </w:t>
      </w:r>
      <w:r>
        <w:t xml:space="preserve">brackets the cross-protocol mean (3.3x).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3.7x delegation amplification, in line</w:t>
      </w:r>
      <w:r>
        <w:t xml:space="preserve"> </w:t>
      </w:r>
      <w:r>
        <w:t xml:space="preserve">with the cross-protocol pattern.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2.3x amplification, although mid-range rather than headline,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larger amplification ratio measured from a curated active-governance</w:t>
      </w:r>
      <w:r>
        <w:t xml:space="preserve"> </w:t>
      </w:r>
      <w:r>
        <w:t xml:space="preserve">holder subset (N = 189; minimum balance threshold approximately 414K</w:t>
      </w:r>
      <w:r>
        <w:t xml:space="preserve"> </w:t>
      </w:r>
      <w:r>
        <w:t xml:space="preserve">LDO); under the universal top-1000 holder methodology applied in this</w:t>
      </w:r>
      <w:r>
        <w:t xml:space="preserve"> </w:t>
      </w:r>
      <w:r>
        <w:t xml:space="preserve">manuscript (N = 994), Lido’s amplification is more moderate, but the</w:t>
      </w:r>
      <w:r>
        <w:t xml:space="preserve"> </w:t>
      </w:r>
      <w:r>
        <w:t xml:space="preserve">direction (concentration above stake) holds.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1.4x (GMX)</w:t>
      </w:r>
      <w:r>
        <w:t xml:space="preserve"> </w:t>
      </w:r>
      <w:r>
        <w:t xml:space="preserve">to 6.0x (DIMO) across the nine amplifying protocols; ENS at 0.21x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1.4x to 6.0x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1.4x to 6.0x); one protocol (ENS) shows</w:t>
      </w:r>
      <w:r>
        <w:rPr>
          <w:i/>
          <w:iCs/>
        </w:rPr>
        <w:t xml:space="preserve"> </w:t>
      </w:r>
      <w:r>
        <w:rPr>
          <w:i/>
          <w:iCs/>
        </w:rPr>
        <w:t xml:space="preserve">delegation-mediated dispersion (ratio 0.21x),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0.21x; voting HHI 0.028 vs holding HHI 0.135). The dispersion</w:t>
      </w:r>
      <w:r>
        <w:t xml:space="preserve"> </w:t>
      </w:r>
      <w:r>
        <w:t xml:space="preserve">case is informative for the framework’s institutional-design thesis</w:t>
      </w:r>
      <w:r>
        <w:t xml:space="preserve"> </w:t>
      </w:r>
      <w:r>
        <w:t xml:space="preserve">because it provides an existence-proof that delegation outcomes are</w:t>
      </w:r>
      <w:r>
        <w:t xml:space="preserve"> </w:t>
      </w:r>
      <w:r>
        <w:t xml:space="preserve">design-tractable rather than mechanism-inevitable. The ENS delegate</w:t>
      </w:r>
      <w:r>
        <w:t xml:space="preserve"> </w:t>
      </w:r>
      <w:r>
        <w:t xml:space="preserve">program funds approximately 100 active delegates (including the ENS</w:t>
      </w:r>
      <w:r>
        <w:t xml:space="preserve"> </w:t>
      </w:r>
      <w:r>
        <w:t xml:space="preserve">DAO ecosystem grants for delegate work), and the top-100 delegate</w:t>
      </w:r>
      <w:r>
        <w:t xml:space="preserve"> </w:t>
      </w:r>
      <w:r>
        <w:t xml:space="preserve">voting-power distribution is structurally broader than the holding</w:t>
      </w:r>
      <w:r>
        <w:t xml:space="preserve"> </w:t>
      </w:r>
      <w:r>
        <w:t xml:space="preserve">distribution: top-1 holding share is 26.7% (largely DAO treasury and</w:t>
      </w:r>
      <w:r>
        <w:t xml:space="preserve"> </w:t>
      </w:r>
      <w:r>
        <w:t xml:space="preserve">team-vesting positions)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1.4x-6.0x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0.008, Cohen’s</w:t>
      </w:r>
      <w:r>
        <w:t xml:space="preserve"> </w:t>
      </w:r>
      <w:r>
        <w:t xml:space="preserve">d = 1.10)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1.89x</w:t>
      </w:r>
      <w:r>
        <w:t xml:space="preserve"> </w:t>
      </w:r>
      <w:r>
        <w:t xml:space="preserve">to 1.85x.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3.80x to 2.26x.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1.10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0.21x is the</w:t>
      </w:r>
      <w:r>
        <w:t xml:space="preserve"> </w:t>
      </w:r>
      <w:r>
        <w:t xml:space="preserve">structural exception), with mean amplification of 3.3x and the</w:t>
      </w:r>
      <w:r>
        <w:t xml:space="preserve"> </w:t>
      </w:r>
      <w:r>
        <w:t xml:space="preserve">smallest amplification (GMX at 1.4x)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1.10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0.027 to 0.016; Cohen’s d = 1.02 to 1.10;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(0.153)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1.4x to 6.0x; mean for the</w:t>
      </w:r>
      <w:r>
        <w:t xml:space="preserve"> </w:t>
      </w:r>
      <w:r>
        <w:t xml:space="preserve">nine amplifying protocols 3.8x; one structural-exception protocol (ENS</w:t>
      </w:r>
      <w:r>
        <w:t xml:space="preserve"> </w:t>
      </w:r>
      <w:r>
        <w:t xml:space="preserve">at 0.21x)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0.040)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0.027)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1.4 times (GMX) to 6.0 times (DIMO)</w:t>
      </w:r>
      <w:r>
        <w:t xml:space="preserve"> </w:t>
      </w:r>
      <w:r>
        <w:t xml:space="preserve">across the amplifying protocols (nine of ten; ENS at 0.21x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(3.7 times) and Arbitrum (4.3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0.045)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0.040)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0.014,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0.008, d = 1.10),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second-highest HHI</w:t>
      </w:r>
      <w:r>
        <w:t xml:space="preserve"> </w:t>
      </w:r>
      <w:r>
        <w:t xml:space="preserve">(0.153), while Hivemapper combines a 5.46x subsidy ratio with the lowest</w:t>
      </w:r>
      <w:r>
        <w:t xml:space="preserve"> </w:t>
      </w:r>
      <w:r>
        <w:t xml:space="preserve">HHI among expansion protocols (0.020).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0.14 and 0.17).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1.4x to 6.0x; mean 3.3x; Section 3.5),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113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after adjusting for protocol age, log fully diluted</w:t>
      </w:r>
      <w:r>
        <w:t xml:space="preserve"> </w:t>
      </w:r>
      <w:r>
        <w:t xml:space="preserve">valuation, and insider allocation (Mann-Whitney p = 0.008, Cohen’s</w:t>
      </w:r>
      <w:r>
        <w:t xml:space="preserve"> </w:t>
      </w:r>
      <w:r>
        <w:t xml:space="preserve">d = 1.10; Table 6: sector coefficient p &lt; 0.05 in Models 1 and 2,</w:t>
      </w:r>
      <w:r>
        <w:t xml:space="preserve"> </w:t>
      </w:r>
      <w:r>
        <w:t xml:space="preserve">borderline at p = 0.050 in Model 3 with the full control set).</w:t>
      </w:r>
      <w:r>
        <w:t xml:space="preserve"> </w:t>
      </w:r>
      <w:r>
        <w:t xml:space="preserve">Initial allocation, maturity, subsidy structure, and token unlock</w:t>
      </w:r>
      <w:r>
        <w:t xml:space="preserve"> </w:t>
      </w:r>
      <w:r>
        <w:t xml:space="preserve">progress (three float specifications, all |r| &lt; 0.05) do not</w:t>
      </w:r>
      <w:r>
        <w:t xml:space="preserve"> </w:t>
      </w:r>
      <w:r>
        <w:t xml:space="preserve">predict concentration. The allocation null is the headline finding;</w:t>
      </w:r>
      <w:r>
        <w:t xml:space="preserve"> </w:t>
      </w:r>
      <w:r>
        <w:t xml:space="preserve">the sector contrast is the headline positive result.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1.4x to 6.0x; mean</w:t>
      </w:r>
      <w:r>
        <w:t xml:space="preserve"> </w:t>
      </w:r>
      <w:r>
        <w:t xml:space="preserve">3.8x), with one structural exception (ENS at 0.21x).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0.135; delegation-mediated dispersion at</w:t>
      </w:r>
      <w:r>
        <w:t xml:space="preserve"> </w:t>
      </w:r>
      <w:r>
        <w:t xml:space="preserve">ratio 0.21x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(86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2026-05-19T05:53:20Z</dcterms:created>
  <dcterms:modified xsi:type="dcterms:W3CDTF">2026-05-19T05:53:20Z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