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8.png" ContentType="image/png"/>
  <Override PartName="/word/media/rId53.png" ContentType="image/png"/>
  <Override PartName="/word/media/rId61.png" ContentType="image/png"/>
  <Override PartName="/word/media/rId86.png" ContentType="image/png"/>
  <Override PartName="/word/media/rId82.png" ContentType="image/png"/>
  <Override PartName="/word/media/rId5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Governance Concentration Beyond Token Allocation: A Live-Governance Study of 52 Token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Token-governance decentralization is not established by launch allocation, raw holder counts, or token-inequality metrics. It is an auditable current-control condition: who holds governance-relevant tokens after protocol-controlled addresses (PCAs) are removed, who retains insider positions, and how voting mechanisms transform holdings into rule-making power. Token allocation is a launch document. Governance concentration is a live institutional state. We turn that standard into a method across a 52-protocol cross-section spanning DePIN, DeFi, infrastructure, and social tokens, computing Herfindahl-Hirschman Index (HHI) concentration after PCA exclusion.</w:t>
      </w:r>
    </w:p>
    <w:p>
      <w:pPr>
        <w:pStyle w:val="BodyText"/>
      </w:pPr>
      <w:r>
        <w:t xml:space="preserve">Under audit, launch-design and protocol-financial covariates (insider, team, and investor allocation;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separate rule-making power from holdings: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 Applied across sectors, the audit also distinguishes DePIN from DeFi: DePIN governance is more concentrated than DeFi after correction, a directionally robust medium effect (Cohen’s d = 0.65, Mann-Whitney p = 0.028), reported as a descriptive sector contrast, not as the central claim.</w:t>
      </w:r>
    </w:p>
    <w:p>
      <w:pPr>
        <w:pStyle w:val="BodyText"/>
      </w:pPr>
      <w:r>
        <w:t xml:space="preserve">Holder-list concentration is meaningless until the unit of control is identified. The five-class PCA-exclusion typology is control attribution, not data cleaning, correcting systematic inflation in prior holder-list studies (median factor 2.3x, maximum approximately 18x); once control is attributed, Gini and HHI capture distinct properties of the same holder set (r = 0.52), and inequality metrics cannot substitute for direct concentration measurement. All findings are descriptive associations from a single March 2026 cross-section, not causal claims; the audit standard and the current-control thesis are general, while the specific point estimates are bounded to that sample. The paper specifies five forward predictions with falsification thresholds and commits to Open Science Framework pre-registration before any panel or event-study extension. The practical implication is a changed audit default: a decentralization claim requires a live-governance audit of PCA-corrected holdings, insider retention, and voting power, not launch allocation or raw holder lists.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live-governance audit, Herfindahl-Hirschman Index, protocol-controlled addresses, insider retention, voting power concentration, delegation amplification, DePIN, DAO governance, tokenomics</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p>
    <w:p>
      <w:pPr>
        <w:pStyle w:val="BodyText"/>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Read through the legal-governance theory of Pagallo, Casanovas,</w:t>
      </w:r>
      <w:r>
        <w:t xml:space="preserve"> </w:t>
      </w:r>
      <w:r>
        <w:t xml:space="preserve">and Madelin (2019), this post-distribution character places</w:t>
      </w:r>
      <w:r>
        <w:t xml:space="preserve"> </w:t>
      </w:r>
      <w:r>
        <w:t xml:space="preserve">governance concentration at a middle-out interface between</w:t>
      </w:r>
      <w:r>
        <w:t xml:space="preserve"> </w:t>
      </w:r>
      <w:r>
        <w:t xml:space="preserve">bottom-up self-regulation (code and market accumulation) and</w:t>
      </w:r>
      <w:r>
        <w:t xml:space="preserve"> </w:t>
      </w:r>
      <w:r>
        <w:t xml:space="preserve">top-down mandate, where neither pure code-as-law nor external</w:t>
      </w:r>
      <w:r>
        <w:t xml:space="preserve"> </w:t>
      </w:r>
      <w:r>
        <w:t xml:space="preserve">rule-making alone fixes who can exercise voting power.</w:t>
      </w:r>
      <w:r>
        <w:t xml:space="preserve"> </w:t>
      </w:r>
      <w:r>
        <w:t xml:space="preserve">Concentration is the equilibrium that delegation,</w:t>
      </w:r>
      <w:r>
        <w:t xml:space="preserve"> </w:t>
      </w:r>
      <w:r>
        <w:t xml:space="preserve">voting-mechanism, and insider-retention choices produce at that</w:t>
      </w:r>
      <w:r>
        <w:t xml:space="preserve"> </w:t>
      </w:r>
      <w:r>
        <w:t xml:space="preserve">intermediate layer.</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classified by control status, separating independent governance holders from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 paper; each defines a surface a live-governance audit must measure.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Pagallo, Casanovas, and Madelin (2019)</w:t>
      </w:r>
      <w:r>
        <w:t xml:space="preserve"> </w:t>
      </w:r>
      <w:r>
        <w:t xml:space="preserve">frame such patterns as the outcome of multiple regulatory systems,</w:t>
      </w:r>
      <w:r>
        <w:t xml:space="preserve"> </w:t>
      </w:r>
      <w:r>
        <w:t xml:space="preserve">law, market forces, social norms, and technology as lex informatica,</w:t>
      </w:r>
      <w:r>
        <w:t xml:space="preserve"> </w:t>
      </w:r>
      <w:r>
        <w:t xml:space="preserve">that compete, reinforce one another, or render one another</w:t>
      </w:r>
      <w:r>
        <w:t xml:space="preserve"> </w:t>
      </w:r>
      <w:r>
        <w:t xml:space="preserve">superfluous; on that reading governance concentration is the</w:t>
      </w:r>
      <w:r>
        <w:t xml:space="preserve"> </w:t>
      </w:r>
      <w:r>
        <w:t xml:space="preserve">equilibrium where smart-contract architecture, market accumulation,</w:t>
      </w:r>
      <w:r>
        <w:t xml:space="preserve"> </w:t>
      </w:r>
      <w:r>
        <w:t xml:space="preserve">delegate incentives, and protocol rules jointly determine who can</w:t>
      </w:r>
      <w:r>
        <w:t xml:space="preserve"> </w:t>
      </w:r>
      <w:r>
        <w:t xml:space="preserve">exercise voting power.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6"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holder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t xml:space="preserve">The HHI 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over a 12-month rolling window (2025-05-22 to</w:t>
      </w:r>
      <w:r>
        <w:t xml:space="preserve"> </w:t>
      </w:r>
      <w:r>
        <w:t xml:space="preserve">2026-05-22) of Tally and Snapshot governance data, while the Table 3</w:t>
      </w:r>
      <w:r>
        <w:t xml:space="preserve"> </w:t>
      </w:r>
      <w:r>
        <w:t xml:space="preserve">holding HHI uses a March 2026 holder-list snapshot. Voting-power</w:t>
      </w:r>
      <w:r>
        <w:t xml:space="preserve"> </w:t>
      </w:r>
      <w:r>
        <w:t xml:space="preserve">distributions can drift over multi-month windows, so replication runs</w:t>
      </w:r>
      <w:r>
        <w:t xml:space="preserve"> </w:t>
      </w:r>
      <w:r>
        <w:t xml:space="preserve">using fresh data should expect comparable but not identical voting HHI</w:t>
      </w:r>
      <w:r>
        <w:t xml:space="preserve"> </w:t>
      </w:r>
      <w:r>
        <w:t xml:space="preserve">values, with rank ordering across protocols the more durable inferential</w:t>
      </w:r>
      <w:r>
        <w:t xml:space="preserve"> </w:t>
      </w:r>
      <w:r>
        <w:t xml:space="preserve">property than absolute magnitude. Two robustness checks support this</w:t>
      </w:r>
      <w:r>
        <w:t xml:space="preserve"> </w:t>
      </w:r>
      <w:r>
        <w:t xml:space="preserve">durability claim. First, Table 6b recomputes pooled voting HHI over each</w:t>
      </w:r>
      <w:r>
        <w:t xml:space="preserve"> </w:t>
      </w:r>
      <w:r>
        <w:t xml:space="preserve">protocol’s complete same-surface proposal history for the twelve</w:t>
      </w:r>
      <w:r>
        <w:t xml:space="preserve"> </w:t>
      </w:r>
      <w:r>
        <w:t xml:space="preserve">protocols with a same-surface full-history pool; the 12-month and</w:t>
      </w:r>
      <w:r>
        <w:t xml:space="preserve"> </w:t>
      </w:r>
      <w:r>
        <w:t xml:space="preserve">full-history values are rank-stable (Spearman rho = 0.87) and preserve</w:t>
      </w:r>
      <w:r>
        <w:t xml:space="preserve"> </w:t>
      </w:r>
      <w:r>
        <w:t xml:space="preserve">every amplify-or-disperse classification. Second, Section 4.5.4.2 reports</w:t>
      </w:r>
      <w:r>
        <w:t xml:space="preserve"> </w:t>
      </w:r>
      <w:r>
        <w:t xml:space="preserve">per-period voting-HHI trajectories that are stable across multi-year</w:t>
      </w:r>
      <w:r>
        <w:t xml:space="preserve"> </w:t>
      </w:r>
      <w:r>
        <w:t xml:space="preserve">windows of normal participation. Section 4.6 reports a PCA-symmetric</w:t>
      </w:r>
      <w:r>
        <w:t xml:space="preserve"> </w:t>
      </w:r>
      <w:r>
        <w:t xml:space="preserve">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DRIFT via Helius RPC parsing of SPL Governance VoteRecordV2 accounts and HNT via Helius RPC reconstruction of Voter Stake Registry (VSR) lockup-position state, both protocols under VSR lockup-weighted vote design).</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lockup-weighted voters; weights from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VSR lockup-weighted voters; weights from VoteRecordV2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removed before holding HHI is</w:t>
      </w:r>
      <w:r>
        <w:t xml:space="preserve"> </w:t>
      </w:r>
      <w:r>
        <w:t xml:space="preserve">computed (133 exclusions across 38 protocols per the exclusions log,</w:t>
      </w:r>
      <w:r>
        <w:t xml:space="preserve"> </w:t>
      </w:r>
      <w:r>
        <w:t xml:space="preserve">spanning 125 distinct addresses, five of which recur across multiple</w:t>
      </w:r>
      <w:r>
        <w:t xml:space="preserve"> </w:t>
      </w:r>
      <w:r>
        <w:t xml:space="preserve">protocols), and they are not counted as insiders in the insider count</w:t>
      </w:r>
      <w:r>
        <w:t xml:space="preserve"> </w:t>
      </w:r>
      <w:r>
        <w:t xml:space="preserve">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Protocol-controlled-address (PCA) exclusion is best understood as</w:t>
      </w:r>
      <w:r>
        <w:t xml:space="preserve"> </w:t>
      </w:r>
      <w:r>
        <w:t xml:space="preserve">control attribution rather than data cleaning. Holder-list</w:t>
      </w:r>
      <w:r>
        <w:t xml:space="preserve"> </w:t>
      </w:r>
      <w:r>
        <w:t xml:space="preserve">concentration is uninformative until the unit of control is identified:</w:t>
      </w:r>
      <w:r>
        <w:t xml:space="preserve"> </w:t>
      </w:r>
      <w:r>
        <w:t xml:space="preserve">the same address list yields a different concentration reading</w:t>
      </w:r>
      <w:r>
        <w:t xml:space="preserve"> </w:t>
      </w:r>
      <w:r>
        <w:t xml:space="preserve">depending on which positions represent an independent governance</w:t>
      </w:r>
      <w:r>
        <w:t xml:space="preserve"> </w:t>
      </w:r>
      <w:r>
        <w:t xml:space="preserve">holder and which represent burn sinks, foundation custody, staking</w:t>
      </w:r>
      <w:r>
        <w:t xml:space="preserve"> </w:t>
      </w:r>
      <w:r>
        <w:t xml:space="preserve">aggregators, bridge accounting, or exchange deposits. Excluding</w:t>
      </w:r>
      <w:r>
        <w:t xml:space="preserve"> </w:t>
      </w:r>
      <w:r>
        <w:t xml:space="preserve">protocol-controlled addresses is the step that attributes the unit of</w:t>
      </w:r>
      <w:r>
        <w:t xml:space="preserve"> </w:t>
      </w:r>
      <w:r>
        <w:t xml:space="preserve">control; it is not a tidying pass applied to otherwise-meaningful</w:t>
      </w:r>
      <w:r>
        <w:t xml:space="preserve"> </w:t>
      </w:r>
      <w:r>
        <w:t xml:space="preserve">numbers. The PCA-exclusion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because the classes mark the addresses whose</w:t>
      </w:r>
      <w:r>
        <w:t xml:space="preserve"> </w:t>
      </w:r>
      <w:r>
        <w:t xml:space="preserve">holdings are not independent units of control.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 38 protocols (the supplementary exclusions 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is the control-attribution step itself,</w:t>
      </w:r>
      <w:r>
        <w:t xml:space="preserve"> </w:t>
      </w:r>
      <w:r>
        <w:t xml:space="preserve">not a data-cleaning convenience: any future cross-protocol governance</w:t>
      </w:r>
      <w:r>
        <w:t xml:space="preserve"> </w:t>
      </w:r>
      <w:r>
        <w:t xml:space="preserve">HHI analysis should apply the five-class PCA exclusion uniformly before reporting</w:t>
      </w:r>
      <w:r>
        <w:t xml:space="preserve"> </w:t>
      </w:r>
      <w:r>
        <w:t xml:space="preserve">holding concentration metrics, because until protocol-controlled addresses are</w:t>
      </w:r>
      <w:r>
        <w:t xml:space="preserve"> </w:t>
      </w:r>
      <w:r>
        <w:t xml:space="preserve">removed the holder list has not yet identified its unit of control and the resulting</w:t>
      </w:r>
      <w:r>
        <w:t xml:space="preserve"> </w:t>
      </w:r>
      <w:r>
        <w:t xml:space="preserve">concentration figure measures custody arrangements rather than governance holding.</w:t>
      </w:r>
      <w:r>
        <w:t xml:space="preserve"> </w:t>
      </w:r>
      <w:r>
        <w:t xml:space="preserve">The specific addresses depend on the protocol sample; the methodology is sample-independent, which makes it the stable foundation for the multi-surface extensions specified in Section 5.8.</w:t>
      </w:r>
    </w:p>
    <w:bookmarkEnd w:id="43"/>
    <w:bookmarkStart w:id="45" w:name="data-and-code-availability"/>
    <w:p>
      <w:pPr>
        <w:pStyle w:val="Heading2"/>
      </w:pPr>
      <w:r>
        <w:t xml:space="preserve">3.9 Data and Code Availability</w:t>
      </w:r>
    </w:p>
    <w:p>
      <w:pPr>
        <w:pStyle w:val="FirstParagraph"/>
      </w:pPr>
      <w:r>
        <w:t xml:space="preserve">All data and code required to reproduce the analysis are available in the public replication repository at</w:t>
      </w:r>
      <w:r>
        <w:t xml:space="preserve"> </w:t>
      </w:r>
      <w:hyperlink r:id="rId44">
        <w:r>
          <w:rPr>
            <w:rStyle w:val="Hyperlink"/>
          </w:rPr>
          <w:t xml:space="preserve">https://github.com/Research-Publications-and-Data/Tokenomics-As-Institutional_Design</w:t>
        </w:r>
      </w:hyperlink>
      <w:r>
        <w:t xml:space="preserve">: the address-by-address protocol-controlled-address exclusion log, the regression dataset, the per-protocol holder distributions, and the per-table and per-figure replication scripts. The statistics ledger (Supplementary File S0) lists every body-text statistic with its sample size and reporting convention, reconciling the body, tables, figures, abstract, and conclusion to that single dataset. The full reproducibility procedure, including the per-table and per-figure regeneration commands, is detailed in Section 5.9.</w:t>
      </w:r>
    </w:p>
    <w:bookmarkEnd w:id="45"/>
    <w:bookmarkEnd w:id="46"/>
    <w:bookmarkStart w:id="97" w:name="results"/>
    <w:p>
      <w:pPr>
        <w:pStyle w:val="Heading1"/>
      </w:pPr>
      <w:r>
        <w:t xml:space="preserve">4 Results</w:t>
      </w:r>
    </w:p>
    <w:bookmarkStart w:id="47"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7"/>
    <w:bookmarkStart w:id="52"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9" name="Picture"/>
            <a:graphic>
              <a:graphicData uri="http://schemas.openxmlformats.org/drawingml/2006/picture">
                <pic:pic>
                  <pic:nvPicPr>
                    <pic:cNvPr descr="media/fig3_hhi_bar_40protocols.png" id="50" name="Picture"/>
                    <pic:cNvPicPr>
                      <a:picLocks noChangeArrowheads="1" noChangeAspect="1"/>
                    </pic:cNvPicPr>
                  </pic:nvPicPr>
                  <pic:blipFill>
                    <a:blip r:embed="rId48"/>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51">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r>
        <w:rPr>
          <w:b/>
          <w:bCs/>
        </w:rPr>
        <w:t xml:space="preserve">Reading Table 3.</w:t>
      </w:r>
      <w:r>
        <w:t xml:space="preserve"> </w:t>
      </w:r>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51">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2"/>
    <w:bookmarkStart w:id="60" w:name="depin-vs.-defi-contrast"/>
    <w:p>
      <w:pPr>
        <w:pStyle w:val="Heading2"/>
      </w:pPr>
      <w:r>
        <w:t xml:space="preserve">4.3 DePIN vs. DeFi Contrast</w:t>
      </w:r>
    </w:p>
    <w:p>
      <w:pPr>
        <w:pStyle w:val="FirstParagraph"/>
      </w:pPr>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4" name="Picture"/>
            <a:graphic>
              <a:graphicData uri="http://schemas.openxmlformats.org/drawingml/2006/picture">
                <pic:pic>
                  <pic:nvPicPr>
                    <pic:cNvPr descr="media/fig4_sector_boxplot.png" id="55" name="Picture"/>
                    <pic:cNvPicPr>
                      <a:picLocks noChangeArrowheads="1" noChangeAspect="1"/>
                    </pic:cNvPicPr>
                  </pic:nvPicPr>
                  <pic:blipFill>
                    <a:blip r:embed="rId53"/>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7" name="Picture"/>
            <a:graphic>
              <a:graphicData uri="http://schemas.openxmlformats.org/drawingml/2006/picture">
                <pic:pic>
                  <pic:nvPicPr>
                    <pic:cNvPr descr="media/fig_sector_3class_n52.png" id="58" name="Picture"/>
                    <pic:cNvPicPr>
                      <a:picLocks noChangeArrowheads="1" noChangeAspect="1"/>
                    </pic:cNvPicPr>
                  </pic:nvPicPr>
                  <pic:blipFill>
                    <a:blip r:embed="rId56"/>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9"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9"/>
    <w:bookmarkEnd w:id="60"/>
    <w:bookmarkStart w:id="64"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w:t>
      </w:r>
      <w:r>
        <w:t xml:space="preserve"> </w:t>
      </w:r>
      <w:r>
        <w:rPr>
          <w:b/>
          <w:bCs/>
        </w:rPr>
        <w:t xml:space="preserve">Before versus after correction.</w:t>
      </w:r>
      <w:r>
        <w:t xml:space="preserve"> </w:t>
      </w:r>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p>
    <w:p>
      <w:pPr>
        <w:pStyle w:val="BodyText"/>
      </w:pPr>
      <w:r>
        <w:t xml:space="preserve">The percentage of total supply allocated to team and</w:t>
      </w:r>
      <w:r>
        <w:t xml:space="preserve"> </w:t>
      </w:r>
      <w:r>
        <w:t xml:space="preserve">investors at launch shows no significant association with</w:t>
      </w:r>
      <w:r>
        <w:t xml:space="preserve"> </w:t>
      </w:r>
      <w:r>
        <w:t xml:space="preserve">post-distribution HHI (Pearson r = 0.09, p = 0.55, N = 50; Spearman rho</w:t>
      </w:r>
      <w:r>
        <w:t xml:space="preserve"> </w:t>
      </w:r>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2" name="Picture"/>
            <a:graphic>
              <a:graphicData uri="http://schemas.openxmlformats.org/drawingml/2006/picture">
                <pic:pic>
                  <pic:nvPicPr>
                    <pic:cNvPr descr="media/fig5_allocation_scatter.png" id="63" name="Picture"/>
                    <pic:cNvPicPr>
                      <a:picLocks noChangeArrowheads="1" noChangeAspect="1"/>
                    </pic:cNvPicPr>
                  </pic:nvPicPr>
                  <pic:blipFill>
                    <a:blip r:embed="rId61"/>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0.09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4"/>
    <w:bookmarkStart w:id="81"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DRIFT via Helius RPC parsing of SPL Governance</w:t>
      </w:r>
      <w:r>
        <w:t xml:space="preserve"> </w:t>
      </w:r>
      <w:r>
        <w:t xml:space="preserve">VoteRecordV2 accounts and HNT via Helius RPC reconstruction of Voter Stake</w:t>
      </w:r>
      <w:r>
        <w:t xml:space="preserve"> </w:t>
      </w:r>
      <w:r>
        <w:t xml:space="preserve">Registry (VSR) lockup-position state, both VSR-lockup-weighted)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r>
        <w:rPr>
          <w:b/>
          <w:bCs/>
          <w:i/>
          <w:iCs/>
        </w:rPr>
        <w:t xml:space="preserve">Table 6b.</w:t>
      </w:r>
      <w:r>
        <w:rPr>
          <w:i/>
          <w:iCs/>
        </w:rPr>
        <w:t xml:space="preserve"> </w:t>
      </w:r>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p>
    <w:p>
      <w:pPr>
        <w:pStyle w:val="BodyText"/>
      </w:pPr>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p>
    <w:p>
      <w:pPr>
        <w:pStyle w:val="BodyText"/>
      </w:pPr>
      <w:r>
        <w:drawing>
          <wp:inline>
            <wp:extent cx="5334000" cy="3008353"/>
            <wp:effectExtent b="0" l="0" r="0" t="0"/>
            <wp:docPr descr="" title="" id="66" name="Picture"/>
            <a:graphic>
              <a:graphicData uri="http://schemas.openxmlformats.org/drawingml/2006/picture">
                <pic:pic>
                  <pic:nvPicPr>
                    <pic:cNvPr descr="media/exhibit_delegation_adjusted.png" id="67" name="Picture"/>
                    <pic:cNvPicPr>
                      <a:picLocks noChangeArrowheads="1" noChangeAspect="1"/>
                    </pic:cNvPicPr>
                  </pic:nvPicPr>
                  <pic:blipFill>
                    <a:blip r:embed="rId65"/>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8">
        <w:r>
          <w:rPr>
            <w:rStyle w:val="Hyperlink"/>
          </w:rPr>
          <w:t xml:space="preserve">Supplementary File S14</w:t>
        </w:r>
      </w:hyperlink>
      <w:r>
        <w:t xml:space="preserve">.</w:t>
      </w:r>
    </w:p>
    <w:bookmarkStart w:id="69"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9"/>
    <w:bookmarkStart w:id="70"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70"/>
    <w:bookmarkStart w:id="71"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71"/>
    <w:bookmarkStart w:id="72"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2"/>
    <w:bookmarkStart w:id="73"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3"/>
    <w:bookmarkStart w:id="74"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4"/>
    <w:bookmarkStart w:id="78" w:name="X3e309855b03a6d16c692cf733d7205e5f5ddaa9"/>
    <w:p>
      <w:pPr>
        <w:pStyle w:val="Heading3"/>
      </w:pPr>
      <w:r>
        <w:t xml:space="preserve">4.5.4.2 Multi-year voting-concentration trajectories</w:t>
      </w:r>
    </w:p>
    <w:p>
      <w:pPr>
        <w:pStyle w:val="FirstParagraph"/>
      </w:pPr>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r>
              <w:t xml:space="preserve">GP15 spike is post-rewards regime change</w:t>
            </w:r>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r>
              <w:t xml:space="preserve">GIP-1 peak (37 voters); no monotonic trend</w:t>
            </w:r>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r>
              <w:t xml:space="preserve">per-proposal; stable across pre-141 window</w:t>
            </w:r>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r>
        <w:rPr>
          <w:b/>
          <w:bCs/>
          <w:i/>
          <w:iCs/>
        </w:rPr>
        <w:t xml:space="preserve">Table 7.</w:t>
      </w:r>
      <w:r>
        <w:rPr>
          <w:i/>
          <w:iCs/>
        </w:rPr>
        <w:t xml:space="preserve"> </w:t>
      </w:r>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p>
    <w:p>
      <w:pPr>
        <w:pStyle w:val="BodyText"/>
      </w:pPr>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p>
    <w:p>
      <w:pPr>
        <w:pStyle w:val="BodyText"/>
      </w:pPr>
      <w:r>
        <w:drawing>
          <wp:inline>
            <wp:extent cx="5334000" cy="2916557"/>
            <wp:effectExtent b="0" l="0" r="0" t="0"/>
            <wp:docPr descr="" title="" id="76" name="Picture"/>
            <a:graphic>
              <a:graphicData uri="http://schemas.openxmlformats.org/drawingml/2006/picture">
                <pic:pic>
                  <pic:nvPicPr>
                    <pic:cNvPr descr="media/fig_voting_trajectory.png" id="77" name="Picture"/>
                    <pic:cNvPicPr>
                      <a:picLocks noChangeArrowheads="1" noChangeAspect="1"/>
                    </pic:cNvPicPr>
                  </pic:nvPicPr>
                  <pic:blipFill>
                    <a:blip r:embed="rId75"/>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r>
        <w:rPr>
          <w:i/>
          <w:iCs/>
        </w:rPr>
        <w:t xml:space="preserve"> </w:t>
      </w:r>
      <w:r>
        <w:rPr>
          <w:rStyle w:val="VerbatimChar"/>
          <w:i/>
          <w:iCs/>
        </w:rPr>
        <w:t xml:space="preserve">exhibits/figures/fig_voting_trajectory.py</w:t>
      </w:r>
      <w:r>
        <w:rPr>
          <w:i/>
          <w:iCs/>
        </w:rPr>
        <w:t xml:space="preserve">.</w:t>
      </w:r>
    </w:p>
    <w:bookmarkEnd w:id="78"/>
    <w:bookmarkStart w:id="80"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9">
        <w:r>
          <w:rPr>
            <w:rStyle w:val="Hyperlink"/>
          </w:rPr>
          <w:t xml:space="preserve">Supplementary File S25</w:t>
        </w:r>
      </w:hyperlink>
      <w:r>
        <w:t xml:space="preserve">.</w:t>
      </w:r>
    </w:p>
    <w:bookmarkEnd w:id="80"/>
    <w:bookmarkEnd w:id="81"/>
    <w:bookmarkStart w:id="96"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83" name="Picture"/>
            <a:graphic>
              <a:graphicData uri="http://schemas.openxmlformats.org/drawingml/2006/picture">
                <pic:pic>
                  <pic:nvPicPr>
                    <pic:cNvPr descr="media/fig9_loo_forest.png" id="84" name="Picture"/>
                    <pic:cNvPicPr>
                      <a:picLocks noChangeArrowheads="1" noChangeAspect="1"/>
                    </pic:cNvPicPr>
                  </pic:nvPicPr>
                  <pic:blipFill>
                    <a:blip r:embed="rId82"/>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5">
        <w:r>
          <w:rPr>
            <w:rStyle w:val="Hyperlink"/>
          </w:rPr>
          <w:t xml:space="preserve">Supplementary File S8</w:t>
        </w:r>
      </w:hyperlink>
      <w:r>
        <w:t xml:space="preserve">.</w:t>
      </w:r>
    </w:p>
    <w:p>
      <w:pPr>
        <w:pStyle w:val="BodyText"/>
      </w:pPr>
      <w:r>
        <w:drawing>
          <wp:inline>
            <wp:extent cx="5334000" cy="4186514"/>
            <wp:effectExtent b="0" l="0" r="0" t="0"/>
            <wp:docPr descr="" title="" id="87" name="Picture"/>
            <a:graphic>
              <a:graphicData uri="http://schemas.openxmlformats.org/drawingml/2006/picture">
                <pic:pic>
                  <pic:nvPicPr>
                    <pic:cNvPr descr="media/fig7_subsidy_scatter.png" id="88" name="Picture"/>
                    <pic:cNvPicPr>
                      <a:picLocks noChangeArrowheads="1" noChangeAspect="1"/>
                    </pic:cNvPicPr>
                  </pic:nvPicPr>
                  <pic:blipFill>
                    <a:blip r:embed="rId86"/>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5">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90"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9">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9">
        <w:r>
          <w:rPr>
            <w:rStyle w:val="Hyperlink"/>
          </w:rPr>
          <w:t xml:space="preserve">Supplementary File S12</w:t>
        </w:r>
      </w:hyperlink>
      <w:r>
        <w:t xml:space="preserve">.</w:t>
      </w:r>
    </w:p>
    <w:bookmarkEnd w:id="90"/>
    <w:bookmarkStart w:id="92"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91">
        <w:r>
          <w:rPr>
            <w:rStyle w:val="Hyperlink"/>
          </w:rPr>
          <w:t xml:space="preserve">Supplementary File S10</w:t>
        </w:r>
      </w:hyperlink>
      <w:r>
        <w:t xml:space="preserve">.</w:t>
      </w:r>
    </w:p>
    <w:bookmarkEnd w:id="92"/>
    <w:bookmarkStart w:id="94"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r>
        <w:t xml:space="preserve"> </w:t>
      </w:r>
      <w:hyperlink r:id="rId93">
        <w:r>
          <w:rPr>
            <w:rStyle w:val="Hyperlink"/>
          </w:rPr>
          <w:t xml:space="preserve">Supplementary File S9</w:t>
        </w:r>
      </w:hyperlink>
      <w:r>
        <w:t xml:space="preserve"> </w:t>
      </w:r>
      <w:r>
        <w:t xml:space="preserve">rather than as a measure comparable across the holding and voting axes. The substitution failure is therefore more severe for voting power than for holdings: HHI, not an inequality coefficient, must be the primary voting-concentration measure.</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94"/>
    <w:bookmarkStart w:id="95"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5"/>
    <w:bookmarkEnd w:id="96"/>
    <w:bookmarkEnd w:id="97"/>
    <w:bookmarkStart w:id="110" w:name="discussion"/>
    <w:p>
      <w:pPr>
        <w:pStyle w:val="Heading1"/>
      </w:pPr>
      <w:r>
        <w:t xml:space="preserve">5 Discussion</w:t>
      </w:r>
    </w:p>
    <w:bookmarkStart w:id="98" w:name="measurement-implications"/>
    <w:p>
      <w:pPr>
        <w:pStyle w:val="Heading2"/>
      </w:pPr>
      <w:r>
        <w:t xml:space="preserve">5.1 Measurement Implications</w:t>
      </w:r>
    </w:p>
    <w:p>
      <w:pPr>
        <w:pStyle w:val="FirstParagraph"/>
      </w:pPr>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8"/>
    <w:bookmarkStart w:id="9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These levers are consistent with the legal-governance theory of</w:t>
      </w:r>
      <w:r>
        <w:t xml:space="preserve"> </w:t>
      </w:r>
      <w:r>
        <w:t xml:space="preserve">Pagallo, Casanovas, and Madelin (2019), on which durable solutions</w:t>
      </w:r>
      <w:r>
        <w:t xml:space="preserve"> </w:t>
      </w:r>
      <w:r>
        <w:t xml:space="preserve">sit not at the extremes of pure code-as-law (bottom-up alone) or</w:t>
      </w:r>
      <w:r>
        <w:t xml:space="preserve"> </w:t>
      </w:r>
      <w:r>
        <w:t xml:space="preserve">pure mandate (top-down alone) but at a middle-out interface where</w:t>
      </w:r>
      <w:r>
        <w:t xml:space="preserve"> </w:t>
      </w:r>
      <w:r>
        <w:t xml:space="preserve">protocol design, market incentives, and governance rules jointly</w:t>
      </w:r>
      <w:r>
        <w:t xml:space="preserve"> </w:t>
      </w:r>
      <w:r>
        <w:t xml:space="preserve">constrain behaviour; co-regulation is one instance of that layer,</w:t>
      </w:r>
      <w:r>
        <w:t xml:space="preserve"> </w:t>
      </w:r>
      <w:r>
        <w:t xml:space="preserve">and delegate-program design, insider-retention rules, and</w:t>
      </w:r>
      <w:r>
        <w:t xml:space="preserve"> </w:t>
      </w:r>
      <w:r>
        <w:t xml:space="preserve">vote-escrow parameters are others. The design question is</w:t>
      </w:r>
      <w:r>
        <w:t xml:space="preserve"> </w:t>
      </w:r>
      <w:r>
        <w:t xml:space="preserve">therefore not decentralization versus centralization but which</w:t>
      </w:r>
      <w:r>
        <w:t xml:space="preserve"> </w:t>
      </w:r>
      <w:r>
        <w:t xml:space="preserve">equilibrium a protocol selects at that middle-out layer.</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9"/>
    <w:bookmarkStart w:id="10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p>
    <w:bookmarkEnd w:id="100"/>
    <w:bookmarkStart w:id="101"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101"/>
    <w:bookmarkStart w:id="102"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102"/>
    <w:bookmarkStart w:id="103" w:name="contributions"/>
    <w:p>
      <w:pPr>
        <w:pStyle w:val="Heading2"/>
      </w:pPr>
      <w:r>
        <w:t xml:space="preserve">5.6 Contributions</w:t>
      </w:r>
    </w:p>
    <w:p>
      <w:pPr>
        <w:pStyle w:val="FirstParagraph"/>
      </w:pPr>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 as a demonstration of the audit method</w:t>
      </w:r>
      <w:r>
        <w:t xml:space="preserve"> </w:t>
      </w:r>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103"/>
    <w:bookmarkStart w:id="104" w:name="limitations"/>
    <w:p>
      <w:pPr>
        <w:pStyle w:val="Heading2"/>
      </w:pPr>
      <w:r>
        <w:t xml:space="preserve">5.7 Limitations</w:t>
      </w:r>
    </w:p>
    <w:p>
      <w:pPr>
        <w:pStyle w:val="FirstParagraph"/>
      </w:pPr>
      <w:r>
        <w:t xml:space="preserve">The boundaries of the evidence map onto the control surfaces the audit framework measures, and onto the surfaces it does not yet reach. We organize them as five scopes.</w:t>
      </w:r>
    </w:p>
    <w:p>
      <w:pPr>
        <w:pStyle w:val="BodyText"/>
      </w:pPr>
      <w:r>
        <w:rPr>
          <w:b/>
          <w:bCs/>
        </w:rPr>
        <w:t xml:space="preserve">Temporal scope.</w:t>
      </w:r>
      <w:r>
        <w:t xml:space="preserve"> </w:t>
      </w:r>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p>
    <w:p>
      <w:pPr>
        <w:pStyle w:val="BodyText"/>
      </w:pPr>
      <w:r>
        <w:rPr>
          <w:b/>
          <w:bCs/>
        </w:rPr>
        <w:t xml:space="preserve">Measurement scope.</w:t>
      </w:r>
      <w:r>
        <w:t xml:space="preserve"> </w:t>
      </w:r>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p>
    <w:p>
      <w:pPr>
        <w:pStyle w:val="BodyText"/>
      </w:pPr>
      <w:r>
        <w:rPr>
          <w:b/>
          <w:bCs/>
        </w:rPr>
        <w:t xml:space="preserve">Classification scope.</w:t>
      </w:r>
      <w:r>
        <w:t xml:space="preserve"> </w:t>
      </w:r>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p>
    <w:p>
      <w:pPr>
        <w:pStyle w:val="BodyText"/>
      </w:pPr>
      <w:r>
        <w:rPr>
          <w:b/>
          <w:bCs/>
        </w:rPr>
        <w:t xml:space="preserve">Sample scope.</w:t>
      </w:r>
      <w:r>
        <w:t xml:space="preserve"> </w:t>
      </w:r>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p>
    <w:p>
      <w:pPr>
        <w:pStyle w:val="BodyText"/>
      </w:pPr>
      <w:r>
        <w:rPr>
          <w:b/>
          <w:bCs/>
        </w:rPr>
        <w:t xml:space="preserve">Sector-contrast scope.</w:t>
      </w:r>
      <w:r>
        <w:t xml:space="preserve"> </w:t>
      </w:r>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p>
    <w:bookmarkEnd w:id="104"/>
    <w:bookmarkStart w:id="108" w:name="future-research"/>
    <w:p>
      <w:pPr>
        <w:pStyle w:val="Heading2"/>
      </w:pPr>
      <w:r>
        <w:t xml:space="preserve">5.8 Future Research</w:t>
      </w:r>
    </w:p>
    <w:p>
      <w:pPr>
        <w:pStyle w:val="FirstParagraph"/>
      </w:pPr>
      <w:r>
        <w:t xml:space="preserve">The forward agenda groups into three workstreams, each extending the audit framework to a control surface the present cross-section measures only partially.</w:t>
      </w:r>
    </w:p>
    <w:p>
      <w:pPr>
        <w:pStyle w:val="BodyText"/>
      </w:pPr>
      <w:r>
        <w:rPr>
          <w:b/>
          <w:bCs/>
        </w:rPr>
        <w:t xml:space="preserve">Temporal validation.</w:t>
      </w:r>
      <w:r>
        <w:t xml:space="preserve"> </w:t>
      </w:r>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hyperlink r:id="rId105">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and a 14-protocol Q1/Q8 trajectory analysis (</w:t>
      </w:r>
      <w:hyperlink r:id="rId106">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rPr>
          <w:b/>
          <w:bCs/>
        </w:rPr>
        <w:t xml:space="preserve">Audit reproducibility.</w:t>
      </w:r>
      <w:r>
        <w:t xml:space="preserve"> </w:t>
      </w:r>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p>
    <w:p>
      <w:pPr>
        <w:pStyle w:val="BodyText"/>
      </w:pPr>
      <w:r>
        <w:rPr>
          <w:b/>
          <w:bCs/>
        </w:rPr>
        <w:t xml:space="preserve">Expanded concentration surfaces.</w:t>
      </w:r>
      <w:r>
        <w:t xml:space="preserve"> </w:t>
      </w:r>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p>
    <w:p>
      <w:pPr>
        <w:pStyle w:val="BodyText"/>
      </w:pPr>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7">
        <w:r>
          <w:rPr>
            <w:rStyle w:val="Hyperlink"/>
          </w:rPr>
          <w:t xml:space="preserve">Supplementary File S17</w:t>
        </w:r>
      </w:hyperlink>
      <w:r>
        <w:t xml:space="preserve">.</w:t>
      </w:r>
    </w:p>
    <w:bookmarkEnd w:id="108"/>
    <w:bookmarkStart w:id="109"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9"/>
    <w:bookmarkEnd w:id="110"/>
    <w:bookmarkStart w:id="111"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11"/>
    <w:bookmarkStart w:id="112"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12"/>
    <w:bookmarkStart w:id="11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3"/>
    <w:bookmarkStart w:id="11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2026-06-03T18:21:28Z</dcterms:created>
  <dcterms:modified xsi:type="dcterms:W3CDTF">2026-06-03T18:21:28Z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