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rPr>
          <w:sz w:val="20"/>
          <w:szCs w:val="20"/>
        </w:rPr>
        <w:t>Replication data: https://github.com/Research-Publications-and-Data/Tokenomics-As-Institutional_Design</w:t>
      </w:r>
    </w:p>
    <w:p>
      <w:pPr>
        <w:jc w:val="center"/>
      </w:pPr>
      <w:r>
        <w:t>March 2026</w:t>
      </w:r>
    </w:p>
    <w:p>
      <w:pPr>
        <w:pStyle w:val="Heading1"/>
      </w:pPr>
      <w:r>
        <w:t>Abstract</w:t>
      </w:r>
    </w:p>
    <w:p>
      <w:r>
        <w:rPr>
          <w:b w:val="0"/>
        </w:rPr>
        <w:t>Helium became the first GeoDePIN protocol where paid usage fully offsets token emissions, with its Subsidy-to-Revenue ratio (S2R) rising from 0.013 under coverage-based rewards to 1.84 after a 34-month transition (May 2023 to February 2026). Data Credit burns now exceed HNT emissions by approximately 84%, producing a net annual deflation of 3–4%. But roughly five purchasers account for 90% of those burns: a demand concentration that aggregate fiscal metrics cannot see. DIMO (S2R 4.24) subsequently became the second protocol to cross fiscal parity; GEODNET (0.62) and Hivemapper (0.183) occupy a growth-phase middle tier with confirmed revenue but continued subsidy dependence; the remaining protocols in the 13-protocol sample cluster near zero. Per a companion cross-sectional study, governance concentration in GeoDePIN tokens (Herfindahl-Hirschman Index 0.034 to 0.593) materially exceeds DeFi benchmarks (0.028 to 0.174).</w:t>
      </w:r>
    </w:p>
    <w:p>
      <w:r>
        <w:rPr>
          <w:b w:val="0"/>
        </w:rPr>
        <w:t xml:space="preserve">These findings emerge from a class of DePIN protocols the paper terms GeoDePIN: networks whose value depends on where hardware is deployed, not just that it exists. A hotspot in an unserved area is worth more than one in a saturated city center, which creates design pressures absent from compute-only DePIN alternatives: incentives must direct hardware to specific places, verification must prove physical presence under adversarial conditions, and subsidy tapers threaten network contraction when paid usage is thin. The paper tests a four-loop architecture (economic, operational, integrity, governance) against descriptive evidence from 13 protocols and a 34-month longitudinal case study of Helium.</w:t>
      </w:r>
    </w:p>
    <w:p>
      <w:r>
        <w:rPr>
          <w:b w:val="0"/>
        </w:rPr>
        <w:t>Four outputs organize the findings: a classification distinguishing GeoDePIN (location-dependent) from DeVIN (location-independent) protocols with testable predictions; a design playbook mapping mechanisms to protocol maturity stages; a health dashboard with demand-concentration guardrails; and a subtraction test identifying which mechanisms a protocol can remove without degrading performance.</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spacing w:before="240"/>
      </w:pPr>
      <w:r>
        <w:rPr>
          <w:b/>
        </w:rPr>
        <w:t>Index Terms: DePIN, token economics, mechanism design, infrastructure governance, Helium, Subsidy-to-Revenue ratio</w:t>
      </w:r>
      <w:r>
        <w:rPr/>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In mid-2024,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confirming that geographic saturation imposes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(constraints derived from Kantian publicity, Rawlsian fairness, republican non-domination, and Hayekian knowledge-use) is developed in a companion study [34].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The sinks-before-faucets principle, formalized as a design hypothesis in a companion study [34],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survey;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adaptive emission reduces node-count deviation by 68-76% under supply shocks, but emission model choice determines the monetary regime under stress: PID-controlled protocols produce deflation (circulating supply falls 23-45%), while static protocols produce inflation (supply rises 12-47%).</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150-357M tokens from circulation to treasury across all parameterizations,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[34].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Appendix A.</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Governance concentration: 8 protocols reported here (5 DePIN + 3 DeFi benchmarks) from the full 13-protocol sample.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1.84 in February 2026, crossing fiscal parity in October 2025 and remaining net-deflationary through the observation window.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mid-2024), as Mobile subscriber growth and IoT data transfer increased burn volume; (3) fiscal parity and beyond (S2R 1.03 to 1.84 , late 2025 to February 2026), when monthly burns consistently exceeded issuance.</w:t>
        <w:br/>
        <w:t>Helium became the first GeoDePIN protocol where demand-side spending fully offsets supply-side inflation. DIMO subsequently achieved S2R = 4.24, making it the second protocol to demonstrate fiscal parity through demand-coupled burns. A pricing caveat applies to Helium's December 2025 peak: WiFi offload traffic is priced at $0.10-0.25 per GB versus $0.50 for CBRS, and the annualized burn figure reflects a temporary Mobile burn allocation subsequently adjusted, so the S2R spike overstates steady-state equilibrium by an estimated 2-5x.</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provides causal evidence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Industrial organization theory formalizes this demand-concentration risk as protocol oligopsony [26]: when a small number of governance token holders unilaterally control emission rates and reward parameters, they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(2024).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Hypothesis mapping: The strongest single case for the service-over-presence principle. The S2R trajectory from 0.013 post-migration (May 2023) to 1.84 in February 2026 (with burns exceeding issuance since October 2025) demonstrates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The Helium case provides the strongest single-protocol evidence for two design principles: sinks before faucets, demonstrated by the S2R trajectory crossing parity only after demand-coupled burns were deployed; and service over presence, demonstrated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After excluding the DIMO Foundation address (verified via Blockscout, holding approximately 55% of supply with no on-chain governance activity), DIMO’s governance HHI drops from 0.305 to 0.038 [34]. Post-exclusion, DIMO is among the least concentrated DePIN governance tokens in the 40-protocol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Design lesson: DIMO illustrates the sink-before-scale principle (Section 2.2): the Developer License burn was operational before aggressive hardware distribution, ensuring token demand scaled with genuine data consumption. Pre-exclusion governance concentration (HHI 0.305, reduced to 0.038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fiscally self-sustaining pairs (Helium at 1.84, DIMO at 4.24).</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IoTeX operates a purpose-built Layer-1 blockchain optimized for Internet of Things devices and DePIN applications. The platform [16]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IoTeX employs an EIP-1559 [5]-style gas fee burn mechanism on its native L1 chain. Transaction fee [17]s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Enterprise clients (50+, including Quectel and DroneDeploy) purchase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Solana SPL token burn instructions reveal 15.1 million GEOD burned since the Solana migration (September 2024), with monthly burns ranging from 163,000 GEOD (October 2024, early migration) to 2.17 million GEOD (January 2025, peak). February 2026 burns totaled 1.34 million GEOD, yielding the S2R of 0.62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A demand-concentration analysis (the “Who Burns?” methodology from Section 5.1.2) reveals that GEODNET’s burn demand is substantially less concentrated than Helium’s: the top-5 burn signers account for 40.4% of total burns (burn-signer HHI 0.055), compared to Helium’s top-5 at approximately 90% (burn-signer HHI 0.27). The top-1 GEODNET signer holds 9.4% of burns versus Helium’s 43%. This difference is structurally informative: GEODNET’s subscription model distributes burn demand across dozens of enterprise clients, whereas Helium’s carrier-contract model concentrates burns in a few large institutional purchasers. The finding directly supports the health dashboard’s recommendation (Section 6.3) that demand concentration should be monitored alongside S2R: GEODNET’s lower burn concentration suggests greater demand-side resilience to single-buyer departure.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The S2R accelerated from approximately 0.15 in mid-2024 to 0.62 by early 2026 [32], exceeding Hivemapper (0.183) and approaching the trajectory that Helium followed before crossing fiscal parity. By early 2026, the network spanned 5,802 cities with median station earnings of $47.63 per month [32], and weekly GEOD burns had reached 1.06 million tokens.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enterprise client base (50+ organizations) and the non-discretionary nature of precision positioning for autonomous systems suggest demand resilience beyond speculative token use.</w:t>
      </w:r>
    </w:p>
    <w:p>
      <w:r>
        <w:t xml:space="preserve">The trajectory is not monotonic: accelerating vesting unlocks in Q2 2025 (monthly unlocks rose 60% from 23 million to 30 million tokens as team and investor allocations vested) temporarily overwhelmed subscription burn growth, collapsing the absorption rate despite a scheduled June 30 halving that cut mining rewards by 50% [45]. By January 2026, subscription growth had partially restored absorption to 62%. This pattern exposes a supply-side risk the S2R metric does not capture: vesting-driven dilution operates independently of emission schedules and can overwhelm organic demand even when the protocol’s mining rewards are contracting.</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cumulative burn trajectory (2022–2025). Dashed line marks the BME crossover (S2R = 1.0); shaded region indicates net-deflationary quarters.</w:t>
      </w:r>
    </w:p>
    <w:p>
      <w:r>
        <w:t xml:space="preserve">By early 2026, the network spanned 5,802 cities with median station earnings of $47.63 per month [32], and weekly GEOD burns had reached 1.06 million tokens.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 The burn-concentration finding extends the design lesson: GEODNET’s subscription-based burn model produces a burn-signer HHI (0.055) that is approximately one-fifth of Helium’s (0.27), suggesting that subscription-based demand architectures may be structurally more resilient than carrier-contract models, a testable hypothesis for the cross-protocol program outlined in Section 7.4.</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0.62</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S2R 0.62; burn Top-5 = 40.4%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 " = not measured; "N/A" = not applicable; "data-insufficient" = on-chain observability missing or schema prevents computation.</w:t>
      </w:r>
    </w:p>
    <w:p>
      <w:r>
        <w:rPr>
          <w:b w:val="0"/>
        </w:rPr>
        <w:t xml:space="preserve">A three-tier sustainability hierarchy emerges from the comparative summary (Table 4). At the top, Helium (S2R 1.84) and DIMO (S2R 4.24) have crossed fiscal parity, with burns exceeding issuance. In a growth-phase middle tier, GEODNET (S2R 0.62)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(peak S2R = 0.008),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Blockscout-verified exclusion methodology across 40 protocols [34]. That study documents that holding-based concentration is higher in DePIN than DeFi after protocol-controlled address exclusion (Mann-Whitney p = 0.031, Cohen’s d = 0.96), though the result is sensitive to sample composition. Delegation amplifies DePIN concentration 3 to 6 times above holding-based levels, while two infrastructure protocols diverge: Optimism 0.79x and Arbitrum 4.3x.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(0.62), and Hivemapper (0.183); Helium and DIMO have crossed fiscal parity (S2R ≥ 1.0), with GEODNET on an accelerating trajectory (Table 7). The normative framework motivating broader tokenomics design choices is developed in a companion study [34].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Subscription-based burns produce lower concentration than carrier contracts. GEODNET’s subscription model (Section 5.2.5) generates individually small but broadly distributed burns, contrasting with Helium’s carrier-contract dependence. Where service pricing must be predictable for enterprise buyers, a dual-token or credit-denominated model reduces reflexivity risk.</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Drawing on the empirical data assembled in Section 5, Table 8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every GeoDePIN with a burn mechanism. We propose tracking Top-5 burn share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Demand-concentration × S2R regime matrix for four GeoDePIN protocols. Quadrant boundaries: S2R = 1.0 (horizontal), HHI = 0.10 (vertical).</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Across four DePIN protocols with verified on-chain demand data, subscription-based burn models (GEODNET HHI = 0.055, DIMO HHI = 0.063) produce approximately four to five times less demand concentration than carrier or enterprise-contract models (Helium HHI = 0.27, Livepeer HHI = 0.31), a pattern consistent regardless of absolute revenue level or buyer count.</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GEODNET’s subscription model (HHI = 0.055) and DIMO’s license model (HHI = 0.063) produce four to five times less demand concentration, consistent with Resource Dependence Theory’s prediction that diversified revenue sources reduce buyer leverage.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subscription models structurally mitigate through buyer fragmentation.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8. DePIN health dashboard metrics with proposed 12-month targets, Helium actuals (February 2026), and empirical basis.</w:t>
      </w:r>
    </w:p>
    <w:p>
      <w:r>
        <w:rPr>
          <w:b w:val="0"/>
          <w:i/>
        </w:rPr>
        <w:t>Table 6. Health dashboard: proposed 12-month benchmarks.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w:t>
            </w:r>
          </w:p>
        </w:tc>
        <w:tc>
          <w:tcPr>
            <w:tcW w:type="dxa" w:w="727"/>
          </w:tcPr>
          <w:p>
            <w:r>
              <w:rPr>
                <w:sz w:val="16"/>
                <w:szCs w:val="16"/>
              </w:rPr>
              <w:t xml:space="preserve">0.31</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burn-and-mint active but not queryable via Dune</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0.62</w:t>
            </w:r>
          </w:p>
        </w:tc>
        <w:tc>
          <w:tcPr>
            <w:tcW w:type="dxa" w:w="1211"/>
          </w:tcPr>
          <w:p>
            <w:r>
              <w:rPr>
                <w:sz w:val="16"/>
                <w:szCs w:val="16"/>
              </w:rPr>
              <w:t>0.62</w:t>
            </w:r>
          </w:p>
        </w:tc>
        <w:tc>
          <w:tcPr>
            <w:tcW w:type="dxa" w:w="888"/>
          </w:tcPr>
          <w:p>
            <w:r>
              <w:rPr>
                <w:sz w:val="16"/>
                <w:szCs w:val="16"/>
              </w:rPr>
              <w:t>Feb 2026</w:t>
            </w:r>
          </w:p>
        </w:tc>
        <w:tc>
          <w:tcPr>
            <w:tcW w:type="dxa" w:w="2099"/>
          </w:tcPr>
          <w:p>
            <w:r>
              <w:rPr>
                <w:sz w:val="16"/>
                <w:szCs w:val="16"/>
              </w:rPr>
              <w:t>Dune Solana (on-chain)</w:t>
            </w:r>
          </w:p>
        </w:tc>
        <w:tc>
          <w:tcPr>
            <w:tcW w:type="dxa" w:w="727"/>
          </w:tcPr>
          <w:p>
            <w:r>
              <w:rPr>
                <w:sz w:val="16"/>
                <w:szCs w:val="16"/>
              </w:rPr>
              <w:t xml:space="preserve">0.055</w:t>
            </w:r>
          </w:p>
        </w:tc>
      </w:tr>
      <w:tr>
        <w:trPr>
          <w:cantSplit/>
        </w:trPr>
        <w:tc>
          <w:tcPr>
            <w:tcW w:type="dxa" w:w="1373"/>
          </w:tcPr>
          <w:p>
            <w:r>
              <w:rPr>
                <w:sz w:val="16"/>
                <w:szCs w:val="16"/>
              </w:rPr>
              <w:t>DIMO</w:t>
            </w:r>
          </w:p>
        </w:tc>
        <w:tc>
          <w:tcPr>
            <w:tcW w:type="dxa" w:w="1453"/>
          </w:tcPr>
          <w:p>
            <w:r>
              <w:rPr>
                <w:sz w:val="16"/>
                <w:szCs w:val="16"/>
              </w:rPr>
              <w:t>License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w:t>
            </w:r>
          </w:p>
        </w:tc>
        <w:tc>
          <w:tcPr>
            <w:tcW w:type="dxa" w:w="727"/>
          </w:tcPr>
          <w:p>
            <w:r>
              <w:rPr>
                <w:sz w:val="16"/>
                <w:szCs w:val="16"/>
              </w:rPr>
              <w:t xml:space="preserve">0.063</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9. Cross-protocol S2R and demand concentration summary across the 13-protocol sample. Column 'S2R (burns)' uses the burns-only definition; 'S2R (burns+locks)' includes token lock-up mechanisms where applicable. Demand HHI computed where per-address burn data is available.</w:t>
      </w:r>
    </w:p>
    <w:p>
      <w:r>
        <w:t xml:space="preserve">Table 9 consolidates the S2R and demand concentration readings from Section 5 across the 13-protocol sample.</w:t>
      </w:r>
    </w:p>
    <w:p>
      <w:r>
        <w:rPr>
          <w:b w:val="0"/>
          <w:i/>
        </w:rPr>
        <w:t>Table 7. Cross-protocol S2R comparison (9 DePIN protocols).</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0.62).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(1.84) and DIMO (4.24) have crossed fiscal parity through demand-coupled burns; GEODNET (0.62) and Hivemapper (0.183) occupy a growth-phase middle tier with confirmed burn activity but continued subsidy dependence; and the remaining protocols cluster near S2R zero, the sector default. The Helium longitudinal case (Table 3) demonstrates the trajectory: demand-coupled burns can drive S2R above fiscal parity when paired with service-based reward transitions (HIP-147), but demand concentration (top-5 signers at approximately 90% of burns) creates a shadow risk invisible to aggregate metrics. Governance concentration in GeoDePIN tokens (HHI 0.034–0.593) materially exceeds DeFi benchmarks (0.028–0.174), consistent with the 13-protocol cross-section.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(3) a design playbook keyed to observable protocol conditions with a subtraction test for minimum viable mechanism complexity; and (4) a health dashboard with demand-concentration guardrails (Top-5 &gt; 80% AND Top-1 &gt; 35%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w:t>
      </w:r>
    </w:p>
    <w:p>
      <w:r>
        <w:rPr>
          <w:b w:val="0"/>
        </w:rPr>
        <w:t xml:space="preserve">The S2R metric as currently specified measures burns against mining emissions; it does not capture vesting-driven dilution from team, investor, and ecosystem unlocks, which for GEODNET represented 54% of total supply by Q2 2025.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(top-5 signers at 40.4% versus Helium’s 90%) opens a new research question: whether subscription-based demand architectures systematically produce more distributed burn patterns than carrier-contract models, testable as additional GeoDePIN protocols mature.</w:t>
      </w:r>
    </w:p>
    <w:p>
      <w:r>
        <w:t xml:space="preserve">The combination of verified demand concentration data across four protocols with Resource Dependence Theory’s causal predictions generates a testable hypothesis: DePIN protocols with subscription-based burn models (demand HHI below 0.10) should exhibit more stable S2R trajectories across market cycles than carrier or enterprise-contract models (demand HHI above 0.20), because lower demand concentration reduces the probability of simultaneous buyer exit.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[29] Z. Zukowski, "Tokenomics as systems engineering: Protocols, labor, and the design of autonomous economies,"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"Governance concentration beyond token allocation: An institutional design analysis of DePIN and DeFi,"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