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0.014,</w:t>
      </w:r>
      <w:r>
        <w:t xml:space="preserve"> </w:t>
      </w:r>
      <w:r>
        <w:t xml:space="preserve">Cohen’s d = 1.19),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6.0x),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0.014, Cohen’s d = 1.19),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2.3x (Lido), 2.7x (Uniswap), 3.3x (WeatherXM), 3.7x</w:t>
      </w:r>
      <w:r>
        <w:t xml:space="preserve"> </w:t>
      </w:r>
      <w:r>
        <w:t xml:space="preserve">(Optimism), 3.8x (Aave), 4.3x (Arbitrum), and 6.0x (DIMO).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92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(92 addresses across 35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92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35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86 protocol-controlled addresses excluded across 35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0.087 vs. 0.035; Mann-Whitney p = 0.014,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0.004.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0.014, d = 1.19)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Aave at 0.020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0.21x),</w:t>
      </w:r>
      <w:r>
        <w:t xml:space="preserve"> </w:t>
      </w:r>
      <w:r>
        <w:t xml:space="preserve">with amplification ratios ranging from 1.4x (GMX) to 6.0x (DIMO). The</w:t>
      </w:r>
      <w:r>
        <w:t xml:space="preserve"> </w:t>
      </w:r>
      <w:r>
        <w:t xml:space="preserve">amplification range within DeFi spans 1.9x (Compound) to 3.8x (Aave);</w:t>
      </w:r>
      <w:r>
        <w:t xml:space="preserve"> </w:t>
      </w:r>
      <w:r>
        <w:t xml:space="preserve">DePIN spans 2.3x (Lido, also classified DeFi by some taxonomies) to</w:t>
      </w:r>
      <w:r>
        <w:t xml:space="preserve"> </w:t>
      </w:r>
      <w:r>
        <w:t xml:space="preserve">6.0x (DIMO); infrastructure spans 3.7x (Optimism) to 4.3x (Arbitrum).</w:t>
      </w:r>
      <w:r>
        <w:t xml:space="preserve"> </w:t>
      </w:r>
      <w:r>
        <w:t xml:space="preserve">Sector membership does not predict how strongly delegation concentrates</w:t>
      </w:r>
      <w:r>
        <w:t xml:space="preserve"> </w:t>
      </w:r>
      <w:r>
        <w:t xml:space="preserve">power. Institutional design within each delegate program does. DIMO’s</w:t>
      </w:r>
      <w:r>
        <w:t xml:space="preserve"> </w:t>
      </w:r>
      <w:r>
        <w:t xml:space="preserve">voting HHI (0.228) is 6.0 times its holding HHI (0.038), though this</w:t>
      </w:r>
      <w:r>
        <w:t xml:space="preserve"> </w:t>
      </w:r>
      <w:r>
        <w:t xml:space="preserve">ratio is based on only 10 Snapshot voters and should be interpreted</w:t>
      </w:r>
      <w:r>
        <w:t xml:space="preserve"> </w:t>
      </w:r>
      <w:r>
        <w:t xml:space="preserve">with caution, and WeatherXM’s (0.486) is 3.3 times its holding HHI</w:t>
      </w:r>
      <w:r>
        <w:t xml:space="preserve"> </w:t>
      </w:r>
      <w:r>
        <w:t xml:space="preserve">(0.148). A small number of delegates, likely foundation-affiliated or</w:t>
      </w:r>
      <w:r>
        <w:t xml:space="preserve"> </w:t>
      </w:r>
      <w:r>
        <w:t xml:space="preserve">early-investor wallets, control governance outcomes despite relatively</w:t>
      </w:r>
      <w:r>
        <w:t xml:space="preserve"> </w:t>
      </w:r>
      <w:r>
        <w:t xml:space="preserve">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(1.9x), Lido (2.3x), and Uniswap (2.7x) at the lower end</w:t>
      </w:r>
      <w:r>
        <w:t xml:space="preserve"> </w:t>
      </w:r>
      <w:r>
        <w:t xml:space="preserve">to Aave (3.8x)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(3.3x).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2.3x amplification, although mid-range rather than headline,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larger amplification ratio measured from a curated active-governance</w:t>
      </w:r>
      <w:r>
        <w:t xml:space="preserve"> </w:t>
      </w:r>
      <w:r>
        <w:t xml:space="preserve">holder subset (N = 189; minimum balance threshold approximately 414K</w:t>
      </w:r>
      <w:r>
        <w:t xml:space="preserve"> </w:t>
      </w:r>
      <w:r>
        <w:t xml:space="preserve">LDO); under the universal top-1000 holder methodology applied in this</w:t>
      </w:r>
      <w:r>
        <w:t xml:space="preserve"> </w:t>
      </w:r>
      <w:r>
        <w:t xml:space="preserve">manuscript (N = 994), Lido’s amplification is more moderate, but the</w:t>
      </w:r>
      <w:r>
        <w:t xml:space="preserve"> </w:t>
      </w:r>
      <w:r>
        <w:t xml:space="preserve">direction (concentration above stake) holds.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1.4x (GMX)</w:t>
      </w:r>
      <w:r>
        <w:t xml:space="preserve"> </w:t>
      </w:r>
      <w:r>
        <w:t xml:space="preserve">to 6.0x (DIMO) across the nine amplifying protocols; ENS at 0.21x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1.4x to 6.0x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6.0x);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1.4x-6.0x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0.014, Cohen’s</w:t>
      </w:r>
      <w:r>
        <w:t xml:space="preserve"> </w:t>
      </w:r>
      <w:r>
        <w:t xml:space="preserve">d = 1.19)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1.19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0.21x is the</w:t>
      </w:r>
      <w:r>
        <w:t xml:space="preserve"> </w:t>
      </w:r>
      <w:r>
        <w:t xml:space="preserve">structural exception), with mean amplification of 3.3x and the</w:t>
      </w:r>
      <w:r>
        <w:t xml:space="preserve"> </w:t>
      </w:r>
      <w:r>
        <w:t xml:space="preserve">smallest amplification (GMX at 1.4x)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1.19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0.025 to 0.014; Cohen’s d = 1.07 to 1.19;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6.0x;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1.4 times (GMX) to 6.0 times (DIMO)</w:t>
      </w:r>
      <w:r>
        <w:t xml:space="preserve"> </w:t>
      </w:r>
      <w:r>
        <w:t xml:space="preserve">across the amplifying protocols (nine of ten; ENS at 0.21x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0.014, d = 1.19),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6.0x; mean 3.3x;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92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0.014, Cohen’s</w:t>
      </w:r>
      <w:r>
        <w:t xml:space="preserve"> </w:t>
      </w:r>
      <w:r>
        <w:t xml:space="preserve">d = 1.19;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6.0x;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(86 protocol-controlled address</w:t>
      </w:r>
      <w:r>
        <w:t xml:space="preserve"> </w:t>
      </w:r>
      <w:r>
        <w:t xml:space="preserve">exclusions across 35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2026-05-19T05:29:21Z</dcterms:created>
  <dcterms:modified xsi:type="dcterms:W3CDTF">2026-05-19T05:29:21Z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