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Governance concentration in Decentralized Physical Infrastructure Networks (DePIN) is not statistically distinguishable from decentralized finance (DeFi) benchmarks in a 35-protocol cross-section: Herfindahl-Hirschman Index (HHI) values range from 0.004 to 0.199 (March 2026 snapshot, protocol-controlled addresses excluded), with DePIN mean HHI 0.088 versus DeFi mean 0.059 (Welch t-test p = 0.07, Cohen’s d = 0.54). This sector invariance finding contradicts a common assumption that hardware-network tokens are inherently more concentrated than pure-software DeFi governance. To evaluate what this concentration means for institutional legitimacy, we develop a normative framework translating five political-philosophical traditions into evaluable design criteria for tokenized systems. A systematic exclusion methodology removing 35 protocol-controlled addresses (staking contracts, exchange custodians, vesting locks, and protocol treasuries) across 19 protocols reveals that naive holder-list analysis overstates concentration by up to 5x in affected protocols. Neither sector membership nor initial token allocation predicts long-run governance concentration (insider allocation vs HHI: r = +0.08, p = 0.64, N = 33; on-chain subsidy ratio vs HHI: Pearson r = +0.58, p = 0.007, N = 20, but Spearman rho = +0.16, p = 0.51, indicating the linear result is driven by a single extreme observation), and this null is robust to alternative concentration metrics (normalized entropy, Gini, Top-10 share). A systematic data coverage asymmetry between DeFi and DePIN financial metrics constrains cross-sector inference; on-chain measurement partially closes this gap. However, delegation amplifies concentration unevenly: DePIN protocols show voting-power HHI 3 to 6 times their holding HHI, while infrastructure protocols show the reverse pattern. The framework and dataset offer a replicable foundation for evaluating legitimacy in programmable institutions.</w:t>
      </w:r>
    </w:p>
    <w:p>
      <w:r>
        <w:rPr>
          <w:b w:val="0"/>
        </w:rPr>
        <w:t xml:space="preserve">The subsidy-concentration association is similarly fragile. The cross-sector Pearson correlation (r = +0.58, p = 0.007, N = 20) is driven entirely by Livepeer (subsidy ratio 88.5x, HHI 0.199). Removing this single observation eliminates the association (r = +0.13, p = 0.60, N = 19). The Spearman rank correlation, which is robust to extreme values, shows no relationship (rho = +0.16, p = 0.51). Within the 11-protocol DePIN subsample, the rank correlation is effectively zero (rho = +0.03, p = 0.94). The linear significance is an artifact of one protocol's extreme leverage on the regression line, not evidence of a systematic mechanism linking subsidy structure to governance outcomes.</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4. Insider allocation (%) vs. corrected holding HHI for 33 regression-ready protocols.</w:t>
      </w:r>
    </w:p>
    <w:p>
      <w:r>
        <w:t xml:space="preserve">Figure 4 plots insider allocation against HHI for all 33 regression-ready protocols.</w:t>
      </w:r>
    </w:p>
    <w:p>
      <w:r>
        <w:rPr>
          <w:b w:val="0"/>
        </w:rPr>
        <w:t>To evaluate what this concentration means for institutional legitimacy, we develop a normative framework translating five political-philosophical traditions into evaluable design criteria for tokenized systems: transparent rule justification (Kant), protection of the least advantaged (Rawls), freedom from arbitrary power (Pettit), distributed decision-making (Ostrom), and effective use of local knowledge (Hayek). A replicable scoring rubric operationalizes these criteria. Five testable design hypotheses link institutional quality to governance outcomes. The framework bridges political philosophy and token engineering, making legitimacy an evaluable design property rather than a rhetorical claim.</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sector invariance; on-chain subsidy ratio; robustness; sample expansion; outlier robustness.</w:t>
      </w:r>
      <w:r>
        <w:rPr/>
      </w:r>
    </w:p>
    <w:p>
      <w:pPr>
        <w:pStyle w:val="Heading1"/>
      </w:pPr>
      <w:r>
        <w:t>1. Introduction</w:t>
      </w:r>
    </w:p>
    <w:p>
      <w:pPr>
        <w:pStyle w:val="Heading2"/>
      </w:pPr>
      <w:r>
        <w:t>1.1 Motivation</w:t>
      </w:r>
    </w:p>
    <w:p>
      <w:r>
        <w:rPr/>
        <w:t xml:space="preserve">Internet-native systems increasingly coordinate economic activity without centralized ownership. Blockchains, decentralized finance (DeFi), decentralized autonomous organizations (DAOs), and decentralized physical infrastructure networks (DePIN) increasingly allocate access, distribute rewards, enforce rules, and adjudicate disputes through </w:t>
      </w:r>
      <w:r>
        <w:rPr>
          <w:b/>
        </w:rPr>
        <w:t>publicly inspectable mechanisms</w:t>
      </w:r>
      <w:r>
        <w:rPr/>
        <w:t>. These systems shape the behavior of participants at scale: users, operators, builders, delegates, and investors, through incentives and governance rather than through managerial command.</w:t>
      </w:r>
    </w:p>
    <w:p>
      <w:r>
        <w:rPr/>
        <w:t>Tokenomics is the design of a rule system that governs rights, duties, distribution, and enforcement. In practice, tokenomics specifies:</w:t>
      </w:r>
      <w:r>
        <w:rPr>
          <w:b/>
        </w:rPr>
      </w:r>
      <w:r>
        <w:rPr/>
      </w:r>
    </w:p>
    <w:p>
      <w:r>
        <w:rPr>
          <w:b/>
        </w:rPr>
        <w:t>Eligibility:</w:t>
      </w:r>
      <w:r>
        <w:rPr/>
        <w:t xml:space="preserve"> who can participate and under what conditions;</w:t>
      </w:r>
    </w:p>
    <w:p>
      <w:r>
        <w:rPr>
          <w:b/>
        </w:rPr>
        <w:t>Rewards:</w:t>
      </w:r>
      <w:r>
        <w:rPr/>
        <w:t xml:space="preserve"> what behaviors are remunerated, at what rates, with what decay rules;</w:t>
      </w:r>
    </w:p>
    <w:p>
      <w:r>
        <w:rPr>
          <w:b/>
        </w:rPr>
        <w:t>Sanctions:</w:t>
      </w:r>
      <w:r>
        <w:rPr/>
        <w:t xml:space="preserve"> what behaviors are penalized (slashing, bans, graduated sanctions);</w:t>
      </w:r>
    </w:p>
    <w:p>
      <w:r>
        <w:rPr>
          <w:b/>
        </w:rPr>
        <w:t>Appeals and procedure:</w:t>
      </w:r>
      <w:r>
        <w:rPr/>
        <w:t xml:space="preserve"> whether enforcement is contestable and time-bounded;</w:t>
      </w:r>
    </w:p>
    <w:p>
      <w:r>
        <w:rPr>
          <w:b/>
        </w:rPr>
        <w:t>Fiscal policy:</w:t>
      </w:r>
      <w:r>
        <w:rPr/>
        <w:t xml:space="preserve"> what is issued (faucets), what is removed or locked (sinks), and how treasuries are funded and spent;</w:t>
      </w:r>
    </w:p>
    <w:p>
      <w:r>
        <w:rPr>
          <w:b/>
        </w:rPr>
        <w:t>Governance architecture:</w:t>
      </w:r>
      <w:r>
        <w:rPr/>
        <w:t xml:space="preserve"> how parameters change, how power is distributed, and how decisions become binding.</w:t>
      </w:r>
    </w:p>
    <w:p>
      <w:r>
        <w:rPr/>
        <w:t xml:space="preserve">These are the familiar ingredients of a miniature polity: constitutional constraints, fiscal instruments, rights and obligations, and enforcement, encoded into software and executed on a public infrastructure. This does not make token systems equivalent to states, but it does make them </w:t>
      </w:r>
      <w:r>
        <w:rPr>
          <w:b/>
        </w:rPr>
        <w:t>institutional</w:t>
      </w:r>
      <w:r>
        <w:rPr/>
        <w:t xml:space="preserve">. Consequently, evaluating tokenomics requires more than economic efficiency; it requires a theory of </w:t>
      </w:r>
      <w:r>
        <w:rPr>
          <w:b/>
        </w:rPr>
        <w:t>legitimacy</w:t>
      </w:r>
      <w:r>
        <w:rPr/>
        <w:t xml:space="preserve">, </w:t>
      </w:r>
      <w:r>
        <w:rPr>
          <w:b/>
        </w:rPr>
        <w:t>justice</w:t>
      </w:r>
      <w:r>
        <w:rPr/>
        <w:t xml:space="preserve">, and </w:t>
      </w:r>
      <w:r>
        <w:rPr>
          <w:b/>
        </w:rPr>
        <w:t>power</w:t>
      </w:r>
      <w:r>
        <w:rPr/>
        <w:t>.</w:t>
      </w:r>
    </w:p>
    <w:p>
      <w:r>
        <w:rPr/>
        <w:t>This paper is part of a research program examining how infrastructure-layer design determines product behavior under stress across stablecoin, tokenized securities, and DePIN domains, unified by the thesis that regulation and audit should target the operator and the control layer rather than the token.</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rPr/>
        <w:t xml:space="preserve">Political philosophy asks: </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pPr>
        <w:pStyle w:val="Heading2"/>
      </w:pPr>
      <w:r>
        <w:t xml:space="preserve">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readers should note that the nominal Pearson significance (p = 0.007) is entirely attributable to this single data point. The Spearman rank correlation, which downweights extreme values, shows no relationship (p = 0.51).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Token systems are institution-like: they function as rule-governed systems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structural tendencies toward concentration due to governance needs and incentive structures.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thesis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thesis’s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should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Sink: float-reducing mechanisms (burns, buybacks that retire tokens, locks that credibly reduce circulating float over the window).</w:t>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A system is legitimacy-feasible if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1.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S2R reached 0.379 by March 2026, with token burns absorbing 36% of monthly emissions (Dune Analytics) while Helium's annual inflation fell below 2% (Bane &amp; Gala, 2026),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and S2R rose to approximately 0.18.</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2.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35 sampled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(13 DeFi, 12 DePIN, 8 L1/L2 infrastructure, 2 survivorship-bias controls), maturity (2017-2024 launches), and governance model (token-weighted, delegate, futarchy). The expanded 38-protocol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Solana-native tokens (META, DRIFT, GRASS, W) were collected via Helius getTokenAccounts API to address systematic undercounting in Dune's solana_utils.daily_balances table, which returned 29-291 holders versus 5,067-99,980 from direct RPC enumeration.</w:t>
      </w:r>
    </w:p>
    <w:p>
      <w:r>
        <w:rPr>
          <w:i/>
          <w:sz w:val="18"/>
        </w:rPr>
        <w:t>Figure 3. Holding-based Herfindahl-Hirschman Index (HHI) across 35 governance tokens (March 2026 snapshot, top-1,000 holders, protocol-controlled addresses excluded). Dashed lines indicate category means. Protocols sorted by category then HHI ascending.</w:t>
      </w:r>
    </w:p>
    <w:p>
      <w:r>
        <w:t>A striking pattern emerges from the cross-section: 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($166M annualized from 150+ enterprise AI and gaming clients), its governance token (ATH) has an HHI of 0.168, the second highest in the DePIN subsample. Aethir's subsidy ratio of 0.15x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Two protocols (MetaDAO, Token Engineering Commons) use non-standard allocation models that cannot be mapped to team/investor/community buckets and are excluded from the allocation regression.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cost-to-meaningful-voice proxies.</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11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The Index is designed to correlate with governance quality but is not a causal claim: a high Synergy Index reflects that a protocol's institutional design aligns with multiple normative traditions, not that such alignment causes good outcomes.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35 sampled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38 protocols, computed from Dune Analytics multi-chain queries and Helius DAS API token holder distributions (March 2026 snapshot). We report address-holding concentration after excluding 35 protocol-controlled addresses across 19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$166M annualized revenue), Hivemapper (HONEY, Solana, mapping, $18M revenue), and io.net (IO, Solana, GPU compute, $30M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35 protocol-controlled addresses excluded across 19 protocols). † = futarchy governance. ‡ = survivorship-bias control. Sorted by category then HHI ascending.</w:t>
      </w:r>
    </w:p>
    <w:p>
      <w:r>
        <w:rPr>
          <w:b w:val="0"/>
        </w:rPr>
        <w:t>Holding concentration spans nearly two orders of magnitude across the sample (Table 4). 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After correcting for holder-list truncation (Solana tokens) and protocol-controlled address contamination (19 protocols), the DePIN-DeFi concentration gap narrows substantially. Several protocols previously appearing highly concentrated are revealed to have moderate concentration once measurement artifacts are removed: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should be noted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The expanded 35-protocol dataset reveals a striking finding: DePIN and DeFi governance concentration are not statistically distinguishable (p = 0.07), though DePIN concentration is significantly higher than L1/L2 infrastructure protocols (p = 0.038). DePIN mean HHI (0.088, N=12) exceeds DeFi mean HHI (0.059, N=13) by a factor of 1.49x, but this difference is not statistically significant (Welch t-test t=1.33, p=0.20, Cohen’s d=0.54). Both sectors span similar ranges and overlap substantially. The high within-sector variance (DePIN standard deviation 0.061, DeFi 0.044) overwhelms the between-sector difference, yielding a small effect size.</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+0.08, p = 0.64),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compression mechanisms entirely. The governance concentration patterns in Table 4 may reflect distribution mechanism design rather than sector-level differences. However, the regression null on insider allocation (Section 5.3) cautions against treating initial token allocation as a sufficient statistic for distribution design: compression mechanisms (sub-linear scaling, activity-based caps, delegation incentives) operate through ongoing protocol governance, not through the initial percentage split alone.</w:t>
      </w:r>
    </w:p>
    <w:p>
      <w:r>
        <w:rPr>
          <w:b w:val="0"/>
        </w:rPr>
        <w:t xml:space="preserve">Regression analysis on the 33-protocol subset with verified allocation data tests whether initial token distribution predicts governance concentration directly. The correlation between insider allocation share (team plus investor percentage at genesis) and holding HHI is near-zero (Pearson r = +0.08, p = 0.64; Spearman rho = -0.07, p = 0.70). Neither team allocation (r = -0.13, p = 0.46), investor allocation (r = +0.26, p = 0.14), community allocation (r = +0.09, p = 0.61), nor protocol maturity (r = +0.12, p = 0.51) significantly predicts holding concentration. The only covariate significantly associated with HHI is the Gini coefficient (r = +0.56, p &lt; 0.001), which is partly tautological (both measure concentration). Token unlock status (circulating-to-total supply ratio) similarly shows no association with HHI (r = -0.03, p = 0.87, N = 30), ruling out vesting schedule timing as a concentration driver.</w:t>
      </w:r>
    </w:p>
    <w:p>
      <w:r>
        <w:rPr>
          <w:b w:val="0"/>
        </w:rPr>
        <w:t xml:space="preserve">This null result is informative. MakerDAO (100% insider allocation at genesis, HHI 0.045) and Aave (0% insider allocation, HHI 0.059) show nearly identical governance concentration despite opposite allocation designs. Livepeer (76% insider, HHI 0.199) and Compound (50% insider, HHI 0.028) span the full HHI range at similar insider levels. Post-distribution dynamics, including secondary market trading, delegation behavior, and protocol-specific emission schedules, appear to dominate initial allocation as determinants of long-run governance concentration. The qualitative pattern visible in Table 4 (airdrop-distributed protocols tend toward lower HHI) may reflect correlated design choices rather than a direct causal channel from allocation to concentration.</w:t>
      </w:r>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5.4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5.5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demonstrates that achieving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5.6 Robustness: Alternative Concentration Metrics</w:t>
        <w:br/>
        <w:br/>
        <w:t>The holding concentration results use HHI as the primary metric. Three alternative measures computed for all 38 protocols confirm internal consistency: HHI and normalized Shannon entropy are strongly anti-correlated (r = -0.837), and HHI and Gini are moderately correlated (r = 0.439). Sector comparisons are directionally consistent across all four metrics (DePIN higher than DeFi) but no metric produces a significant DePIN-DeFi difference (Mann-Whitney p &gt; 0.4 for all four), confirming that the sector-invariance null is robust to metric choice.</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this governance concentration patterns because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edge-participant voice is suppressed when holdings are concentrated.</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demonstrates that PID-controlled emission compresses node-count variance by sixfold across a 240-run Monte Carlo ensemble, raising the 5th-percentile node count from 1,049 (static emission) to 8,880 (PID-controlled). The mechanism’s primary value is floor-raising: it prevents the worst outcomes rather than improving averages, consistent with the Rawlsian fairness lens’s emphasis on protecting the least advantaged.</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demands specific institutional responses.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38 protocols with valid data (Gini 0.45–0.99; Table 4; Livepeer excluded due to bridge-schema measurement failure)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structured signals, not verdicts.</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may be a poor predictor of long-term governance concentration. Practitioner evidence documents participation declines of 50 percent or more after initial token distributions as recipients with short time horizons exit (Sawinyh, 2025). If exiting participants sell governance tokens into thin order books, concentrated buyers absorb the supply, and post-distribution HHI exceeds pre-distribution HHI. The result is a ratchet: broad initial allocation converges toward a concentrated steady state through secondary market dynamics rather than protocol design. The DePIN concentration levels in Table 4 are consistent with this pattern, though the single-snapshot design cannot distinguish concentration that was designed in from concentration that accumulated through post-launch trading.</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the parameter-setting legitimacy deficit that the framework diagnoses under Hypotheses 3.1 and 3.2.</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thesis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demonstrates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 xml:space="preserve">Within DeFi, subsidy ratio (token incentives relative to revenue) shows a moderate positive association with corrected holding HHI (r = +0.36, p = 0.34, N = 9), though this does not reach significance after the stkAAVE and UNI Timelock exclusions reduced AAVE and Uniswap HHI substantially. The sensitivity of this result to the exclusion methodology cautions against treating it as robust.</w:t>
      </w:r>
    </w:p>
    <w:p>
      <w:r>
        <w:t>On-chain subsidy ratios, computed from protocol-native revenue and emission events for 11 DePIN and 9 DeFi protocols, show a significant linear association with governance concentration cross-sector (Pearson r = +0.58, p = 0.007, N = 20). However, this result does not survive rank-based testing (Spearman rho = +0.16, p = 0.51), log transformation (r = +0.23, p = 0.35), or exclusion of the most leveraged observation (Livepeer, 88.5x subsidy; excluding: r = +0.13, N = 19). Within DePIN, the rank correlation is effectively zero (Spearman rho = +0.03, p = 0.94, N = 11). The apparent linear signal reflects one extreme observation rather than a systematic relationship across the sample.</w:t>
      </w:r>
    </w:p>
    <w:p>
      <w:r>
        <w:t xml:space="preserve">DePIN protocols span a 590-fold subsidy range, from Aethir (0.15x, revenue-dominant) to Livepeer (88.5x, heavily subsidized). Despite this range, concentration does not track subsidy in any robust specification. Two pattern-breaking protocols are instructive: Aethir generates the highest DePIN revenue ($166M annualized) yet has the second-highest HHI (0.168),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underpowered for multivariate inference;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Third, no measured covariate robustly predicts long-run governance concentration: not sector membership, not initial token allocation (r = +0.08, p = 0.64, N = 33), not protocol maturity, and not subsidy structure. On-chain subsidy ratios, computed from protocol-native revenue and emission events for 11 DePIN and 9 DeFi protocols, show a nominal linear association (Pearson r = +0.58, p = 0.007, N = 20) that does not survive rank-based testing (Spearman rho = +0.16, p = 0.51) or exclusion of a single extreme observation (Livepeer; excluding: r = +0.13). Aethir, the highest-revenue DePIN protocol ($166M annualized, subsidy 0.15x), has the second-highest governance concentration (HHI 0.168), demonstrating that financial sustainability does not ensure governance decentralization.</w:t>
      </w:r>
    </w:p>
    <w:p>
      <w:pPr>
        <w:pStyle w:val="Heading2"/>
      </w:pPr>
      <w:r>
        <w:t>7.3 Limitations</w:t>
      </w:r>
    </w:p>
    <w:p>
      <w:r>
        <w:rPr>
          <w:b w:val="0"/>
        </w:rPr>
        <w:t>The evidence carries several limitations. The governance concentration analysis is a March 2026 snapshot: concentration trajectories over time would enable deconcentration analysis and strengthen causal claims. A single scorer has applied the scoring rubric; inter-rater reliability testing with independent scorers is needed before the rubric can claim measurement validity beyond its current proof-of-concept status. The sample of 35 sampled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11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exhibit_initial_allocation.png"/><Relationship Id="rId13" Type="http://schemas.openxmlformats.org/officeDocument/2006/relationships/image" Target="media/exhibit_delegation_adjusted.png"/><Relationship Id="rId14" Type="http://schemas.openxmlformats.org/officeDocument/2006/relationships/image" Target="media/exhibit_concentration_participation.png"/><Relationship Id="rId15" Type="http://schemas.openxmlformats.org/officeDocument/2006/relationships/image" Target="media/exhibit_concentration_participa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