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Relationships xmlns="http://schemas.openxmlformats.org/package/2006/relationships">
  
  
  <Relationship Id="rId3" Type="http://schemas.openxmlformats.org/package/2006/relationships/metadata/core-properties" Target="docProps/core.xml"/>
  
  
  <Relationship Id="rId4" Type="http://schemas.openxmlformats.org/officeDocument/2006/relationships/extended-properties" Target="docProps/app.xml"/>
  
  
  <Relationship Id="rId1" Type="http://schemas.openxmlformats.org/officeDocument/2006/relationships/officeDocument" Target="word/document.xml"/>
  
  
  <Relationship Id="rId2" Type="http://schemas.openxmlformats.org/package/2006/relationships/metadata/thumbnail" Target="docProps/thumbnail.jpeg"/>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Tokenomics as Institutional Design: A Normative Framework and Governance Concentration Analysis</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pStyle w:val="Heading1"/>
      </w:pPr>
      <w:r>
        <w:t>Abstract</w:t>
      </w:r>
    </w:p>
    <w:p>
      <w:r>
        <w:rPr>
          <w:b w:val="0"/>
        </w:rPr>
        <w:t>Governance concentration in token economies is not predicted by initial allocation design. A 40-protocol cross-section spanning DePIN, DeFi, infrastructure, and social token categories documents that the percentage of tokens allocated to team and investors at launch is uninformative about post-distribution governance concentration (r = 0.19, p = 0.25, N = 37): protocols with generous community distributions and those with heavy insider allocations produce indistinguishable concentration outcomes. Hyperliquid, the only protocol in the sample with zero venture capital and a 31% community airdrop, produces an HHI of 0.005, yet protocols with comparable concentration allocated two to five times more to insiders. The pattern is consistent with post-distribution market dynamics dominating structural design choices. Protocols with more insider wallets among their top holders exhibit higher concentration even among their non-insider holders (Spearman rho = 0.54, p = 0.001, N = 34),         </w:t>
      </w:r>
      <w:del w:id="9052" w:author="Claude" w:date="2026-04-02T00:00:00Z">
        <w:r>
          <w:delText>suggesting a structural ecosystem effect beyond the mechanical contribution of large insider positions to concentration metrics.</w:delText>
        </w:r>
      </w:del>
      <w:ins w:id="9053" w:author="Claude" w:date="2026-04-02T00:00:00Z">
        <w:r>
          <w:t>indicating that insider-heavy protocols have concentrated governance ecosystems, not merely concentrated insider positions.</w:t>
        </w:r>
      </w:ins>
      <w:r>
        <w:t xml:space="preserve"> DePIN protocols exhibit higher concentration than DeFi protocols (Mann-Whitney p = 0.031, Cohen’s d = 0.96), a suggestive result sensitive to sample composition (significant in 23 of 30 leave-one-out iterations; permutation p = 0.029). On-chain subsidy intensity correlates with concentration in levels (Pearson r = 0.58, p = 0.007, N = 20) but this result is driven entirely by Livepeer (88.5x subsidy); excluding it renders the correlation insignificant (r = 0.13, p = 0.59). Token inequality is near-universal (Gini 0.73 to 0.98) but only moderately correlated with concentration (r = 0.54), confirming they capture distinct governance dimensions.</w:t>
      </w:r>
    </w:p>
    <w:p>
      <w:pPr>
        <w:pStyle w:val="Heading 2"/>
        <w:spacing w:before="240"/>
      </w:pPr>
      <w:r>
        <w:rPr>
          <w:b/>
        </w:rPr>
        <w:t xml:space="preserve">JEL Codes: </w:t>
      </w:r>
      <w:r>
        <w:rPr/>
        <w:t>D02, D47, D63, D71, D72, G34, L86, P48</w:t>
      </w:r>
    </w:p>
    <w:p>
      <w:pPr>
        <w:pStyle w:val="Heading 2"/>
        <w:spacing w:before="240"/>
      </w:pPr>
      <w:r>
        <w:rPr>
          <w:b/>
        </w:rPr>
        <w:t>Keywords: tokenomics, institutional design, governance concentration, DePIN, DAO governance, Herfindahl-Hirschman Index, token distribution, delegation, blockchain governance, political philosophy</w:t>
      </w:r>
      <w:r>
        <w:rPr/>
      </w:r>
    </w:p>
    <w:p>
      <w:pPr>
        <w:pStyle w:val="Heading1"/>
      </w:pPr>
      <w:r>
        <w:t>1. Introduction</w:t>
      </w:r>
    </w:p>
    <w:p>
      <w:pPr>
        <w:pStyle w:val="Heading2"/>
      </w:pPr>
      <w:r>
        <w:t>1.1 Motivation</w:t>
      </w:r>
    </w:p>
    <w:p>
      <w:r>
        <w:t xml:space="preserve">Three protocols with nearly identical subsidy ratios (DIMO at 0.33x, Aethir at 0.36x, and Aave at 0.37x) have governance HHI values of 0.038, 0.171, and 0.020 respectively. All three are revenue-dominant, yet their concentration spans the full range of the 40-protocol sample.</w:t>
      </w:r>
      <w:del w:id="9002" w:author="Claude" w:date="2026-04-02T00:00:00Z">
        <w:r>
          <w:delText>Governance concentration is a design outcome, not a financial outcome.</w:delText>
        </w:r>
      </w:del>
      <w:ins w:id="9003" w:author="Claude" w:date="2026-04-02T00:00:00Z">
        <w:r>
          <w:t>Governance concentration is a secondary market outcome, shaped by post-distribution trading and accumulation dynamics that neither allocation design nor protocol financial characteristics predict.</w:t>
        </w:r>
      </w:ins>
      <w:r>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 xml:space="preserve">Four findings emerge. </w:t>
      </w:r>
      <w:del w:id="9004" w:author="Claude" w:date="2026-04-02T00:00:00Z">
        <w:r>
          <w:delText>First, protocol-controlled address contamination is a field-wide measurement problem: 56 addresses across 17 protocols were masquerading as governance participants, and removing them changed affected protocols’ HHI by up to 5x.</w:delText>
        </w:r>
      </w:del>
      <w:ins w:id="9005" w:author="Claude" w:date="2026-04-02T00:00:00Z">
        <w:r>
          <w:t>First, naive token holder lists include addresses that cannot vote: staking contracts, exchange custodians, vesting locks, and protocol treasuries. Across 20 protocols, 69 such addresses were included in prior concentration measurements, inflating affected protocols’ HHI by up to 5x.</w:t>
        </w:r>
      </w:ins>
      <w:r>
        <w:t xml:space="preserve"> Second, current insider wallet retention predicts governance concentration (Spearman rho = 0.44, p = 0.005), while initial allocation design does not (r = 0.19, p = 0.25, N = 37). Third, DePIN governance concentration is higher than DeFi after exclusion correction (Mann-Whitney p = 0.031, Cohen’s d = 0.96), though this finding is sensitive to sample composition. Fourth, delegation amplifies concentration unevenly: DePIN protocols show voting-power HHI 3 to 6 times their holding HHI, while infrastructure protocols show the reverse pattern.</w:t>
      </w:r>
    </w:p>
    <w:p>
      <w:r>
        <w:t xml:space="preserve">These results extend the governance concentration literature (Barbereau et al., 2023; Feichtinger et al., 2023; Cong et al., 2025) in three directions: an exclusion methodology that corrects a systematic measurement artifact in prior work, a cross-sector null </w:t>
      </w:r>
      <w:del w:id="9006" w:author="Claude" w:date="2026-04-02T00:00:00Z">
        <w:r>
          <w:delText>result that challenges financial explanations of concentration</w:delText>
        </w:r>
      </w:del>
      <w:ins w:id="9007" w:author="Claude" w:date="2026-04-02T00:00:00Z">
        <w:r>
          <w:t>documenting that neither revenue, subsidy intensity, token maturity, nor initial allocation predicts governance concentration</w:t>
        </w:r>
      </w:ins>
      <w:r>
        <w:t xml:space="preserve">, and a normative framework translating five political-philosophical traditions into evaluable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replicable scoring rubric.</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ins w:id="9008" w:author="Claude" w:date="2026-04-02T00:00:00Z">
        <w:r>
          <w:t>In practical terms: every decision about how tokens are distributed, who can vote, what can be changed, and how violations are punished is simultaneously an economic design choice and a political one.</w:t>
        </w:r>
      </w:ins>
    </w:p>
    <w:p>
      <w:r>
        <w:rPr/>
        <w:t xml:space="preserve">Political philosophy asks:</w:t>
      </w:r>
      <w:r>
        <w:rPr>
          <w:i/>
        </w:rPr>
        <w:t>What makes a rule system just, stable, and worth participating in?</w:t>
      </w:r>
      <w:r>
        <w:rPr/>
        <w:t xml:space="preserve"> Tokenomics asks: What rules and incentives produce participation, security, sustainability, and coordination under strategic behavior?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is developed in a separate study (Zukowski, 2026b).</w:t>
      </w:r>
    </w:p>
    <w:p>
      <w:pPr>
        <w:pStyle w:val="Heading2"/>
      </w:pPr>
      <w:r>
        <w:t>1.4 Scope, Assumptions, and Limitations</w:t>
      </w:r>
    </w:p>
    <w:p>
      <w:r>
        <w:rPr>
          <w:b w:val="0"/>
        </w:rPr>
        <w:t>The cross-sector subsidy analysis includes one extreme observation (Livepeer, subsidy ratio 88.5x) that exerts disproportionate leverage on the Pearson correlation. While the protocol is not excluded from the main specification (its extreme subsidy is a genuine feature of its tokenomics, not a measurement error), the nominal Pearson significance (p = 0.011) is entirely attributable to this single data point. The Spearman rank correlation, which downweights extreme values, shows no relationship (p = 0.60). Future work with larger DePIN samples would provide a more definitive test.</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t>Participants are strategic; incentives and governance rules shape behavior.</w:t>
      </w:r>
    </w:p>
    <w:p>
      <w:r>
        <w:rPr/>
        <w:t>Legitimacy affects participation persistence and willingness to invest in long-run cooperation.</w:t>
      </w:r>
    </w:p>
    <w:p>
      <w:r>
        <w:rPr/>
        <w:t>Public rule systems can be observed and scored with acceptable reliability using well-defined rubrics.</w:t>
      </w:r>
    </w:p>
    <w:p>
      <w:pPr>
        <w:pStyle w:val="Heading3"/>
      </w:pPr>
      <w:r>
        <w:t>1.4.3 Limitations</w:t>
      </w:r>
    </w:p>
    <w:p>
      <w:r>
        <w:rPr/>
        <w:t>Construct validity: mapping philosophy to rubric scores risks simplification; this paper mitigates through transparent criteria and inter-rater reliability checks.</w:t>
      </w:r>
      <w:r>
        <w:t xml:space="preserve"> The framework's hypotheses are tested descriptively in this paper's governance concentration cross-section, but not yet through the full regression, panel, and event-study pipeline specified in the supplementary materials. Longitudinal case evidence and simulation are developed in separate studies.</w:t>
      </w:r>
    </w:p>
    <w:p>
      <w:r>
        <w:rPr/>
        <w:t>Endogeneity: “high-quality governance” may correlate with unobserved competence; mitigated via controls, panel designs, and event studies.</w:t>
      </w:r>
    </w:p>
    <w:p>
      <w:r>
        <w:rPr/>
        <w:t>Data limitations: not all social outcomes are observable; capability measures may be available only for subsets of projects.</w:t>
      </w:r>
    </w:p>
    <w:p>
      <w:r>
        <w:rPr>
          <w:b w:val="0"/>
        </w:rPr>
        <w:t>Insider classification and tautology. The insider-concentration correlation has a mechanical component, addressed through a non-insider HHI decomposition (Section 5.4). The count-based measure survives; the balance-based measure does not. Five tokens are excluded from this check due to denominator mismatches or all-insider top-10 compositions. The classification methodology depends on Blockscout contract labels, which have lower coverage for Solana-native protocols; io.net’s top-10 holders are all unclassified.</w:t>
      </w:r>
    </w:p>
    <w:p>
      <w:pPr>
        <w:pStyle w:val="Heading2"/>
      </w:pPr>
      <w:r>
        <w:t>1.5 Paper Outline</w:t>
      </w:r>
    </w:p>
    <w:p>
      <w:r>
        <w:rPr>
          <w:b w:val="0"/>
        </w:rPr>
        <w:t>Sections 2 and 3 develop the theoretical framework and design hypotheses. Section 4 operationalizes the framework through a scoring rubric and governance concentration cross-section design. Section 5 presents the empirical illustration. Sections 6 and 7 discuss implications, limitations, and future directions. Supplementary materials provide full metric definitions, research instrument templates, and the replication-ready pipeline specification.</w:t>
      </w:r>
    </w:p>
    <w:p>
      <w:pPr>
        <w:pStyle w:val="Heading1"/>
      </w:pPr>
      <w:r>
        <w:t>2. Literature Review</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del w:id="9009" w:author="Claude" w:date="2026-04-02T00:00:00Z">
        <w:r>
          <w:delText>are institution-like: they function as rule-governed systems</w:delText>
        </w:r>
      </w:del>
      <w:ins w:id="9010" w:author="Claude" w:date="2026-04-02T00:00:00Z">
        <w:r>
          <w:t>function as institutions: rule-governed systems</w:t>
        </w:r>
      </w:ins>
      <w:r>
        <w:t xml:space="preserve">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5.4.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del w:id="9011" w:author="Claude" w:date="2026-04-02T00:00:00Z">
        <w:r>
          <w:delText>structural tendencies toward concentration due to governance needs and incentive structures.</w:delText>
        </w:r>
      </w:del>
      <w:ins w:id="9012" w:author="Claude" w:date="2026-04-02T00:00:00Z">
        <w:r>
          <w:t>that protocols marketed as decentralized frequently concentrate decision-making power among a small number of token holders, developers, or validators.</w:t>
        </w:r>
      </w:ins>
      <w:r>
        <w:t xml:space="preserve"> This critique is significant for this paper because it links governance concentration to systemic risks and questions the legitimacy of “decentralized” claims.</w:t>
      </w:r>
    </w:p>
    <w:p>
      <w:r>
        <w:rPr/>
        <w:t>Recent research further explores the micro-dynamics of governance under token voting and delegation. For example, Gersbach, Schneider, and Shahkar (2024) analyze vote delegation in blockchain governance and find that delegation can meaningfully change outcomes under highly unbalanced voting rights but has negligible impact under balanced systems, suggesting that delegation is not a universal solution to legitimacy problems.</w:t>
        <w:br/>
        <w:t>A scoping review (Weidener et al., 2025) similarly maps delegation’s implementation and challenges, reinforcing the point that delegation can either mitigate or entrench concentration depending on design.</w:t>
      </w:r>
      <w:r>
        <w:rPr>
          <w:i/>
        </w:rPr>
      </w:r>
      <w:r>
        <w:rPr/>
      </w:r>
    </w:p>
    <w:p>
      <w:r>
        <w:rPr/>
        <w:t>Most directly relevant, Cong et al. (2025) provide stylized facts and analysis suggesting persistent concentration in DAOs and governance token trading dynamics, reinforcing the need for institutional safeguards rather than assuming “token voting” equals democracy.</w:t>
      </w:r>
    </w:p>
    <w:p>
      <w:r>
        <w:rPr/>
        <w:t>Voting power inequality in Compound, Uniswap, and ENS exceeds wealth inequality in real-world economies, with </w:t>
      </w:r>
      <w:del w:id="9013" w:author="Claude" w:date="2026-04-02T00:00:00Z">
        <w:r>
          <w:delText>delegate Gini values approaching 0.99</w:delText>
        </w:r>
      </w:del>
      <w:ins w:id="9014" w:author="Claude" w:date="2026-04-02T00:00:00Z">
        <w:r>
          <w:t>voting power more unequally distributed than income in any country</w:t>
        </w:r>
      </w:ins>
      <w:r>
        <w:t xml:space="preserve"> (Fritsch, Müller, &amp; Wattenhofer, 2024), a pattern consistent with the delegation amplification documented in Section 5.5;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 xml:space="preserve">Han, Lee, and Li (2023) formalize the governance consequences of ownership concentration, showing that whale dominance reduces platform growth but that staking mechanisms and token illiquidity can mitigate its negative effect. Their finding that ownership concentration is structurally harmful, not merely descriptively present, motivates the normative framework developed here: if concentration damages governance quality, then the political-philosophical traditions that specify what good governance requires become directly relevant to token system design. Han, Lee, and Li (2024) provide a comprehensive review of DAO governance mechanisms, voting models, and the emerging agency problem between large token holders and smaller participants.</w:t>
      </w:r>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pPr>
        <w:pStyle w:val="Heading3"/>
      </w:pPr>
      <w:r>
        <w:t>2.7.1 Kant: Publicity and Right</w:t>
      </w:r>
    </w:p>
    <w:p>
      <w:r>
        <w:rPr/>
        <w:t>Kant’s (1785/1997) political philosophy articulates constraints on legitimate coercion and public law, including the idea that political maxims must be capable of publicity (a “transcendental principle of the publicity of public law”). The Stanford Encyclopedia notes that the Kantian publicity test functions as a necessary condition for rightness in the political sphere, connecting legitimacy to the ability to publicly avow governing principles.</w:t>
      </w:r>
    </w:p>
    <w:p>
      <w:r>
        <w:rPr/>
        <w:t>Kant’s (1785/1997) relevance here is not metaphysical but procedural: token systems often impose penalties, bans, or slashing (forms of coercion) and thus require a legitimacy standard grounded in transparency, due process, and non-arbitrary enforcement.</w:t>
      </w:r>
    </w:p>
    <w:p>
      <w:pPr>
        <w:pStyle w:val="Heading3"/>
      </w:pPr>
      <w:r>
        <w:t>2.7.2 Republican Non-Domination (Pettit (1997) and the Domination Literature)</w:t>
      </w:r>
    </w:p>
    <w:p>
      <w:r>
        <w:rPr/>
        <w:t>Republican freedom as non-domination (Pettit, 1997) frames legitimacy as protection against arbitrary power rather than mere non-interference. The SEP’s entry on republicanism describes non-domination as central to contemporary civic republican theory.</w:t>
        <w:br/>
        <w:t>The SEP’s separate entry on domination (substantively revised in 2025) emphasizes that theories of domination clarify justice and freedom by examining vulnerability to unrestrained power, directly relevant to governance capture risks in token systems.</w:t>
      </w:r>
      <w:r>
        <w:rPr>
          <w:b/>
        </w:rPr>
      </w:r>
      <w:r>
        <w:rPr/>
      </w:r>
    </w:p>
    <w:p>
      <w:r>
        <w:rPr/>
        <w:t xml:space="preserve">Non-domination (Pettit, 1997) translates into tokenomics design as </w:t>
      </w:r>
      <w:r>
        <w:rPr>
          <w:b/>
        </w:rPr>
        <w:t>contestability</w:t>
      </w:r>
      <w:r>
        <w:rPr/>
        <w:t>: appeals, oversight, and transparency that prevent arbitrary penalties or parameter changes.</w:t>
      </w:r>
    </w:p>
    <w:p>
      <w:pPr>
        <w:pStyle w:val="Heading3"/>
      </w:pPr>
      <w:r>
        <w:t>2.7.3 The Capability Approach (Sen (1999)/Nussbaum)</w:t>
      </w:r>
    </w:p>
    <w:p>
      <w:r>
        <w:rPr/>
        <w:t>The capability approach (Sen, 1999; Nussbaum, 2011) provides a normative framework for evaluating social arrangements not by GDP or preferences alone, but by the real opportunities individuals have to achieve valued “doings and beings.” The SEP entry emphasizes capabilities and functionings as core evaluative concepts, motivating the call to measure social impact beyond token price and TVL.</w:t>
      </w:r>
    </w:p>
    <w:p>
      <w:pPr>
        <w:pStyle w:val="Heading3"/>
      </w:pPr>
      <w:r>
        <w:t>2.7.4 Hayek and Dispersed Knowledge</w:t>
      </w:r>
    </w:p>
    <w:p>
      <w:r>
        <w:rPr/>
        <w:t>Hayek’s (1945) “Use of Knowledge in Society” argues that knowledge is dispersed and that price signals coordinate local information in ways centralized planning cannot replicate. This provides both a critique of centralized parameter-setting and a positive argument for governance designs that incorporate edge-level signals.</w:t>
      </w:r>
    </w:p>
    <w:p>
      <w:pPr>
        <w:pStyle w:val="Heading3"/>
      </w:pPr>
      <w:r>
        <w:t>2.7.5 Information Ethics and Contextual Integrity (Floridi (2013)/Nissenbaum)</w:t>
      </w:r>
    </w:p>
    <w:p>
      <w:r>
        <w:rPr/>
        <w:t>Tokenized networks require data and identity systems (sybil resistance, proof-of-service, reputation). This raises privacy and surveillance risks. Nissenbaum (2010)’s “privacy as contextual integrity” frames privacy as appropriate information flow governed by contextual norms, an approach influential in law, public policy, and computer science.</w:t>
      </w:r>
    </w:p>
    <w:p>
      <w:r>
        <w:rPr/>
        <w:t>This literature (Floridi, 2013; Nissenbaum, 2010) underwrites later design claims: token systems that rely on ever-expanding telemetry risk becoming disciplinary systems (a concern aligned with Foucault) unless constrained by contextual integrity and proportionality.</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 formal conceptual model that treats tokenomics as applied political philosophy,</w:t>
      </w:r>
    </w:p>
    <w:p>
      <w:r>
        <w:rPr/>
        <w:t>a mechanism design architecture tailored to DePIN and borderless infrastructure, and</w:t>
      </w:r>
    </w:p>
    <w:p>
      <w:r>
        <w:rPr/>
        <w:t>an empirical methods program that operationalizes philosophical commitments via a scoring rubric and tests their association with outcomes.</w:t>
      </w:r>
    </w:p>
    <w:p>
      <w:pPr>
        <w:pStyle w:val="Heading1"/>
      </w:pPr>
      <w:r>
        <w:t>3. Theoretical Framework</w:t>
      </w:r>
    </w:p>
    <w:p>
      <w:pPr>
        <w:pStyle w:val="Heading2"/>
      </w:pPr>
      <w:r>
        <w:t>3.1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2"/>
      </w:pPr>
      <w:r>
        <w:t>3.2 Formal Definitions and Notation</w:t>
      </w:r>
    </w:p>
    <w:p>
      <w:pPr>
        <w:pStyle w:val="Heading3"/>
      </w:pPr>
      <w:r>
        <w:t>Definition 3.1 (Tokenized Institutional System)</w:t>
      </w:r>
    </w:p>
    <w:p>
      <w:r>
        <w:t>A tokenized institutional system is a tuple:</w:t>
      </w:r>
    </w:p>
    <w:p>
      <w:pPr>
        <w:jc w:val="center"/>
        <w:spacing w:before="120" w:after="120"/>
      </w:pPr>
      <m:oMathPara>
        <m:oMath>
          <m:r>
            <m:rPr>
              <m:sty m:val="p"/>
            </m:rPr>
            <m:t xml:space="preserve">𝒮 = </m:t>
          </m:r>
          <m:d>
            <m:dPr>
              <m:begChr m:val="⟨"/>
              <m:endChr m:val="⟩"/>
            </m:dPr>
            <m:e>
              <m:r>
                <m:rPr>
                  <m:sty m:val="p"/>
                </m:rPr>
                <m:t xml:space="preserve">𝒜, </m:t>
              </m:r>
              <m:r>
                <m:t xml:space="preserve">Π</m:t>
              </m:r>
              <m:r>
                <m:rPr>
                  <m:sty m:val="p"/>
                </m:rPr>
                <m:t>, ℳ, ℰ, 𝒢, ℐ</m:t>
              </m:r>
            </m:e>
          </m:d>
        </m:oMath>
      </m:oMathPara>
    </w:p>
    <w:p>
      <w:r>
        <w:rPr/>
        <w:t>where: (𝒜) is a set of agent types (e.g., users (U), operators (O), token holders (H), delegates (D), adversaries (X).</w:t>
      </w:r>
    </w:p>
    <w:p>
      <w:r>
        <w:rPr/>
        <w:t>(Π) is a policy vector (“tokenomics design”) consisting of: issuance rules, distribution rules, eligibility rules, reward functions, sink functions, and governance rules.</w:t>
      </w:r>
    </w:p>
    <w:p>
      <w:r>
        <w:rPr/>
        <w:t>(ℳ) is a measurement system (oracles, proofs, telemetry, audits).</w:t>
      </w:r>
    </w:p>
    <w:p>
      <w:r>
        <w:rPr/>
        <w:t>(ℰ) is an enforcement system (slashing, bans, sanctions, dispute resolution).</w:t>
      </w:r>
    </w:p>
    <w:p>
      <w:r>
        <w:rPr/>
        <w:t>(𝒢) is the governance process (proposal rights, voting, delegation, timelocks, vetoes).</w:t>
      </w:r>
    </w:p>
    <w:p>
      <w:r>
        <w:rPr/>
        <w:t>(ℐ) is information governance (data-use policies, identity, privacy constraints).</w:t>
      </w:r>
    </w:p>
    <w:p>
      <w:r>
        <w:rPr/>
        <w:t>In plain terms: a token system is defined by who can participate (A), what the rules are (Π), how performance is measured (M), how violations are punished (E), how rules change (G), and how data is handled (I). The five philosophical traditions constrain how each of these components can be designed.</w:t>
      </w:r>
    </w:p>
    <w:p>
      <w:pPr>
        <w:pStyle w:val="Heading3"/>
      </w:pPr>
      <w:r>
        <w:t>Definition 3.2 (Sink and Faucet)</w:t>
      </w:r>
    </w:p>
    <w:p>
      <w:r>
        <w:rPr/>
        <w:t>For a time window (t), define:</w:t>
      </w:r>
    </w:p>
    <w:p>
      <w:r>
        <w:rPr/>
        <w:t>Faucet</w:t>
      </w:r>
      <m:oMath>
        <m:sSub>
          <m:e>
            <m:r>
              <m:t xml:space="preserve">F</m:t>
            </m:r>
          </m:e>
          <m:sub>
            <m:r>
              <m:t xml:space="preserve">t</m:t>
            </m:r>
          </m:sub>
        </m:sSub>
      </m:oMath>
      <w:r>
        <w:t>: total net token issuance distributed as rewards (or other liquid supply increases).</w:t>
      </w:r>
    </w:p>
    <w:p>
      <w:r>
        <w:rPr/>
        <w:t xml:space="preserve">Sink: </w:t>
      </w:r>
      <w:del w:id="9015" w:author="Claude" w:date="2026-04-02T00:00:00Z">
        <w:r>
          <w:delText>float-reducing mechanisms (burns, buybacks that retire tokens, locks that credibly reduce circulating float over the window).</w:delText>
        </w:r>
      </w:del>
      <w:ins w:id="9016" w:author="Claude" w:date="2026-04-02T00:00:00Z">
        <w:r>
          <w:t>mechanisms that permanently or temporarily remove tokens from circulation (burns, buybacks that retire tokens, locks that reduce tradeable supply).</w:t>
        </w:r>
      </w:ins>
      <w:r>
        <w:br/>
        <w:t>A system exhibits “sink before faucet” discipline if sinks are deployed and observable before (or alongside) large-scale faucets.</w:t>
      </w:r>
      <m:oMath>
        <m:sSub>
          <m:e>
            <m:r>
              <m:t xml:space="preserve">S</m:t>
            </m:r>
          </m:e>
          <m:sub>
            <m:r>
              <m:t xml:space="preserve">t</m:t>
            </m:r>
          </m:sub>
        </m:sSub>
      </m:oMath>
      <w:r/>
    </w:p>
    <w:p>
      <w:pPr>
        <w:pStyle w:val="Heading3"/>
      </w:pPr>
      <w:r>
        <w:t>Definition 3.3 (Spend-to-Reward Ratio, S2R)</w:t>
      </w:r>
    </w:p>
    <w:p>
      <w:pPr>
        <w:jc w:val="center"/>
        <w:spacing w:before="120" w:after="120"/>
      </w:pPr>
      <m:oMathPara>
        <m:oMath>
          <m:sSub>
            <m:e>
              <m:r>
                <m:rPr>
                  <m:sty m:val="p"/>
                </m:rPr>
                <m:t xml:space="preserve">S2R</m:t>
              </m:r>
            </m:e>
            <m:sub>
              <m:r>
                <m:t xml:space="preserve">t</m:t>
              </m:r>
            </m:sub>
          </m:sSub>
          <m:r>
            <m:rPr>
              <m:sty m:val="p"/>
            </m:rPr>
            <m:t xml:space="preserve"> = </m:t>
          </m:r>
          <m:f>
            <m:num>
              <m:sSub>
                <m:e>
                  <m:r>
                    <m:t xml:space="preserve">S</m:t>
                  </m:r>
                </m:e>
                <m:sub>
                  <m:r>
                    <m:t xml:space="preserve">t</m:t>
                  </m:r>
                </m:sub>
              </m:sSub>
            </m:num>
            <m:den>
              <m:sSub>
                <m:e>
                  <m:r>
                    <m:t xml:space="preserve">F</m:t>
                  </m:r>
                </m:e>
                <m:sub>
                  <m:r>
                    <m:t xml:space="preserve">t</m:t>
                  </m:r>
                </m:sub>
              </m:sSub>
            </m:den>
          </m:f>
        </m:oMath>
      </m:oMathPara>
    </w:p>
    <w:p>
      <w:r>
        <w:t>S2R is interpreted as a fiscal sustainability indicator: for a given reward policy, higher S2R implies tighter coupling between usage/value and issuance.</w:t>
      </w:r>
    </w:p>
    <w:p>
      <w:pPr>
        <w:pStyle w:val="Heading3"/>
      </w:pPr>
      <w:r>
        <w:t>Definition 3.4 (Legitimacy Constraint Set)</w:t>
      </w:r>
    </w:p>
    <w:p>
      <w:r>
        <w:rPr/>
        <w:t>Let (ℒ) denote a set of legitimacy constraints derived from political philosophy, such as:</w:t>
      </w:r>
    </w:p>
    <w:p>
      <w:r>
        <w:rPr>
          <w:b/>
        </w:rPr>
        <w:t>Publicity constraint (Kant): rule changes and enforcement must be publicly avowable and procedurally transparent.</w:t>
      </w:r>
      <w:r>
        <w:rPr/>
      </w:r>
    </w:p>
    <w:p>
      <w:r>
        <w:rPr>
          <w:b/>
        </w:rPr>
        <w:t>Non-domination constraint (republican): agents must not be subject to arbitrary interference; contestability must exist.</w:t>
      </w:r>
      <w:r>
        <w:rPr/>
      </w:r>
    </w:p>
    <w:p>
      <w:r>
        <w:rPr>
          <w:b/>
        </w:rPr>
        <w:t>Floor constraint (Rawlsian maximin, capabilities): policies must avoid worsening prospects for the least advantaged and ideally improve capabilities.</w:t>
      </w:r>
      <w:r>
        <w:rPr/>
      </w:r>
    </w:p>
    <w:p>
      <w:r>
        <w:rPr>
          <w:b/>
        </w:rPr>
        <w:t>Contextual integrity constraint: information flows must conform to context-appropriate norms.</w:t>
      </w:r>
      <w:r>
        <w:rPr/>
      </w:r>
    </w:p>
    <w:p>
      <w:r>
        <w:rPr/>
        <w:t xml:space="preserve">A system </w:t>
      </w:r>
      <w:del w:id="9017" w:author="Claude" w:date="2026-04-02T00:00:00Z">
        <w:r>
          <w:delText>is legitimacy-feasible if</w:delText>
        </w:r>
      </w:del>
      <w:ins w:id="9018" w:author="Claude" w:date="2026-04-02T00:00:00Z">
        <w:r>
          <w:t>satisfies its legitimacy constraints if</w:t>
        </w:r>
      </w:ins>
      <w:r>
        <w:t xml:space="preserve"> (Π) and (ℰ) satisfy (ℒ) under plausible adversarial conditions.</w:t>
      </w:r>
    </w:p>
    <w:p>
      <w:pPr>
        <w:pStyle w:val="Heading3"/>
      </w:pPr>
      <w:r>
        <w:t>Definition 3.5 (Outcome Domains)</w:t>
      </w:r>
    </w:p>
    <w:p>
      <w:r>
        <w:rPr/>
        <w:t>Outcomes are grouped into three domains:</w:t>
      </w:r>
    </w:p>
    <w:p>
      <w:r>
        <w:rPr>
          <w:b/>
        </w:rPr>
        <w:t>Economic</w:t>
      </w:r>
      <w:r>
        <w:rPr/>
        <w:t>: sustainability (revenue/fees), market quality (liquidity depth/slippage), resilience (drawdowns and recovery), efficiency.</w:t>
      </w:r>
    </w:p>
    <w:p>
      <w:r>
        <w:rPr>
          <w:b/>
        </w:rPr>
        <w:t>Political</w:t>
      </w:r>
      <w:r>
        <w:rPr/>
        <w:t>: participation, concentration (HHI/Gini), procedural justice (appeals, timelocks), rule stability.</w:t>
      </w:r>
    </w:p>
    <w:p>
      <w:r>
        <w:rPr>
          <w:b/>
        </w:rPr>
        <w:t>Social</w:t>
      </w:r>
      <w:r>
        <w:rPr/>
        <w:t>: capability gains, inclusion (geographic and socioeconomic), safety, privacy-preserving participation.</w:t>
      </w:r>
    </w:p>
    <w:p>
      <w:pPr>
        <w:pStyle w:val="Heading2"/>
      </w:pPr>
      <w:r>
        <w:t>3.3 Conceptual Model: From Philosophy to Mechanisms to Outcomes</w:t>
      </w:r>
    </w:p>
    <w:p>
      <w:pPr>
        <w:pStyle w:val="Heading3"/>
      </w:pPr>
      <w:r>
        <w:t>The conceptual model of tokenomics as applied political philosophy (developed in Section 3)</w:t>
      </w:r>
    </w:p>
    <w:p>
      <w:pPr>
        <w:jc w:val="center"/>
      </w:pPr>
      <w:r>
        <w:drawing>
          <wp:inline xmlns:a="http://schemas.openxmlformats.org/drawingml/2006/main" xmlns:pic="http://schemas.openxmlformats.org/drawingml/2006/pictur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i/>
          <w:sz w:val="20"/>
        </w:rPr>
        <w:t>Figure 1. 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w:t>
      </w:r>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2"/>
      </w:pPr>
      <w:r>
        <w:t>3.4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Heading3"/>
      </w:pPr>
      <w:r>
        <w:t>Hypothesis 3.1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br/>
        <w:t>Justification: Kant’s publicity principle suggests that political maxims requiring secrecy to succeed are illegitimate; in token systems, secrecy increases perceived arbitrariness and reduces willingness to invest in the future under rule uncertainty.</w:t>
      </w:r>
      <w:r>
        <w:rPr/>
      </w:r>
    </w:p>
    <w:p>
      <w:r>
        <w:rPr/>
        <w:t>Motivating evidence: Ethereum’s base layer exemplifies Kantian publicity in practice. With a hard-coded fee burn mechanism (EIP-1559) and immutable consensus rules, the network processed approximately 383 million transactions in 2023 (CoinGecko, 2026) with zero rollbacks or reversals. Bitcoin’s hard 21 million supply cap (the most transparent monetary rule in any financial system) has attracted over 100 million owners by 2025 (CoinGecko, 2026). In both cases, credible neutrality (no exceptions, no privileged actors) correlates with sustained trust and participation at scale.</w:t>
      </w:r>
    </w:p>
    <w:p>
      <w:pPr>
        <w:pStyle w:val="Heading3"/>
      </w:pPr>
      <w:r>
        <w:t>Hypothesis 3.2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br/>
        <w:t>Justification: Republican freedom as non-domination requires protection against arbitrary interference; appeals and oversight operationalize that requirement by constraining enforcement discretion.</w:t>
      </w:r>
      <w:r>
        <w:rPr/>
      </w:r>
    </w:p>
    <w:p>
      <w:r>
        <w:rPr>
          <w:i/>
        </w:rPr>
        <w:t>Motivating evidence:</w:t>
      </w:r>
      <w:r>
        <w:rPr/>
        <w:t xml:space="preserve"> The Steem-to-Hive fork of March 2020 provides a vivid natural experiment. When Tron’s Justin Sun used custodial exchange votes to seize governance control of the Steem DAO, the community exercised its ultimate contestability mechanism: forking to Hive and stripping the acquirer’s 70 million STEEM stake (Barbereau et al., 2023). Within weeks, HIVE tokens traded at parity with or above STEEM, demonstrating that communities can mobilize credible exit when non-domination norms are breached. Optimism’s 2023 bicameral governance structure (Token House plus Citizens’ House with one-person-one-vote) illustrates institutional contestability by design: the Citizens’ House allocated 10 million OP (approximately $18 million) to public goods in its first year (Optimism, 2024), creating a structural check on token-weighted plutocracy.</w:t>
      </w:r>
    </w:p>
    <w:p>
      <w:pPr>
        <w:pStyle w:val="Heading3"/>
      </w:pPr>
      <w:r>
        <w:t>Hypothesis 3.3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br/>
        <w:t>Justification: In repeated interaction settings, participants discount future rewards when dilution is unconstrained; sinks create credible coupling between real usage and token scarcity/treasury strength.</w:t>
      </w:r>
      <w:r>
        <w:rPr/>
      </w:r>
    </w:p>
    <w:p>
      <w:r>
        <w:rPr/>
        <w:t>Motivating evidence: Ethereum’s EIP-1559 fee burn removed over 5.3 million ETH (approximately $9 billion) between August 2021 and November 2025 (Dune Analytics, 2026), producing net deflation of -0.108% per year after the Merge. OlympusDAO offered over 1,000% APY with no meaningful sink; OHM collapsed by more than 99% (from approximately $1,300 to below $10; CoinGecko, 2026). Terra’s TerraUSD (UST) collapse in May 2022 is the extreme case: within 72 hours, the stablecoin depegged to $0.08 while over 6 trillion LUNA were minted, vaporizing approximately $60 billion in combined LUNA and UST market capitalization (Liu, Makarov, &amp; Schoar, 2023; CoinGecko historical data). These cases validate the Prime Directive: protocols establishing sinks proportional to usage before scaling emissions exhibit dramatically different durability trajectories.</w:t>
      </w:r>
    </w:p>
    <w:p>
      <w:r>
        <w:rPr/>
        <w:t>The DePIN sector provides additional confirmation: by year-end 2025, GEODNET's burn absorption rate accelerated from approximately 15% of emissions in mid-2024 to over 60% by early 2026 (Blockworks, 2026; Dune Analytics) while Helium's annual inflation fell below 2% (Zukowski, 2026b), demonstrating that mature protocols converge on deflationary dynamics when demand-side sinks outpace supply-side rewards.</w:t>
      </w:r>
    </w:p>
    <w:p>
      <w:pPr>
        <w:pStyle w:val="Heading3"/>
      </w:pPr>
      <w:r>
        <w:t>Hypothesis 3.4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r>
        <w:rPr/>
        <w:t>Motivating evidence: Helium’s trajectory from 2019 to 2025 demonstrates this hypothesis. By late 2022, presence-based token incentives drove deployment of approximately 975,000 IoT hotspots globally (Dune Analytics, 2026), yet actual data usage was negligible: generating approximately $6,500 per month in data transfer revenue across the entire IoT hotspot fleet (Shapira, 2022; Haleem, 2022). The reward split (80% coverage mining, 20% data transfer) yielded an S2R of approximately 0.007. After pivoting to 5G with service-verified rewards, annualized revenue reached $18.3 million by Q3 2025 with 1.2 million daily active users (Bane &amp; Gala, 2026; Zukowski, 2026b), and the trailing three-month S2R reached 0.18 by mid-2025.</w:t>
      </w:r>
    </w:p>
    <w:p>
      <w:pPr>
        <w:pStyle w:val="Heading3"/>
      </w:pPr>
      <w:r>
        <w:t>Hypothesis 3.5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br/>
        <w:t>Justification: Ostrom’s polycentric governance emphasizes multiple overlapping decision centers as an efficient response to complex systems.</w:t>
      </w:r>
      <w:r>
        <w:rPr/>
      </w:r>
    </w:p>
    <w:p>
      <w:r>
        <w:rPr/>
        <w:t>Motivating evidence: The Cosmos IBC ecosystem grew from approximately 50 to over 115 interconnected blockchains between 2024 and 2025 , each with local governance and tokenomics (Cosmos, 2026). Polkadot hosts approximately 40 live parachains, and its on-chain treasury funded over 200 proposals ($21 million in 2023, $87 million in H1 2024; OpenGov.Watch, 2024). Individual chain failures did not propagate systemically, confirming the resilience advantage of federated architectures over monolithic alternatives.</w:t>
      </w:r>
    </w:p>
    <w:p>
      <w:pPr>
        <w:pStyle w:val="Heading2"/>
      </w:pPr>
      <w:r>
        <w:t>3.5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Lens</w:t>
            </w:r>
          </w:p>
        </w:tc>
        <w:tc>
          <w:tcPr>
            <w:tcW w:type="dxa" w:w="1728"/>
          </w:tcPr>
          <w:p>
            <w:r>
              <w:rPr>
                <w:b/>
              </w:rPr>
              <w:t>0 (Absent)</w:t>
            </w:r>
          </w:p>
        </w:tc>
        <w:tc>
          <w:tcPr>
            <w:tcW w:type="dxa" w:w="1728"/>
          </w:tcPr>
          <w:p>
            <w:r>
              <w:rPr>
                <w:b/>
              </w:rPr>
              <w:t>1 (Minimal)</w:t>
            </w:r>
          </w:p>
        </w:tc>
        <w:tc>
          <w:tcPr>
            <w:tcW w:type="dxa" w:w="1728"/>
          </w:tcPr>
          <w:p>
            <w:r>
              <w:rPr>
                <w:b/>
              </w:rPr>
              <w:t>2 (Partial)</w:t>
            </w:r>
          </w:p>
        </w:tc>
        <w:tc>
          <w:tcPr>
            <w:tcW w:type="dxa" w:w="1728"/>
          </w:tcPr>
          <w:p>
            <w:r>
              <w:rPr>
                <w:b/>
              </w:rPr>
              <w:t>3 (Exemplary)</w:t>
            </w:r>
          </w:p>
        </w:tc>
        <w:trPr>
          <w:tblHeader/>
        </w:trPr>
      </w:tr>
      <w:tr>
        <w:tc>
          <w:tcPr>
            <w:tcW w:type="dxa" w:w="1728"/>
          </w:tcPr>
          <w:p>
            <w:r>
              <w:t>Kantian Publicity</w:t>
            </w:r>
          </w:p>
        </w:tc>
        <w:tc>
          <w:tcPr>
            <w:tcW w:type="dxa" w:w="1728"/>
          </w:tcPr>
          <w:p>
            <w:r>
              <w:t>No public governance docs</w:t>
            </w:r>
          </w:p>
        </w:tc>
        <w:tc>
          <w:tcPr>
            <w:tcW w:type="dxa" w:w="1728"/>
          </w:tcPr>
          <w:p>
            <w:r>
              <w:t>Rules exist but hard to find</w:t>
            </w:r>
          </w:p>
        </w:tc>
        <w:tc>
          <w:tcPr>
            <w:tcW w:type="dxa" w:w="1728"/>
          </w:tcPr>
          <w:p>
            <w:r>
              <w:t>Public rules + rationale</w:t>
            </w:r>
          </w:p>
        </w:tc>
        <w:tc>
          <w:tcPr>
            <w:tcW w:type="dxa" w:w="1728"/>
          </w:tcPr>
          <w:p>
            <w:r>
              <w:t>Public rules + deliberation + justification</w:t>
            </w:r>
          </w:p>
        </w:tc>
      </w:tr>
      <w:tr>
        <w:tc>
          <w:tcPr>
            <w:tcW w:type="dxa" w:w="1728"/>
          </w:tcPr>
          <w:p>
            <w:r>
              <w:t>Rawlsian Fairness</w:t>
            </w:r>
          </w:p>
        </w:tc>
        <w:tc>
          <w:tcPr>
            <w:tcW w:type="dxa" w:w="1728"/>
          </w:tcPr>
          <w:p>
            <w:r>
              <w:t>No floor-raising mechanism</w:t>
            </w:r>
          </w:p>
        </w:tc>
        <w:tc>
          <w:tcPr>
            <w:tcW w:type="dxa" w:w="1728"/>
          </w:tcPr>
          <w:p>
            <w:r>
              <w:t>Basic airdrop only</w:t>
            </w:r>
          </w:p>
        </w:tc>
        <w:tc>
          <w:tcPr>
            <w:tcW w:type="dxa" w:w="1728"/>
          </w:tcPr>
          <w:p>
            <w:r>
              <w:t>Graduated fee tiers or grants</w:t>
            </w:r>
          </w:p>
        </w:tc>
        <w:tc>
          <w:tcPr>
            <w:tcW w:type="dxa" w:w="1728"/>
          </w:tcPr>
          <w:p>
            <w:r>
              <w:t>Systematic equity mechanisms + measured gaps</w:t>
            </w:r>
          </w:p>
        </w:tc>
      </w:tr>
      <w:tr>
        <w:tc>
          <w:tcPr>
            <w:tcW w:type="dxa" w:w="1728"/>
          </w:tcPr>
          <w:p>
            <w:r>
              <w:t>Pettit Contestation</w:t>
            </w:r>
          </w:p>
        </w:tc>
        <w:tc>
          <w:tcPr>
            <w:tcW w:type="dxa" w:w="1728"/>
          </w:tcPr>
          <w:p>
            <w:r>
              <w:t>No appeals or checks</w:t>
            </w:r>
          </w:p>
        </w:tc>
        <w:tc>
          <w:tcPr>
            <w:tcW w:type="dxa" w:w="1728"/>
          </w:tcPr>
          <w:p>
            <w:r>
              <w:t>Informal complaints possible</w:t>
            </w:r>
          </w:p>
        </w:tc>
        <w:tc>
          <w:tcPr>
            <w:tcW w:type="dxa" w:w="1728"/>
          </w:tcPr>
          <w:p>
            <w:r>
              <w:t>Formal appeal mechanism exists</w:t>
            </w:r>
          </w:p>
        </w:tc>
        <w:tc>
          <w:tcPr>
            <w:tcW w:type="dxa" w:w="1728"/>
          </w:tcPr>
          <w:p>
            <w:r>
              <w:t>Independent arbitration + veto rights</w:t>
            </w:r>
          </w:p>
        </w:tc>
      </w:tr>
      <w:tr>
        <w:tc>
          <w:tcPr>
            <w:tcW w:type="dxa" w:w="1728"/>
          </w:tcPr>
          <w:p>
            <w:r>
              <w:t>Ostrom Polycentricity</w:t>
            </w:r>
          </w:p>
        </w:tc>
        <w:tc>
          <w:tcPr>
            <w:tcW w:type="dxa" w:w="1728"/>
          </w:tcPr>
          <w:p>
            <w:r>
              <w:t>Single decision center</w:t>
            </w:r>
          </w:p>
        </w:tc>
        <w:tc>
          <w:tcPr>
            <w:tcW w:type="dxa" w:w="1728"/>
          </w:tcPr>
          <w:p>
            <w:r>
              <w:t>Advisory subcommittees</w:t>
            </w:r>
          </w:p>
        </w:tc>
        <w:tc>
          <w:tcPr>
            <w:tcW w:type="dxa" w:w="1728"/>
          </w:tcPr>
          <w:p>
            <w:r>
              <w:t>Functional subDAOs with budgets</w:t>
            </w:r>
          </w:p>
        </w:tc>
        <w:tc>
          <w:tcPr>
            <w:tcW w:type="dxa" w:w="1728"/>
          </w:tcPr>
          <w:p>
            <w:r>
              <w:t>Nested governance with local autonomy</w:t>
            </w:r>
          </w:p>
        </w:tc>
      </w:tr>
      <w:tr>
        <w:tc>
          <w:tcPr>
            <w:tcW w:type="dxa" w:w="1728"/>
          </w:tcPr>
          <w:p>
            <w:r>
              <w:t>Hayek Knowledge</w:t>
            </w:r>
          </w:p>
        </w:tc>
        <w:tc>
          <w:tcPr>
            <w:tcW w:type="dxa" w:w="1728"/>
          </w:tcPr>
          <w:p>
            <w:r>
              <w:t>Fixed parameters</w:t>
            </w:r>
          </w:p>
        </w:tc>
        <w:tc>
          <w:tcPr>
            <w:tcW w:type="dxa" w:w="1728"/>
          </w:tcPr>
          <w:p>
            <w:r>
              <w:t>Admin-adjusted parameters</w:t>
            </w:r>
          </w:p>
        </w:tc>
        <w:tc>
          <w:tcPr>
            <w:tcW w:type="dxa" w:w="1728"/>
          </w:tcPr>
          <w:p>
            <w:r>
              <w:t>Automated price signals</w:t>
            </w:r>
          </w:p>
        </w:tc>
        <w:tc>
          <w:tcPr>
            <w:tcW w:type="dxa" w:w="1728"/>
          </w:tcPr>
          <w:p>
            <w:r>
              <w:t>Demand-coupled mechanisms + edge feedback</w:t>
            </w:r>
          </w:p>
        </w:tc>
      </w:tr>
    </w:tbl>
    <w:p>
      <w:r>
        <w:rPr/>
        <w:t>Table 1. 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xmlns:a="http://schemas.openxmlformats.org/drawingml/2006/main" xmlns:pic="http://schemas.openxmlformats.org/drawingml/2006/pictur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i/>
          <w:sz w:val="18"/>
        </w:rPr>
        <w:t>Figure 2. Normative framework architecture: five philosophical lenses are operationalized through a scoring rubric into five testable design hypotheses. Dashed arrow indicates the empirical feedback loop from governance concentration evidence (Section 5) and case evidence developed separately.</w:t>
      </w:r>
    </w:p>
    <w:p>
      <w:pPr>
        <w:pStyle w:val="Heading1"/>
      </w:pPr>
      <w:r>
        <w:t>4. Framework Operationalization</w:t>
      </w:r>
    </w:p>
    <w:p>
      <w:pPr>
        <w:pStyle w:val="Heading2"/>
      </w:pPr>
      <w:r>
        <w:t>4.1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2"/>
      </w:pPr>
      <w:r>
        <w:t>4.2 Units of Analysis and Sampling Strategy</w:t>
      </w:r>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del w:id="9019" w:author="Claude" w:date="2026-04-02T00:00:00Z">
        <w:r>
          <w:delText>2 survivorship-bias controls</w:delText>
        </w:r>
      </w:del>
      <w:ins w:id="9020" w:author="Claude" w:date="2026-04-02T00:00:00Z">
        <w:r>
          <w:t>2 failed or stagnated protocols included to avoid studying only survivors</w:t>
        </w:r>
      </w:ins>
      <w:r>
        <w:t xml:space="preserve">),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w:t>
      </w:r>
      <w:del w:id="9021" w:author="Claude" w:date="2026-04-02T00:00:00Z">
        <w:r>
          <w:delText>Solana-native tokens (META, DRIFT, GRASS, W) were collected via Helius getTokenAccounts API to address systematic undercounting in Dune's solana_utils.daily_balances table, which returned 29-291 holders versus 5,067-99,980 from direct RPC enumeration.</w:delText>
        </w:r>
      </w:del>
      <w:ins w:id="9022" w:author="Claude" w:date="2026-04-02T00:00:00Z">
        <w:r>
          <w:t>Solana-native tokens (META, DRIFT, GRASS, W) required a separate data collection pipeline (Helius DAS API) because the primary indexer undercounted holders by two orders of magnitude; details are in Supplementary File S6.</w:t>
        </w:r>
      </w:ins>
      <w:r>
        <w:t/>
      </w:r>
    </w:p>
    <w:p>
      <w:r>
        <w:rPr>
          <w:i/>
          <w:sz w:val="18"/>
        </w:rPr>
        <w:t>Figure 3. Holding-based Herfindahl-Hirschman Index (HHI) across 40 governance tokens (March 2026 snapshot, top-1,000 holders, protocol-controlled addresses excluded). Dashed lines indicate category means. Protocols sorted by category then HHI ascending.</w:t>
      </w:r>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0.45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confirming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2"/>
      </w:pPr>
      <w:r>
        <w:t>4.3 Data Sources (Replicable, Multi-Disciplinary)</w:t>
      </w:r>
    </w:p>
    <w:p>
      <w:r>
        <w:rPr/>
        <w:t>Four data streams inform the analysis: on-chain data (transactions, staking, governance votes, treasury)</w:t>
      </w:r>
    </w:p>
    <w:p>
      <w:r>
        <w:rPr/>
        <w:t>protocol documentation (whitepapers, governance forums, parameter docs)</w:t>
      </w:r>
    </w:p>
    <w:p>
      <w:r>
        <w:rPr/>
        <w:t>analytic aggregators (where replicable and with clear definitions)</w:t>
      </w:r>
    </w:p>
    <w:p>
      <w:r>
        <w:rPr/>
        <w:t>public academic and policy sources (e.g., BIS)</w:t>
      </w:r>
    </w:p>
    <w:p>
      <w:r>
        <w:rPr/>
        <w:t>Data-definition consistency is a first-class problem; transformations and assumptions are documented in supplementary materials.</w:t>
      </w:r>
    </w:p>
    <w:p>
      <w:r>
        <w:t>A systematic data coverage gap between DeFi and DePIN protocols constrains cross-sector regression analysis. Token Terminal, the primary source for protocol-level financial metrics, covers 100% of DeFi protocols in the sample but only 58% of DePIN protocols for revenue and 25% for subsidy ratio. Where DePIN coverage exists, the revenue definitions may not capture hardware network economics: Token Terminal classifies Livepeer's annualized revenue as $0 despite the protocol processing $23.8 million in on-chain LPT burns over the trailing 12 months, and reports IoTeX at $88,000 in annual revenue with $3.4 million in token incentives. To address this gap, on-chain subsidy ratios for 11 DePIN protocols were computed from protocol-native revenue events (Data Credit burns for Helium, LPT burns for Livepeer, DIMO token burns for DIMO, GEOD burns for GEODNET, MOR burns for Morpheus, and equivalent measures for Filecoin, Render, and POKT), providing a measurement approach consistent across both sectors. Statistical analyses use R 4.4+ with the oaxaca package (1,000 bootstrap replications) for decomposition and OLS with heteroscedasticity-robust standard errors for regression.</w:t>
      </w:r>
    </w:p>
    <w:p>
      <w:r>
        <w:t xml:space="preserve">Aethir illustrates the inverse limitation: despite generating the highest DePIN revenue in the sample ($156M annualized (Token Terminal, April 2026) from 150+ enterprise AI and gaming clients), its governance token (ATH) has an HHI of 0.171, the second highest in the DePIN subsample. Aethir's subsidy ratio of 0.36x (revenue far exceeds emissions) places it at the opposite extreme from Livepeer (88.5x), yet both exhibit high governance concentration. This decoupling of financial health from governance decentralization underscores that concentration is driven by initial allocation and vesting structures, not by subsidy dependence.</w:t>
      </w:r>
    </w:p>
    <w:p>
      <w:r>
        <w:rPr/>
        <w:t xml:space="preserve">Financial covariates (revenue, treasury, market capitalization) are sourced from Token Terminal, DeFiLlama, and CoinGecko APIs and are subject to each aggregator's coverage limitations. Token allocation data were compiled from official protocol documentation and verified against Tokenomist for all 38 protocols; source URLs are documented in the replication package. We cross-validate allocation data against the Tokenomist API for the 10 protocols available under the free-trial catalog. Seven of nine matched protocols agree within three percentage points; two discrepancies (Aave, Lido) reflect Tokenomist’s reporting of current vesting state rather than initial allocation design, a distinction that reinforces the separation between design intent and observed holder composition documented in Section 5.4. Two protocols (MetaDAO, Token Engineering Commons) use non-standard allocation models that cannot be mapped to team/investor/community buckets and are excluded from the allocation regression.</w:t>
      </w:r>
      <w:ins w:id="1" w:author="Claude" w:date="2026-04-01T00:00:00Z">
        <w:r>
          <w:rPr/>
          <w:t xml:space="preserve"> Balancer (BAL) is included in the regression analysis but excluded from the concentration summary table; its veBAL vote-escrow mechanism makes raw token HHI non-comparable with one-token-one-vote protocols, so it is omitted from the cross-sectional concentration statistics but retained where covariate coverage is sufficient.</w:t>
        </w:r>
      </w:ins>
      <w:r>
        <w:rPr/>
        <w:t xml:space="preserve"> Treasury data is available from DeFiLlama for DeFi and L1/L2 infrastructure protocols but not for DePIN protocols, which manage treasury through multisig wallets not indexed by aggregators. DePIN network device counts are sourced from DePINScan, Messari quarterly reports, and protocol explorers; these counts are point-in-time snapshots subject to measurement differences across implementations (e.g., Helium separates IoT and Mobile subnetworks; Filecoin distinguishes active storage providers from historical registrations; Livepeer caps its active orchestrator set at 100 by protocol design).</w:t>
      </w:r>
    </w:p>
    <w:p>
      <w:r>
        <w:rPr>
          <w:b w:val="0"/>
        </w:rPr>
        <w:t>Aave’s initial allocation included a substantial team and investor share, but all vesting has completed. Tokenomist reports the current state (0% insider, 100% community), which reflects full distribution rather than the absence of an initial insider allocation. Our regression uses the initial design allocation (from project documentation), not the Tokenomist current-state value.</w:t>
      </w:r>
    </w:p>
    <w:p>
      <w:pPr>
        <w:pStyle w:val="Heading2"/>
      </w:pPr>
      <w:r>
        <w:t>4.4 Codebook and Rubric</w:t>
      </w:r>
    </w:p>
    <w:p>
      <w:r>
        <w:rPr/>
        <w:t>We code each protocol across standardized dimensions via a machine-readable table (Supplementary File S1). It contains fields grouped into the following blocks:</w:t>
      </w:r>
    </w:p>
    <w:p>
      <w:r>
        <w:rPr>
          <w:b/>
        </w:rPr>
        <w:t>Metadata</w:t>
      </w:r>
      <w:r>
        <w:rPr/>
        <w:t>: protocol_id, chain, category, docs, forum.</w:t>
      </w:r>
    </w:p>
    <w:p>
      <w:r>
        <w:rPr>
          <w:b/>
        </w:rPr>
        <w:t>Supply/Issuance</w:t>
      </w:r>
      <w:r>
        <w:rPr/>
        <w:t>: emission model, max supply, inflation rate, decay rule, vesting months, unlock schedule.</w:t>
      </w:r>
    </w:p>
    <w:p>
      <w:r>
        <w:rPr>
          <w:b/>
        </w:rPr>
        <w:t>Distribution</w:t>
      </w:r>
      <w:r>
        <w:rPr/>
        <w:t>: team/investor/community allocations; airdrop method; sybil defenses.</w:t>
      </w:r>
    </w:p>
    <w:p>
      <w:r>
        <w:rPr>
          <w:b/>
        </w:rPr>
        <w:t>Value routing and sinks</w:t>
      </w:r>
      <w:r>
        <w:rPr/>
        <w:t>: fee switch, burn/buyback rules, treasury routing.</w:t>
      </w:r>
    </w:p>
    <w:p>
      <w:r>
        <w:rPr>
          <w:b/>
        </w:rPr>
        <w:t>Staking/locks</w:t>
      </w:r>
      <w:r>
        <w:rPr/>
        <w:t>: staking enabled, lockups, unbonding, slashing.</w:t>
      </w:r>
    </w:p>
    <w:p>
      <w:r>
        <w:rPr>
          <w:b/>
        </w:rPr>
        <w:t>Governance architecture</w:t>
      </w:r>
      <w:r>
        <w:rPr/>
        <w:t>: on/off-chain, delegation, thresholds, quorums, timelocks, veto/guardian.; Participation costs: </w:t>
      </w:r>
      <w:del w:id="9040" w:author="Claude" w:date="2026-04-02T00:00:00Z">
        <w:r>
          <w:delText>cost-to-meaningful-voice proxies.</w:delText>
        </w:r>
      </w:del>
      <w:ins w:id="9041" w:author="Claude" w:date="2026-04-02T00:00:00Z">
        <w:r>
          <w:t>the minimum token holding or gas expenditure required to submit a governance proposal or cast a meaningful vote.</w:t>
        </w:r>
      </w:ins>
      <w:r>
        <w:t/>
      </w:r>
    </w:p>
    <w:p>
      <w:r>
        <w:rPr>
          <w:b/>
        </w:rPr>
        <w:t>Decentralization</w:t>
      </w:r>
      <w:r>
        <w:rPr/>
        <w:t>: validator count, Nakamoto-like metrics, concentration measures.</w:t>
      </w:r>
    </w:p>
    <w:p>
      <w:r>
        <w:rPr>
          <w:b/>
        </w:rPr>
        <w:t>Incentives</w:t>
      </w:r>
      <w:r>
        <w:rPr/>
        <w:t>: liquidity mining windows, decay rules, proof-of-action.</w:t>
      </w:r>
    </w:p>
    <w:p>
      <w:r>
        <w:rPr>
          <w:b/>
        </w:rPr>
        <w:t>Data/identity</w:t>
      </w:r>
      <w:r>
        <w:rPr/>
        <w:t>: identity posture, privacy policy references.</w:t>
      </w:r>
    </w:p>
    <w:p>
      <w:r>
        <w:rPr/>
        <w:t>A protocol row also stores computed philosophy lens scores (0–3) and evidence links.</w:t>
      </w:r>
    </w:p>
    <w:p>
      <w:pPr>
        <w:pStyle w:val="Heading2"/>
      </w:pPr>
      <w:r>
        <w:t>4.5 Philosophy Scoring Rubric: Translating Normative Theory into Observable Criteria</w:t>
      </w:r>
    </w:p>
    <w:p>
      <w:r>
        <w:rPr/>
        <w:t>The scoring rubric is a second machine-readable table (Supplementary File S2). It contains: lens_id, criterion_id, criterion definition</w:t>
      </w:r>
    </w:p>
    <w:p>
      <w:r>
        <w:rPr/>
        <w:t>a 0–3 scoring scale for each criterion; default weights</w:t>
      </w:r>
    </w:p>
    <w:p>
      <w:r>
        <w:rPr/>
        <w:t>A third table (Supplementary File S3) stores protocol × criterion scores with evidence links, scorer initials, and dates.</w:t>
      </w:r>
    </w:p>
    <w:p>
      <w:pPr>
        <w:pStyle w:val="Heading3"/>
      </w:pPr>
      <w:r>
        <w:t>4.5.1 Scoring Procedure</w:t>
      </w:r>
    </w:p>
    <w:p>
      <w:r>
        <w:rPr/>
        <w:t>Evidence links (docs, forums, code references) anchor each protocol’s coding; for each protocol, gather (docs, forums, code references)</w:t>
      </w:r>
    </w:p>
    <w:p>
      <w:r>
        <w:rPr/>
        <w:t>score each criterion 0–3</w:t>
      </w:r>
    </w:p>
    <w:p>
      <w:r>
        <w:rPr/>
        <w:t>compute lens score as weighted mean</w:t>
      </w:r>
    </w:p>
    <w:p>
      <w:r>
        <w:rPr/>
        <w:t>compute an overall Synergy Index as weighted mean across lenses (weights pre-specified)</w:t>
      </w:r>
    </w:p>
    <w:p>
      <w:pPr>
        <w:pStyle w:val="Heading3"/>
      </w:pPr>
      <w:r>
        <w:t>4.5.2 Reliability and Validity</w:t>
      </w:r>
    </w:p>
    <w:p>
      <w:r>
        <w:rPr/>
        <w:t>Double-code ≥10% of protocols to estimate inter-rater reliability (e.g., Cohen’s κ).</w:t>
      </w:r>
    </w:p>
    <w:p>
      <w:r>
        <w:rPr/>
        <w:t>Use adjudication rules where κ is low.</w:t>
      </w:r>
    </w:p>
    <w:p>
      <w:r>
        <w:rPr/>
        <w:t>Validate construct validity by comparing rubric scores to independent indicators (e.g., governance concentration, frequency of rule changes, appeals outcomes).</w:t>
      </w:r>
    </w:p>
    <w:p>
      <w:r>
        <w:rPr/>
        <w:t>This operationalization is explicitly designed to be legible across disciplines: political philosophy criteria are mapped to measurable institutional features (appeals, publicity, concentration), enabling empirical tests.</w:t>
      </w:r>
    </w:p>
    <w:p>
      <w:pPr>
        <w:pStyle w:val="Heading3"/>
      </w:pPr>
      <w:r>
        <w:t>4.5.3 Illustrative Scoring</w:t>
      </w:r>
    </w:p>
    <w:p>
      <w:r>
        <w:t xml:space="preserve">Table 2 demonstrates the rubric applied to three protocols spanning the DeFi–DePIN divide. Full scoring sheets for all 12 scored protocols, with evidence links, are provided in Supplementary File S3. Scores are assigned by a single coder; inter-rater reliability testing with a second scorer is specified as future work.</w:t>
      </w:r>
    </w:p>
    <w:tbl>
      <w:tblPr>
        <w:tblW w:type="dxa" w:w="936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1080"/>
        <w:gridCol w:w="1080"/>
        <w:gridCol w:w="1200"/>
        <w:gridCol w:w="1200"/>
        <w:gridCol w:w="1080"/>
        <w:gridCol w:w="1920"/>
      </w:tblGrid>
      <w:tr>
        <w:tc>
          <w:tcPr>
            <w:tcW w:type="dxa" w:w="1800"/>
            <w:shd w:val="clear" w:fill="D9E2F3"/>
          </w:tcPr>
          <w:p>
            <w:r>
              <w:rPr>
                <w:b/>
                <w:sz w:val="18"/>
              </w:rPr>
              <w:t>Protocol</w:t>
            </w:r>
          </w:p>
        </w:tc>
        <w:tc>
          <w:tcPr>
            <w:tcW w:type="dxa" w:w="1080"/>
            <w:shd w:val="clear" w:fill="D9E2F3"/>
          </w:tcPr>
          <w:p>
            <w:r>
              <w:rPr>
                <w:b/>
                <w:sz w:val="18"/>
              </w:rPr>
              <w:t>Publicity</w:t>
            </w:r>
          </w:p>
        </w:tc>
        <w:tc>
          <w:tcPr>
            <w:tcW w:type="dxa" w:w="1080"/>
            <w:shd w:val="clear" w:fill="D9E2F3"/>
          </w:tcPr>
          <w:p>
            <w:r>
              <w:rPr>
                <w:b/>
                <w:sz w:val="18"/>
              </w:rPr>
              <w:t>Fairness</w:t>
            </w:r>
          </w:p>
        </w:tc>
        <w:tc>
          <w:tcPr>
            <w:tcW w:type="dxa" w:w="1200"/>
            <w:shd w:val="clear" w:fill="D9E2F3"/>
          </w:tcPr>
          <w:p>
            <w:r>
              <w:rPr>
                <w:b/>
                <w:sz w:val="18"/>
              </w:rPr>
              <w:t xml:space="preserve">Non-Dom.</w:t>
            </w:r>
          </w:p>
        </w:tc>
        <w:tc>
          <w:tcPr>
            <w:tcW w:type="dxa" w:w="1200"/>
            <w:shd w:val="clear" w:fill="D9E2F3"/>
          </w:tcPr>
          <w:p>
            <w:r>
              <w:rPr>
                <w:b/>
                <w:sz w:val="18"/>
              </w:rPr>
              <w:t>Polycentric</w:t>
            </w:r>
          </w:p>
        </w:tc>
        <w:tc>
          <w:tcPr>
            <w:tcW w:type="dxa" w:w="1080"/>
            <w:shd w:val="clear" w:fill="D9E2F3"/>
          </w:tcPr>
          <w:p>
            <w:r>
              <w:rPr>
                <w:b/>
                <w:sz w:val="18"/>
              </w:rPr>
              <w:t>Knowledge</w:t>
            </w:r>
          </w:p>
        </w:tc>
        <w:tc>
          <w:tcPr>
            <w:tcW w:type="dxa" w:w="1920"/>
            <w:shd w:val="clear" w:fill="D9E2F3"/>
          </w:tcPr>
          <w:p>
            <w:r>
              <w:rPr>
                <w:b/>
                <w:sz w:val="18"/>
              </w:rPr>
              <w:t>Key evidence note</w:t>
            </w:r>
          </w:p>
        </w:tc>
        <w:trPr>
          <w:tblHeader/>
        </w:trPr>
      </w:tr>
      <w:tr>
        <w:tc>
          <w:tcPr>
            <w:tcW w:type="dxa" w:w="18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1920"/>
          </w:tcPr>
          <w:p>
            <w:r>
              <w:rPr>
                <w:sz w:val="18"/>
              </w:rPr>
              <w:t>Forum + Snapshot + on-chain vote; HHI 0.114; delegate concentration high</w:t>
            </w:r>
          </w:p>
        </w:tc>
      </w:tr>
      <w:tr>
        <w:tc>
          <w:tcPr>
            <w:tcW w:type="dxa" w:w="18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2</w:t>
            </w:r>
          </w:p>
        </w:tc>
        <w:tc>
          <w:tcPr>
            <w:tcW w:type="dxa" w:w="1080"/>
          </w:tcPr>
          <w:p>
            <w:r>
              <w:rPr>
                <w:sz w:val="18"/>
              </w:rPr>
              <w:t>2</w:t>
            </w:r>
          </w:p>
        </w:tc>
        <w:tc>
          <w:tcPr>
            <w:tcW w:type="dxa" w:w="1920"/>
          </w:tcPr>
          <w:p>
            <w:r>
              <w:rPr>
                <w:sz w:val="18"/>
              </w:rPr>
              <w:t>HIP process public; subDAO structure; HHI 0.102; HIP-147 reform</w:t>
            </w:r>
          </w:p>
        </w:tc>
      </w:tr>
      <w:tr>
        <w:tc>
          <w:tcPr>
            <w:tcW w:type="dxa" w:w="18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1920"/>
          </w:tcPr>
          <w:p>
            <w:r>
              <w:rPr>
                <w:sz w:val="18"/>
              </w:rPr>
              <w:t>Low HHI (0.040); early-stage governance; limited formal process</w:t>
            </w:r>
          </w:p>
        </w:tc>
      </w:tr>
    </w:tbl>
    <w:p>
      <w:r>
        <w:rPr>
          <w:i/>
          <w:sz w:val="18"/>
        </w:rPr>
        <w:t xml:space="preserve">Table 2. Illustrative rubric scores (0 = absent, 1 = minimal, 2 = partial, 3 = exemplary). Scores are by a single coder; full evidence sheets in Supplementary File S3.</w:t>
      </w:r>
    </w:p>
    <w:p>
      <w:pPr>
        <w:pStyle w:val="Heading2"/>
      </w:pPr>
      <w:r>
        <w:t>4.6 Outcome Variables</w:t>
      </w:r>
    </w:p>
    <w:p>
      <w:r>
        <w:rPr>
          <w:b w:val="0"/>
        </w:rPr>
        <w:t>The governance concentration analysis uses three primary metrics. We compute the Herfindahl-Hirschman Index (HHI) over the distribution of governance token holdings across unique addresses. HHI ranges from 0 (perfectly dispersed) to 1 (single holder); values above 0.25 indicate high concentration by antitrust standards </w:t>
      </w:r>
      <w:ins w:id="9023" w:author="Claude" w:date="2026-04-02T00:00:00Z">
        <w:r>
          <w:t>(for reference, a market with four equal competitors has HHI = 0.25)</w:t>
        </w:r>
      </w:ins>
      <w:r>
        <w:t xml:space="preserve">. The Gini coefficient measures inequality in the same distribution, ranging from 0 (perfect equality) to 1 (maximum inequality). Top-N concentration ratios (Top-1, Top-5, Top-10 share) complement HHI by identifying specific whale addresses.</w:t>
      </w:r>
    </w:p>
    <w:p>
      <w:r>
        <w:rPr>
          <w:b w:val="0"/>
        </w:rPr>
        <w:t>The Synergy Index aggregates the philosophical lens scores (Section 3) into a composite measure of institutional design quality. For each protocol, the Synergy Index is the mean of the five lens scores (Kantian publicity, Rawlsian fairness, republican non-domination, Ostromian polycentricity, Hayekian knowledge-use), each scored 0 to 3 per the rubric in Table 1.         </w:t>
      </w:r>
      <w:del w:id="9024" w:author="Claude" w:date="2026-04-02T00:00:00Z">
        <w:r>
          <w:delText>The Index is designed to correlate with governance quality but is not a causal claim: a high Synergy Index reflects that a protocol's institutional design aligns with multiple normative traditions, not that such alignment causes good outcomes.</w:delText>
        </w:r>
      </w:del>
      <w:ins w:id="9025" w:author="Claude" w:date="2026-04-02T00:00:00Z">
        <w:r>
          <w:t>A high Synergy Index indicates that a protocol’s institutional design aligns with multiple normative traditions; it measures design intent, not governance effectiveness.</w:t>
        </w:r>
      </w:ins>
      <w:r>
        <w:t xml:space="preserve"> Three additional normative dimensions discussed in the literature review (capabilities, contextual integrity, cosmopolitan inclusion) serve as future evaluation criteria but are not included in the Synergy Index due to incomplete and non-comparable measurement across protocols in the current sample.</w:t>
      </w:r>
    </w:p>
    <w:p>
      <w:r>
        <w:rPr>
          <w:b w:val="0"/>
        </w:rPr>
        <w:t>Full metric definitions, computation procedures, and Dune query specifications are provided in Supplementary File S1.</w:t>
      </w:r>
    </w:p>
    <w:p>
      <w:pPr>
        <w:pStyle w:val="Heading2"/>
      </w:pPr>
      <w:r>
        <w:t>4.7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5). The full quantitative pipeline, including panel regressions, event-study specifications, and robustness protocols, is documented in supplementary material (Supplementary File S5) for replication and extension by future researchers.</w:t>
      </w:r>
    </w:p>
    <w:p>
      <w:pPr>
        <w:pStyle w:val="Heading2"/>
      </w:pPr>
      <w:r>
        <w:t>4.8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discloses no financial positions in any protocol analyzed.</w:t>
      </w:r>
    </w:p>
    <w:p>
      <w:pPr>
        <w:pStyle w:val="Heading1"/>
      </w:pPr>
      <w:r>
        <w:t>5. Empirical Illustration: Governance Concentration</w:t>
      </w:r>
    </w:p>
    <w:p>
      <w:pPr>
        <w:pStyle w:val="Heading2"/>
      </w:pPr>
      <w:r>
        <w:t>5.1 Scope and Claims Boundary</w:t>
      </w:r>
    </w:p>
    <w:p>
      <w:r>
        <w:rPr>
          <w:b w:val="0"/>
        </w:rPr>
        <w:t>Claims boundary (Table 3): We execute one empirical analysis from the full pipeline specified in Section 4.7: a cross-sectional governance concentration comparison across 40 protocols.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Section 7.4.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Claim</w:t>
            </w:r>
          </w:p>
        </w:tc>
        <w:tc>
          <w:tcPr>
            <w:tcW w:type="dxa" w:w="2880"/>
          </w:tcPr>
          <w:p>
            <w:r>
              <w:rPr>
                <w:b/>
              </w:rPr>
              <w:t>Evidence Grade</w:t>
            </w:r>
          </w:p>
        </w:tc>
        <w:tc>
          <w:tcPr>
            <w:tcW w:type="dxa" w:w="2880"/>
          </w:tcPr>
          <w:p>
            <w:r>
              <w:rPr>
                <w:b/>
              </w:rPr>
              <w:t>Pointer</w:t>
            </w:r>
          </w:p>
        </w:tc>
      </w:tr>
      <w:tr>
        <w:tc>
          <w:tcPr>
            <w:tcW w:type="dxa" w:w="2880"/>
          </w:tcPr>
          <w:p>
            <w:r>
              <w:t>Governance concentration is descriptively higher in DePIN than DeFi</w:t>
            </w:r>
          </w:p>
        </w:tc>
        <w:tc>
          <w:tcPr>
            <w:tcW w:type="dxa" w:w="2880"/>
          </w:tcPr>
          <w:p>
            <w:r>
              <w:t>Descriptive</w:t>
            </w:r>
          </w:p>
        </w:tc>
        <w:tc>
          <w:tcPr>
            <w:tcW w:type="dxa" w:w="2880"/>
          </w:tcPr>
          <w:p>
            <w:r>
              <w:t>This paper, Table 4</w:t>
            </w:r>
          </w:p>
        </w:tc>
      </w:tr>
      <w:tr>
        <w:tc>
          <w:tcPr>
            <w:tcW w:type="dxa" w:w="2880"/>
          </w:tcPr>
          <w:p>
            <w:r>
              <w:t>The scoring rubric translates philosophy into measurement</w:t>
            </w:r>
          </w:p>
        </w:tc>
        <w:tc>
          <w:tcPr>
            <w:tcW w:type="dxa" w:w="2880"/>
          </w:tcPr>
          <w:p>
            <w:r>
              <w:t>Methodological</w:t>
            </w:r>
          </w:p>
        </w:tc>
        <w:tc>
          <w:tcPr>
            <w:tcW w:type="dxa" w:w="2880"/>
          </w:tcPr>
          <w:p>
            <w:r>
              <w:t>This paper, Table 1 + Supplementary File S1</w:t>
            </w:r>
          </w:p>
        </w:tc>
      </w:tr>
      <w:tr>
        <w:tc>
          <w:tcPr>
            <w:tcW w:type="dxa" w:w="2880"/>
          </w:tcPr>
          <w:p>
            <w:r>
              <w:t>Five core design hypotheses follow from the normative framework</w:t>
            </w:r>
          </w:p>
        </w:tc>
        <w:tc>
          <w:tcPr>
            <w:tcW w:type="dxa" w:w="2880"/>
          </w:tcPr>
          <w:p>
            <w:r>
              <w:t>Theoretical</w:t>
            </w:r>
          </w:p>
        </w:tc>
        <w:tc>
          <w:tcPr>
            <w:tcW w:type="dxa" w:w="2880"/>
          </w:tcPr>
          <w:p>
            <w:r>
              <w:t>This paper, Section 6.1</w:t>
            </w:r>
          </w:p>
        </w:tc>
      </w:tr>
    </w:tbl>
    <w:p>
      <w:r>
        <w:rPr>
          <w:b w:val="0"/>
          <w:i/>
        </w:rPr>
        <w:t>Table 3. Claims boundary: what this paper does and does not claim.</w:t>
      </w:r>
    </w:p>
    <w:p>
      <w:pPr>
        <w:pStyle w:val="Heading2"/>
      </w:pPr>
      <w:r>
        <w:t>5.2 Cross-Protocol Concentration</w:t>
      </w:r>
    </w:p>
    <w:p>
      <w:r>
        <w:rPr>
          <w:b w:val="0"/>
        </w:rPr>
        <w:t>Table 4 reports governance concentration for 40 protocols, computed from Dune Analytics multi-chain queries and Helius DAS API token holder distributions (March 2026 snapshot) Subsidy-to-Revenue ratios for DePIN protocols were computed from protocol-native burn and emission events using the compute_s2r.py script in the replication package; input files include helium_s2r_cleaned.csv (34 months), geodnet_monthly_burns.csv, and geodnet_monthly_emissions.csv.. We report address-holding concentration after excluding 69 protocol-controlled addresses across 20 protocols (see Section 5.1a). Solana-native tokens were collected via Helius getTokenAccounts with page-based pagination to correct systematic undercounting in Dune's indexed tables.</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8640"/>
        <w:tblLook w:firstColumn="1" w:firstRow="1" w:lastColumn="0" w:lastRow="0" w:noHBand="0" w:noVBand="1" w:val="04A0"/>
      </w:tblPr>
      <w:tblGrid>
        <w:gridCol w:w="1560"/>
        <w:gridCol w:w="1260"/>
        <w:gridCol w:w="1080"/>
        <w:gridCol w:w="900"/>
        <w:gridCol w:w="960"/>
        <w:gridCol w:w="960"/>
        <w:gridCol w:w="840"/>
        <w:gridCol w:w="1080"/>
      </w:tblGrid>
      <w:tr>
        <w:tc>
          <w:tcPr>
            <w:tcW w:type="dxa" w:w="1560"/>
          </w:tcPr>
          <w:p>
            <w:r>
              <w:t>Protocol</w:t>
            </w:r>
          </w:p>
        </w:tc>
        <w:tc>
          <w:tcPr>
            <w:tcW w:type="dxa" w:w="1260"/>
          </w:tcPr>
          <w:p>
            <w:r>
              <w:t>Token</w:t>
            </w:r>
          </w:p>
        </w:tc>
        <w:tc>
          <w:tcPr>
            <w:tcW w:type="dxa" w:w="1080"/>
          </w:tcPr>
          <w:p>
            <w:r>
              <w:t>Category</w:t>
            </w:r>
          </w:p>
        </w:tc>
        <w:tc>
          <w:tcPr>
            <w:tcW w:type="dxa" w:w="900"/>
          </w:tcPr>
          <w:p>
            <w:r>
              <w:t>HHI</w:t>
            </w:r>
          </w:p>
        </w:tc>
        <w:tc>
          <w:tcPr>
            <w:tcW w:type="dxa" w:w="960"/>
          </w:tcPr>
          <w:p>
            <w:r>
              <w:t>Gini</w:t>
            </w:r>
          </w:p>
        </w:tc>
        <w:tc>
          <w:tcPr>
            <w:tcW w:type="dxa" w:w="960"/>
          </w:tcPr>
          <w:p>
            <w:r>
              <w:t>Top-1%</w:t>
            </w:r>
          </w:p>
        </w:tc>
        <w:tc>
          <w:tcPr>
            <w:tcW w:type="dxa" w:w="840"/>
          </w:tcPr>
          <w:p>
            <w:r>
              <w:t>Top-10%</w:t>
            </w:r>
          </w:p>
        </w:tc>
        <w:tc>
          <w:tcPr>
            <w:tcW w:type="dxa" w:w="1080"/>
          </w:tcPr>
          <w:p>
            <w:r>
              <w:t>N</w:t>
            </w:r>
          </w:p>
        </w:tc>
        <w:trPr>
          <w:tblHeader/>
        </w:trPr>
      </w:tr>
      <w:tr>
        <w:tc>
          <w:tcPr>
            <w:tcW w:type="dxa" w:w="1560"/>
          </w:tcPr>
          <w:p>
            <w:r>
              <w:rPr>
                <w:sz w:val="16"/>
              </w:rPr>
              <w:t>Morpheus AI</w:t>
            </w:r>
          </w:p>
        </w:tc>
        <w:tc>
          <w:tcPr>
            <w:tcW w:type="dxa" w:w="1260"/>
          </w:tcPr>
          <w:p>
            <w:r>
              <w:rPr>
                <w:sz w:val="16"/>
              </w:rPr>
              <w:t>MOR</w:t>
            </w:r>
          </w:p>
        </w:tc>
        <w:tc>
          <w:tcPr>
            <w:tcW w:type="dxa" w:w="1080"/>
          </w:tcPr>
          <w:p>
            <w:r>
              <w:rPr>
                <w:sz w:val="16"/>
              </w:rPr>
              <w:t>DePIN</w:t>
            </w:r>
          </w:p>
        </w:tc>
        <w:tc>
          <w:tcPr>
            <w:tcW w:type="dxa" w:w="900"/>
          </w:tcPr>
          <w:p>
            <w:r>
              <w:rPr>
                <w:sz w:val="16"/>
              </w:rPr>
              <w:t>0.0133</w:t>
            </w:r>
          </w:p>
        </w:tc>
        <w:tc>
          <w:tcPr>
            <w:tcW w:type="dxa" w:w="960"/>
          </w:tcPr>
          <w:p>
            <w:r>
              <w:rPr>
                <w:sz w:val="16"/>
              </w:rPr>
              <w:t>0.67</w:t>
            </w:r>
          </w:p>
        </w:tc>
        <w:tc>
          <w:tcPr>
            <w:tcW w:type="dxa" w:w="960"/>
          </w:tcPr>
          <w:p>
            <w:r>
              <w:rPr>
                <w:sz w:val="16"/>
              </w:rPr>
              <w:t>7.3%</w:t>
            </w:r>
          </w:p>
        </w:tc>
        <w:tc>
          <w:tcPr>
            <w:tcW w:type="dxa" w:w="840"/>
          </w:tcPr>
          <w:p>
            <w:r>
              <w:rPr>
                <w:sz w:val="16"/>
              </w:rPr>
              <w:t>29.3%</w:t>
            </w:r>
          </w:p>
        </w:tc>
        <w:tc>
          <w:tcPr>
            <w:tcW w:type="dxa" w:w="1080"/>
          </w:tcPr>
          <w:p>
            <w:r>
              <w:rPr>
                <w:sz w:val="16"/>
              </w:rPr>
              <w:t>96</w:t>
            </w:r>
          </w:p>
        </w:tc>
      </w:tr>
      <w:tr>
        <w:tc>
          <w:tcPr>
            <w:tcW w:type="dxa" w:w="1560"/>
          </w:tcPr>
          <w:p>
            <w:r>
              <w:rPr>
                <w:sz w:val="16"/>
              </w:rPr>
              <w:t>Render</w:t>
            </w:r>
          </w:p>
        </w:tc>
        <w:tc>
          <w:tcPr>
            <w:tcW w:type="dxa" w:w="1260"/>
          </w:tcPr>
          <w:p>
            <w:r>
              <w:rPr>
                <w:sz w:val="16"/>
              </w:rPr>
              <w:t>RENDER</w:t>
            </w:r>
          </w:p>
        </w:tc>
        <w:tc>
          <w:tcPr>
            <w:tcW w:type="dxa" w:w="1080"/>
          </w:tcPr>
          <w:p>
            <w:r>
              <w:rPr>
                <w:sz w:val="16"/>
              </w:rPr>
              <w:t>DePIN</w:t>
            </w:r>
          </w:p>
        </w:tc>
        <w:tc>
          <w:tcPr>
            <w:tcW w:type="dxa" w:w="900"/>
          </w:tcPr>
          <w:p>
            <w:r>
              <w:rPr>
                <w:sz w:val="16"/>
              </w:rPr>
              <w:t>0.0323</w:t>
            </w:r>
          </w:p>
        </w:tc>
        <w:tc>
          <w:tcPr>
            <w:tcW w:type="dxa" w:w="960"/>
          </w:tcPr>
          <w:p>
            <w:r>
              <w:rPr>
                <w:sz w:val="16"/>
              </w:rPr>
              <w:t>0.89</w:t>
            </w:r>
          </w:p>
        </w:tc>
        <w:tc>
          <w:tcPr>
            <w:tcW w:type="dxa" w:w="960"/>
          </w:tcPr>
          <w:p>
            <w:r>
              <w:rPr>
                <w:sz w:val="16"/>
              </w:rPr>
              <w:t>10.4%</w:t>
            </w:r>
          </w:p>
        </w:tc>
        <w:tc>
          <w:tcPr>
            <w:tcW w:type="dxa" w:w="840"/>
          </w:tcPr>
          <w:p>
            <w:r>
              <w:rPr>
                <w:sz w:val="16"/>
              </w:rPr>
              <w:t>47.0%</w:t>
            </w:r>
          </w:p>
        </w:tc>
        <w:tc>
          <w:tcPr>
            <w:tcW w:type="dxa" w:w="1080"/>
          </w:tcPr>
          <w:p>
            <w:r>
              <w:rPr>
                <w:sz w:val="16"/>
              </w:rPr>
              <w:t>1000</w:t>
            </w:r>
          </w:p>
        </w:tc>
      </w:tr>
      <w:tr>
        <w:tc>
          <w:tcPr>
            <w:tcW w:type="dxa" w:w="1560"/>
          </w:tcPr>
          <w:p>
            <w:r>
              <w:rPr>
                <w:sz w:val="16"/>
              </w:rPr>
              <w:t>Grass</w:t>
            </w:r>
          </w:p>
        </w:tc>
        <w:tc>
          <w:tcPr>
            <w:tcW w:type="dxa" w:w="1260"/>
          </w:tcPr>
          <w:p>
            <w:r>
              <w:rPr>
                <w:sz w:val="16"/>
              </w:rPr>
              <w:t>GRASS</w:t>
            </w:r>
          </w:p>
        </w:tc>
        <w:tc>
          <w:tcPr>
            <w:tcW w:type="dxa" w:w="1080"/>
          </w:tcPr>
          <w:p>
            <w:r>
              <w:rPr>
                <w:sz w:val="16"/>
              </w:rPr>
              <w:t>DePIN</w:t>
            </w:r>
          </w:p>
        </w:tc>
        <w:tc>
          <w:tcPr>
            <w:tcW w:type="dxa" w:w="900"/>
          </w:tcPr>
          <w:p>
            <w:r>
              <w:rPr>
                <w:sz w:val="16"/>
              </w:rPr>
              <w:t>0.0352</w:t>
            </w:r>
          </w:p>
        </w:tc>
        <w:tc>
          <w:tcPr>
            <w:tcW w:type="dxa" w:w="960"/>
          </w:tcPr>
          <w:p>
            <w:r>
              <w:rPr>
                <w:sz w:val="16"/>
              </w:rPr>
              <w:t>0.76</w:t>
            </w:r>
          </w:p>
        </w:tc>
        <w:tc>
          <w:tcPr>
            <w:tcW w:type="dxa" w:w="960"/>
          </w:tcPr>
          <w:p>
            <w:r>
              <w:rPr>
                <w:sz w:val="16"/>
              </w:rPr>
              <w:t>16.0%</w:t>
            </w:r>
          </w:p>
        </w:tc>
        <w:tc>
          <w:tcPr>
            <w:tcW w:type="dxa" w:w="840"/>
          </w:tcPr>
          <w:p>
            <w:r>
              <w:rPr>
                <w:sz w:val="16"/>
              </w:rPr>
              <w:t>38.2%</w:t>
            </w:r>
          </w:p>
        </w:tc>
        <w:tc>
          <w:tcPr>
            <w:tcW w:type="dxa" w:w="1080"/>
          </w:tcPr>
          <w:p>
            <w:r>
              <w:rPr>
                <w:sz w:val="16"/>
              </w:rPr>
              <w:t>1000</w:t>
            </w:r>
          </w:p>
        </w:tc>
      </w:tr>
      <w:tr>
        <w:tc>
          <w:tcPr>
            <w:tcW w:type="dxa" w:w="1560"/>
          </w:tcPr>
          <w:p>
            <w:r>
              <w:rPr>
                <w:sz w:val="16"/>
              </w:rPr>
              <w:t>DIMO</w:t>
            </w:r>
          </w:p>
        </w:tc>
        <w:tc>
          <w:tcPr>
            <w:tcW w:type="dxa" w:w="1260"/>
          </w:tcPr>
          <w:p>
            <w:r>
              <w:rPr>
                <w:sz w:val="16"/>
              </w:rPr>
              <w:t>DIMO</w:t>
            </w:r>
          </w:p>
        </w:tc>
        <w:tc>
          <w:tcPr>
            <w:tcW w:type="dxa" w:w="1080"/>
          </w:tcPr>
          <w:p>
            <w:r>
              <w:rPr>
                <w:sz w:val="16"/>
              </w:rPr>
              <w:t>DePIN</w:t>
            </w:r>
          </w:p>
        </w:tc>
        <w:tc>
          <w:tcPr>
            <w:tcW w:type="dxa" w:w="900"/>
          </w:tcPr>
          <w:p>
            <w:r>
              <w:rPr>
                <w:sz w:val="16"/>
              </w:rPr>
              <w:t>0.0379</w:t>
            </w:r>
          </w:p>
        </w:tc>
        <w:tc>
          <w:tcPr>
            <w:tcW w:type="dxa" w:w="960"/>
          </w:tcPr>
          <w:p>
            <w:r>
              <w:rPr>
                <w:sz w:val="16"/>
              </w:rPr>
              <w:t>0.87</w:t>
            </w:r>
          </w:p>
        </w:tc>
        <w:tc>
          <w:tcPr>
            <w:tcW w:type="dxa" w:w="960"/>
          </w:tcPr>
          <w:p>
            <w:r>
              <w:rPr>
                <w:sz w:val="16"/>
              </w:rPr>
              <w:t>13.9%</w:t>
            </w:r>
          </w:p>
        </w:tc>
        <w:tc>
          <w:tcPr>
            <w:tcW w:type="dxa" w:w="840"/>
          </w:tcPr>
          <w:p>
            <w:r>
              <w:rPr>
                <w:sz w:val="16"/>
              </w:rPr>
              <w:t>45.0%</w:t>
            </w:r>
          </w:p>
        </w:tc>
        <w:tc>
          <w:tcPr>
            <w:tcW w:type="dxa" w:w="1080"/>
          </w:tcPr>
          <w:p>
            <w:r>
              <w:rPr>
                <w:sz w:val="16"/>
              </w:rPr>
              <w:t>999</w:t>
            </w:r>
          </w:p>
        </w:tc>
      </w:tr>
      <w:tr>
        <w:tc>
          <w:tcPr>
            <w:tcW w:type="dxa" w:w="1560"/>
          </w:tcPr>
          <w:p>
            <w:r>
              <w:rPr>
                <w:sz w:val="16"/>
              </w:rPr>
              <w:t>Anyone Protocol</w:t>
            </w:r>
          </w:p>
        </w:tc>
        <w:tc>
          <w:tcPr>
            <w:tcW w:type="dxa" w:w="1260"/>
          </w:tcPr>
          <w:p>
            <w:r>
              <w:rPr>
                <w:sz w:val="16"/>
              </w:rPr>
              <w:t>ANYONE</w:t>
            </w:r>
          </w:p>
        </w:tc>
        <w:tc>
          <w:tcPr>
            <w:tcW w:type="dxa" w:w="1080"/>
          </w:tcPr>
          <w:p>
            <w:r>
              <w:rPr>
                <w:sz w:val="16"/>
              </w:rPr>
              <w:t>DePIN</w:t>
            </w:r>
          </w:p>
        </w:tc>
        <w:tc>
          <w:tcPr>
            <w:tcW w:type="dxa" w:w="900"/>
          </w:tcPr>
          <w:p>
            <w:r>
              <w:rPr>
                <w:sz w:val="16"/>
              </w:rPr>
              <w:t>0.0404</w:t>
            </w:r>
          </w:p>
        </w:tc>
        <w:tc>
          <w:tcPr>
            <w:tcW w:type="dxa" w:w="960"/>
          </w:tcPr>
          <w:p>
            <w:r>
              <w:rPr>
                <w:sz w:val="16"/>
              </w:rPr>
              <w:t>0.79</w:t>
            </w:r>
          </w:p>
        </w:tc>
        <w:tc>
          <w:tcPr>
            <w:tcW w:type="dxa" w:w="960"/>
          </w:tcPr>
          <w:p>
            <w:r>
              <w:rPr>
                <w:sz w:val="16"/>
              </w:rPr>
              <w:t>13.3%</w:t>
            </w:r>
          </w:p>
        </w:tc>
        <w:tc>
          <w:tcPr>
            <w:tcW w:type="dxa" w:w="840"/>
          </w:tcPr>
          <w:p>
            <w:r>
              <w:rPr>
                <w:sz w:val="16"/>
              </w:rPr>
              <w:t>47.5%</w:t>
            </w:r>
          </w:p>
        </w:tc>
        <w:tc>
          <w:tcPr>
            <w:tcW w:type="dxa" w:w="1080"/>
          </w:tcPr>
          <w:p>
            <w:r>
              <w:rPr>
                <w:sz w:val="16"/>
              </w:rPr>
              <w:t>1000</w:t>
            </w:r>
          </w:p>
        </w:tc>
      </w:tr>
      <w:tr>
        <w:tc>
          <w:tcPr>
            <w:tcW w:type="dxa" w:w="1560"/>
          </w:tcPr>
          <w:p>
            <w:r>
              <w:rPr>
                <w:sz w:val="16"/>
              </w:rPr>
              <w:t>Filecoin</w:t>
            </w:r>
          </w:p>
        </w:tc>
        <w:tc>
          <w:tcPr>
            <w:tcW w:type="dxa" w:w="1260"/>
          </w:tcPr>
          <w:p>
            <w:r>
              <w:rPr>
                <w:sz w:val="16"/>
              </w:rPr>
              <w:t>FIL</w:t>
            </w:r>
          </w:p>
        </w:tc>
        <w:tc>
          <w:tcPr>
            <w:tcW w:type="dxa" w:w="1080"/>
          </w:tcPr>
          <w:p>
            <w:r>
              <w:rPr>
                <w:sz w:val="16"/>
              </w:rPr>
              <w:t>DePIN</w:t>
            </w:r>
          </w:p>
        </w:tc>
        <w:tc>
          <w:tcPr>
            <w:tcW w:type="dxa" w:w="900"/>
          </w:tcPr>
          <w:p>
            <w:r>
              <w:rPr>
                <w:sz w:val="16"/>
              </w:rPr>
              <w:t>0.0473</w:t>
            </w:r>
          </w:p>
        </w:tc>
        <w:tc>
          <w:tcPr>
            <w:tcW w:type="dxa" w:w="960"/>
          </w:tcPr>
          <w:p>
            <w:r>
              <w:rPr>
                <w:sz w:val="16"/>
              </w:rPr>
              <w:t>0.79</w:t>
            </w:r>
          </w:p>
        </w:tc>
        <w:tc>
          <w:tcPr>
            <w:tcW w:type="dxa" w:w="960"/>
          </w:tcPr>
          <w:p>
            <w:r>
              <w:rPr>
                <w:sz w:val="16"/>
              </w:rPr>
              <w:t>18.0%</w:t>
            </w:r>
          </w:p>
        </w:tc>
        <w:tc>
          <w:tcPr>
            <w:tcW w:type="dxa" w:w="840"/>
          </w:tcPr>
          <w:p>
            <w:r>
              <w:rPr>
                <w:sz w:val="16"/>
              </w:rPr>
              <w:t>45.6%</w:t>
            </w:r>
          </w:p>
        </w:tc>
        <w:tc>
          <w:tcPr>
            <w:tcW w:type="dxa" w:w="1080"/>
          </w:tcPr>
          <w:p>
            <w:r>
              <w:rPr>
                <w:sz w:val="16"/>
              </w:rPr>
              <w:t>1000</w:t>
            </w:r>
          </w:p>
        </w:tc>
      </w:tr>
      <w:tr>
        <w:tc>
          <w:tcPr>
            <w:tcW w:type="dxa" w:w="1560"/>
          </w:tcPr>
          <w:p>
            <w:r>
              <w:rPr>
                <w:sz w:val="16"/>
              </w:rPr>
              <w:t>Helium</w:t>
            </w:r>
          </w:p>
        </w:tc>
        <w:tc>
          <w:tcPr>
            <w:tcW w:type="dxa" w:w="1260"/>
          </w:tcPr>
          <w:p>
            <w:r>
              <w:rPr>
                <w:sz w:val="16"/>
              </w:rPr>
              <w:t>HNT</w:t>
            </w:r>
          </w:p>
        </w:tc>
        <w:tc>
          <w:tcPr>
            <w:tcW w:type="dxa" w:w="1080"/>
          </w:tcPr>
          <w:p>
            <w:r>
              <w:rPr>
                <w:sz w:val="16"/>
              </w:rPr>
              <w:t>DePIN</w:t>
            </w:r>
          </w:p>
        </w:tc>
        <w:tc>
          <w:tcPr>
            <w:tcW w:type="dxa" w:w="900"/>
          </w:tcPr>
          <w:p>
            <w:r>
              <w:rPr>
                <w:sz w:val="16"/>
              </w:rPr>
              <w:t>0.1024</w:t>
            </w:r>
          </w:p>
        </w:tc>
        <w:tc>
          <w:tcPr>
            <w:tcW w:type="dxa" w:w="960"/>
          </w:tcPr>
          <w:p>
            <w:r>
              <w:rPr>
                <w:sz w:val="16"/>
              </w:rPr>
              <w:t>0.98</w:t>
            </w:r>
          </w:p>
        </w:tc>
        <w:tc>
          <w:tcPr>
            <w:tcW w:type="dxa" w:w="960"/>
          </w:tcPr>
          <w:p>
            <w:r>
              <w:rPr>
                <w:sz w:val="16"/>
              </w:rPr>
              <w:t>24.5%</w:t>
            </w:r>
          </w:p>
        </w:tc>
        <w:tc>
          <w:tcPr>
            <w:tcW w:type="dxa" w:w="840"/>
          </w:tcPr>
          <w:p>
            <w:r>
              <w:rPr>
                <w:sz w:val="16"/>
              </w:rPr>
              <w:t>79.4%</w:t>
            </w:r>
          </w:p>
        </w:tc>
        <w:tc>
          <w:tcPr>
            <w:tcW w:type="dxa" w:w="1080"/>
          </w:tcPr>
          <w:p>
            <w:r>
              <w:rPr>
                <w:sz w:val="16"/>
              </w:rPr>
              <w:t>1000</w:t>
            </w:r>
          </w:p>
        </w:tc>
      </w:tr>
      <w:tr>
        <w:tc>
          <w:tcPr>
            <w:tcW w:type="dxa" w:w="1560"/>
          </w:tcPr>
          <w:p>
            <w:r>
              <w:rPr>
                <w:sz w:val="16"/>
              </w:rPr>
              <w:t>IoTeX</w:t>
            </w:r>
          </w:p>
        </w:tc>
        <w:tc>
          <w:tcPr>
            <w:tcW w:type="dxa" w:w="1260"/>
          </w:tcPr>
          <w:p>
            <w:r>
              <w:rPr>
                <w:sz w:val="16"/>
              </w:rPr>
              <w:t>IOTX</w:t>
            </w:r>
          </w:p>
        </w:tc>
        <w:tc>
          <w:tcPr>
            <w:tcW w:type="dxa" w:w="1080"/>
          </w:tcPr>
          <w:p>
            <w:r>
              <w:rPr>
                <w:sz w:val="16"/>
              </w:rPr>
              <w:t>DePIN</w:t>
            </w:r>
          </w:p>
        </w:tc>
        <w:tc>
          <w:tcPr>
            <w:tcW w:type="dxa" w:w="900"/>
          </w:tcPr>
          <w:p>
            <w:r>
              <w:rPr>
                <w:sz w:val="16"/>
              </w:rPr>
              <w:t>0.1065</w:t>
            </w:r>
          </w:p>
        </w:tc>
        <w:tc>
          <w:tcPr>
            <w:tcW w:type="dxa" w:w="960"/>
          </w:tcPr>
          <w:p>
            <w:r>
              <w:rPr>
                <w:sz w:val="16"/>
              </w:rPr>
              <w:t>0.99</w:t>
            </w:r>
          </w:p>
        </w:tc>
        <w:tc>
          <w:tcPr>
            <w:tcW w:type="dxa" w:w="960"/>
          </w:tcPr>
          <w:p>
            <w:r>
              <w:rPr>
                <w:sz w:val="16"/>
              </w:rPr>
              <w:t>19.8%</w:t>
            </w:r>
          </w:p>
        </w:tc>
        <w:tc>
          <w:tcPr>
            <w:tcW w:type="dxa" w:w="840"/>
          </w:tcPr>
          <w:p>
            <w:r>
              <w:rPr>
                <w:sz w:val="16"/>
              </w:rPr>
              <w:t>90.6%</w:t>
            </w:r>
          </w:p>
        </w:tc>
        <w:tc>
          <w:tcPr>
            <w:tcW w:type="dxa" w:w="1080"/>
          </w:tcPr>
          <w:p>
            <w:r>
              <w:rPr>
                <w:sz w:val="16"/>
              </w:rPr>
              <w:t>1000</w:t>
            </w:r>
          </w:p>
        </w:tc>
      </w:tr>
      <w:tr>
        <w:tc>
          <w:tcPr>
            <w:tcW w:type="dxa" w:w="1560"/>
          </w:tcPr>
          <w:p>
            <w:r>
              <w:rPr>
                <w:sz w:val="16"/>
              </w:rPr>
              <w:t>GEODNET</w:t>
            </w:r>
          </w:p>
        </w:tc>
        <w:tc>
          <w:tcPr>
            <w:tcW w:type="dxa" w:w="1260"/>
          </w:tcPr>
          <w:p>
            <w:r>
              <w:rPr>
                <w:sz w:val="16"/>
              </w:rPr>
              <w:t>GEOD</w:t>
            </w:r>
          </w:p>
        </w:tc>
        <w:tc>
          <w:tcPr>
            <w:tcW w:type="dxa" w:w="1080"/>
          </w:tcPr>
          <w:p>
            <w:r>
              <w:rPr>
                <w:sz w:val="16"/>
              </w:rPr>
              <w:t>DePIN</w:t>
            </w:r>
          </w:p>
        </w:tc>
        <w:tc>
          <w:tcPr>
            <w:tcW w:type="dxa" w:w="900"/>
          </w:tcPr>
          <w:p>
            <w:r>
              <w:rPr>
                <w:sz w:val="16"/>
              </w:rPr>
              <w:t>0.1325</w:t>
            </w:r>
          </w:p>
        </w:tc>
        <w:tc>
          <w:tcPr>
            <w:tcW w:type="dxa" w:w="960"/>
          </w:tcPr>
          <w:p>
            <w:r>
              <w:rPr>
                <w:sz w:val="16"/>
              </w:rPr>
              <w:t>0.96</w:t>
            </w:r>
          </w:p>
        </w:tc>
        <w:tc>
          <w:tcPr>
            <w:tcW w:type="dxa" w:w="960"/>
          </w:tcPr>
          <w:p>
            <w:r>
              <w:rPr>
                <w:sz w:val="16"/>
              </w:rPr>
              <w:t>24.9%</w:t>
            </w:r>
          </w:p>
        </w:tc>
        <w:tc>
          <w:tcPr>
            <w:tcW w:type="dxa" w:w="840"/>
          </w:tcPr>
          <w:p>
            <w:r>
              <w:rPr>
                <w:sz w:val="16"/>
              </w:rPr>
              <w:t>81.8%</w:t>
            </w:r>
          </w:p>
        </w:tc>
        <w:tc>
          <w:tcPr>
            <w:tcW w:type="dxa" w:w="1080"/>
          </w:tcPr>
          <w:p>
            <w:r>
              <w:rPr>
                <w:sz w:val="16"/>
              </w:rPr>
              <w:t>1000</w:t>
            </w:r>
          </w:p>
        </w:tc>
      </w:tr>
      <w:tr>
        <w:tc>
          <w:tcPr>
            <w:tcW w:type="dxa" w:w="1560"/>
          </w:tcPr>
          <w:p>
            <w:r>
              <w:rPr>
                <w:sz w:val="16"/>
              </w:rPr>
              <w:t>WeatherXM</w:t>
            </w:r>
          </w:p>
        </w:tc>
        <w:tc>
          <w:tcPr>
            <w:tcW w:type="dxa" w:w="1260"/>
          </w:tcPr>
          <w:p>
            <w:r>
              <w:rPr>
                <w:sz w:val="16"/>
              </w:rPr>
              <w:t>WXM</w:t>
            </w:r>
          </w:p>
        </w:tc>
        <w:tc>
          <w:tcPr>
            <w:tcW w:type="dxa" w:w="1080"/>
          </w:tcPr>
          <w:p>
            <w:r>
              <w:rPr>
                <w:sz w:val="16"/>
              </w:rPr>
              <w:t>DePIN</w:t>
            </w:r>
          </w:p>
        </w:tc>
        <w:tc>
          <w:tcPr>
            <w:tcW w:type="dxa" w:w="900"/>
          </w:tcPr>
          <w:p>
            <w:r>
              <w:rPr>
                <w:sz w:val="16"/>
              </w:rPr>
              <w:t>0.1479</w:t>
            </w:r>
          </w:p>
        </w:tc>
        <w:tc>
          <w:tcPr>
            <w:tcW w:type="dxa" w:w="960"/>
          </w:tcPr>
          <w:p>
            <w:r>
              <w:rPr>
                <w:sz w:val="16"/>
              </w:rPr>
              <w:t>0.89</w:t>
            </w:r>
          </w:p>
        </w:tc>
        <w:tc>
          <w:tcPr>
            <w:tcW w:type="dxa" w:w="960"/>
          </w:tcPr>
          <w:p>
            <w:r>
              <w:rPr>
                <w:sz w:val="16"/>
              </w:rPr>
              <w:t>35.0%</w:t>
            </w:r>
          </w:p>
        </w:tc>
        <w:tc>
          <w:tcPr>
            <w:tcW w:type="dxa" w:w="840"/>
          </w:tcPr>
          <w:p>
            <w:r>
              <w:rPr>
                <w:sz w:val="16"/>
              </w:rPr>
              <w:t>77.9%</w:t>
            </w:r>
          </w:p>
        </w:tc>
        <w:tc>
          <w:tcPr>
            <w:tcW w:type="dxa" w:w="1080"/>
          </w:tcPr>
          <w:p>
            <w:r>
              <w:rPr>
                <w:sz w:val="16"/>
              </w:rPr>
              <w:t>999</w:t>
            </w:r>
          </w:p>
        </w:tc>
      </w:tr>
      <w:tr>
        <w:tc>
          <w:tcPr>
            <w:tcW w:type="dxa" w:w="1560"/>
          </w:tcPr>
          <w:p>
            <w:r>
              <w:rPr>
                <w:sz w:val="16"/>
              </w:rPr>
              <w:t>Pokt Network</w:t>
            </w:r>
          </w:p>
        </w:tc>
        <w:tc>
          <w:tcPr>
            <w:tcW w:type="dxa" w:w="1260"/>
          </w:tcPr>
          <w:p>
            <w:r>
              <w:rPr>
                <w:sz w:val="16"/>
              </w:rPr>
              <w:t>POKT</w:t>
            </w:r>
          </w:p>
        </w:tc>
        <w:tc>
          <w:tcPr>
            <w:tcW w:type="dxa" w:w="1080"/>
          </w:tcPr>
          <w:p>
            <w:r>
              <w:rPr>
                <w:sz w:val="16"/>
              </w:rPr>
              <w:t>DePIN</w:t>
            </w:r>
          </w:p>
        </w:tc>
        <w:tc>
          <w:tcPr>
            <w:tcW w:type="dxa" w:w="900"/>
          </w:tcPr>
          <w:p>
            <w:r>
              <w:rPr>
                <w:sz w:val="16"/>
              </w:rPr>
              <w:t>0.1592</w:t>
            </w:r>
          </w:p>
        </w:tc>
        <w:tc>
          <w:tcPr>
            <w:tcW w:type="dxa" w:w="960"/>
          </w:tcPr>
          <w:p>
            <w:r>
              <w:rPr>
                <w:sz w:val="16"/>
              </w:rPr>
              <w:t>0.96</w:t>
            </w:r>
          </w:p>
        </w:tc>
        <w:tc>
          <w:tcPr>
            <w:tcW w:type="dxa" w:w="960"/>
          </w:tcPr>
          <w:p>
            <w:r>
              <w:rPr>
                <w:sz w:val="16"/>
              </w:rPr>
              <w:t>34.8%</w:t>
            </w:r>
          </w:p>
        </w:tc>
        <w:tc>
          <w:tcPr>
            <w:tcW w:type="dxa" w:w="840"/>
          </w:tcPr>
          <w:p>
            <w:r>
              <w:rPr>
                <w:sz w:val="16"/>
              </w:rPr>
              <w:t>77.2%</w:t>
            </w:r>
          </w:p>
        </w:tc>
        <w:tc>
          <w:tcPr>
            <w:tcW w:type="dxa" w:w="1080"/>
          </w:tcPr>
          <w:p>
            <w:r>
              <w:rPr>
                <w:sz w:val="16"/>
              </w:rPr>
              <w:t>1000</w:t>
            </w:r>
          </w:p>
        </w:tc>
      </w:tr>
      <w:tr>
        <w:tc>
          <w:tcPr>
            <w:tcW w:type="dxa" w:w="1560"/>
          </w:tcPr>
          <w:p>
            <w:r>
              <w:rPr>
                <w:sz w:val="16"/>
              </w:rPr>
              <w:t>Livepeer</w:t>
            </w:r>
          </w:p>
        </w:tc>
        <w:tc>
          <w:tcPr>
            <w:tcW w:type="dxa" w:w="1260"/>
          </w:tcPr>
          <w:p>
            <w:r>
              <w:rPr>
                <w:sz w:val="16"/>
              </w:rPr>
              <w:t>LPT</w:t>
            </w:r>
          </w:p>
        </w:tc>
        <w:tc>
          <w:tcPr>
            <w:tcW w:type="dxa" w:w="1080"/>
          </w:tcPr>
          <w:p>
            <w:r>
              <w:rPr>
                <w:sz w:val="16"/>
              </w:rPr>
              <w:t>DePIN</w:t>
            </w:r>
          </w:p>
        </w:tc>
        <w:tc>
          <w:tcPr>
            <w:tcW w:type="dxa" w:w="900"/>
          </w:tcPr>
          <w:p>
            <w:r>
              <w:rPr>
                <w:sz w:val="16"/>
              </w:rPr>
              <w:t>0.1989</w:t>
            </w:r>
          </w:p>
        </w:tc>
        <w:tc>
          <w:tcPr>
            <w:tcW w:type="dxa" w:w="960"/>
          </w:tcPr>
          <w:p>
            <w:r>
              <w:rPr>
                <w:sz w:val="16"/>
              </w:rPr>
              <w:t>0.94</w:t>
            </w:r>
          </w:p>
        </w:tc>
        <w:tc>
          <w:tcPr>
            <w:tcW w:type="dxa" w:w="960"/>
          </w:tcPr>
          <w:p>
            <w:r>
              <w:rPr>
                <w:sz w:val="16"/>
              </w:rPr>
              <w:t>42.9%</w:t>
            </w:r>
          </w:p>
        </w:tc>
        <w:tc>
          <w:tcPr>
            <w:tcW w:type="dxa" w:w="840"/>
          </w:tcPr>
          <w:p>
            <w:r>
              <w:rPr>
                <w:sz w:val="16"/>
              </w:rPr>
              <w:t>73.7%</w:t>
            </w:r>
          </w:p>
        </w:tc>
        <w:tc>
          <w:tcPr>
            <w:tcW w:type="dxa" w:w="1080"/>
          </w:tcPr>
          <w:p>
            <w:r>
              <w:rPr>
                <w:sz w:val="16"/>
              </w:rPr>
              <w:t>998</w:t>
            </w:r>
          </w:p>
        </w:tc>
      </w:tr>
      <w:tr>
        <w:tc>
          <w:tcPr>
            <w:tcW w:type="dxa" w:w="1560"/>
          </w:tcPr>
          <w:p>
            <w:r>
              <w:rPr>
                <w:sz w:val="16"/>
              </w:rPr>
              <w:t>Lido</w:t>
            </w:r>
          </w:p>
        </w:tc>
        <w:tc>
          <w:tcPr>
            <w:tcW w:type="dxa" w:w="1260"/>
          </w:tcPr>
          <w:p>
            <w:r>
              <w:rPr>
                <w:sz w:val="16"/>
              </w:rPr>
              <w:t>LDO</w:t>
            </w:r>
          </w:p>
        </w:tc>
        <w:tc>
          <w:tcPr>
            <w:tcW w:type="dxa" w:w="1080"/>
          </w:tcPr>
          <w:p>
            <w:r>
              <w:rPr>
                <w:sz w:val="16"/>
              </w:rPr>
              <w:t>DeFi</w:t>
            </w:r>
          </w:p>
        </w:tc>
        <w:tc>
          <w:tcPr>
            <w:tcW w:type="dxa" w:w="900"/>
          </w:tcPr>
          <w:p>
            <w:r>
              <w:rPr>
                <w:sz w:val="16"/>
              </w:rPr>
              <w:t>0.0185</w:t>
            </w:r>
          </w:p>
        </w:tc>
        <w:tc>
          <w:tcPr>
            <w:tcW w:type="dxa" w:w="960"/>
          </w:tcPr>
          <w:p>
            <w:r>
              <w:rPr>
                <w:sz w:val="16"/>
              </w:rPr>
              <w:t>0.52</w:t>
            </w:r>
          </w:p>
        </w:tc>
        <w:tc>
          <w:tcPr>
            <w:tcW w:type="dxa" w:w="960"/>
          </w:tcPr>
          <w:p>
            <w:r>
              <w:rPr>
                <w:sz w:val="16"/>
              </w:rPr>
              <w:t>9.9%</w:t>
            </w:r>
          </w:p>
        </w:tc>
        <w:tc>
          <w:tcPr>
            <w:tcW w:type="dxa" w:w="840"/>
          </w:tcPr>
          <w:p>
            <w:r>
              <w:rPr>
                <w:sz w:val="16"/>
              </w:rPr>
              <w:t>27.7%</w:t>
            </w:r>
          </w:p>
        </w:tc>
        <w:tc>
          <w:tcPr>
            <w:tcW w:type="dxa" w:w="1080"/>
          </w:tcPr>
          <w:p>
            <w:r>
              <w:rPr>
                <w:sz w:val="16"/>
              </w:rPr>
              <w:t>189</w:t>
            </w:r>
          </w:p>
        </w:tc>
      </w:tr>
      <w:tr>
        <w:tc>
          <w:tcPr>
            <w:tcW w:type="dxa" w:w="1560"/>
          </w:tcPr>
          <w:p>
            <w:r>
              <w:rPr>
                <w:sz w:val="16"/>
              </w:rPr>
              <w:t>Maple Finance</w:t>
            </w:r>
          </w:p>
        </w:tc>
        <w:tc>
          <w:tcPr>
            <w:tcW w:type="dxa" w:w="1260"/>
          </w:tcPr>
          <w:p>
            <w:r>
              <w:rPr>
                <w:sz w:val="16"/>
              </w:rPr>
              <w:t>MPL_SYRUP</w:t>
            </w:r>
          </w:p>
        </w:tc>
        <w:tc>
          <w:tcPr>
            <w:tcW w:type="dxa" w:w="1080"/>
          </w:tcPr>
          <w:p>
            <w:r>
              <w:rPr>
                <w:sz w:val="16"/>
              </w:rPr>
              <w:t>DeFi</w:t>
            </w:r>
          </w:p>
        </w:tc>
        <w:tc>
          <w:tcPr>
            <w:tcW w:type="dxa" w:w="900"/>
          </w:tcPr>
          <w:p>
            <w:r>
              <w:rPr>
                <w:sz w:val="16"/>
              </w:rPr>
              <w:t>0.0242</w:t>
            </w:r>
          </w:p>
        </w:tc>
        <w:tc>
          <w:tcPr>
            <w:tcW w:type="dxa" w:w="960"/>
          </w:tcPr>
          <w:p>
            <w:r>
              <w:rPr>
                <w:sz w:val="16"/>
              </w:rPr>
              <w:t>0.88</w:t>
            </w:r>
          </w:p>
        </w:tc>
        <w:tc>
          <w:tcPr>
            <w:tcW w:type="dxa" w:w="960"/>
          </w:tcPr>
          <w:p>
            <w:r>
              <w:rPr>
                <w:sz w:val="16"/>
              </w:rPr>
              <w:t>8.5%</w:t>
            </w:r>
          </w:p>
        </w:tc>
        <w:tc>
          <w:tcPr>
            <w:tcW w:type="dxa" w:w="840"/>
          </w:tcPr>
          <w:p>
            <w:r>
              <w:rPr>
                <w:sz w:val="16"/>
              </w:rPr>
              <w:t>40.6%</w:t>
            </w:r>
          </w:p>
        </w:tc>
        <w:tc>
          <w:tcPr>
            <w:tcW w:type="dxa" w:w="1080"/>
          </w:tcPr>
          <w:p>
            <w:r>
              <w:rPr>
                <w:sz w:val="16"/>
              </w:rPr>
              <w:t>998</w:t>
            </w:r>
          </w:p>
        </w:tc>
      </w:tr>
      <w:tr>
        <w:tc>
          <w:tcPr>
            <w:tcW w:type="dxa" w:w="1560"/>
          </w:tcPr>
          <w:p>
            <w:r>
              <w:rPr>
                <w:sz w:val="16"/>
              </w:rPr>
              <w:t>Compound</w:t>
            </w:r>
          </w:p>
        </w:tc>
        <w:tc>
          <w:tcPr>
            <w:tcW w:type="dxa" w:w="1260"/>
          </w:tcPr>
          <w:p>
            <w:r>
              <w:rPr>
                <w:sz w:val="16"/>
              </w:rPr>
              <w:t>COMP</w:t>
            </w:r>
          </w:p>
        </w:tc>
        <w:tc>
          <w:tcPr>
            <w:tcW w:type="dxa" w:w="1080"/>
          </w:tcPr>
          <w:p>
            <w:r>
              <w:rPr>
                <w:sz w:val="16"/>
              </w:rPr>
              <w:t>DeFi</w:t>
            </w:r>
          </w:p>
        </w:tc>
        <w:tc>
          <w:tcPr>
            <w:tcW w:type="dxa" w:w="900"/>
          </w:tcPr>
          <w:p>
            <w:r>
              <w:rPr>
                <w:sz w:val="16"/>
              </w:rPr>
              <w:t>0.0275</w:t>
            </w:r>
          </w:p>
        </w:tc>
        <w:tc>
          <w:tcPr>
            <w:tcW w:type="dxa" w:w="960"/>
          </w:tcPr>
          <w:p>
            <w:r>
              <w:rPr>
                <w:sz w:val="16"/>
              </w:rPr>
              <w:t>0.86</w:t>
            </w:r>
          </w:p>
        </w:tc>
        <w:tc>
          <w:tcPr>
            <w:tcW w:type="dxa" w:w="960"/>
          </w:tcPr>
          <w:p>
            <w:r>
              <w:rPr>
                <w:sz w:val="16"/>
              </w:rPr>
              <w:t>14.1%</w:t>
            </w:r>
          </w:p>
        </w:tc>
        <w:tc>
          <w:tcPr>
            <w:tcW w:type="dxa" w:w="840"/>
          </w:tcPr>
          <w:p>
            <w:r>
              <w:rPr>
                <w:sz w:val="16"/>
              </w:rPr>
              <w:t>32.4%</w:t>
            </w:r>
          </w:p>
        </w:tc>
        <w:tc>
          <w:tcPr>
            <w:tcW w:type="dxa" w:w="1080"/>
          </w:tcPr>
          <w:p>
            <w:r>
              <w:rPr>
                <w:sz w:val="16"/>
              </w:rPr>
              <w:t>1000</w:t>
            </w:r>
          </w:p>
        </w:tc>
      </w:tr>
      <w:tr>
        <w:tc>
          <w:tcPr>
            <w:tcW w:type="dxa" w:w="1560"/>
          </w:tcPr>
          <w:p>
            <w:r>
              <w:rPr>
                <w:sz w:val="16"/>
              </w:rPr>
              <w:t>Rocket Pool</w:t>
            </w:r>
          </w:p>
        </w:tc>
        <w:tc>
          <w:tcPr>
            <w:tcW w:type="dxa" w:w="1260"/>
          </w:tcPr>
          <w:p>
            <w:r>
              <w:rPr>
                <w:sz w:val="16"/>
              </w:rPr>
              <w:t>RPL</w:t>
            </w:r>
          </w:p>
        </w:tc>
        <w:tc>
          <w:tcPr>
            <w:tcW w:type="dxa" w:w="1080"/>
          </w:tcPr>
          <w:p>
            <w:r>
              <w:rPr>
                <w:sz w:val="16"/>
              </w:rPr>
              <w:t>DeFi</w:t>
            </w:r>
          </w:p>
        </w:tc>
        <w:tc>
          <w:tcPr>
            <w:tcW w:type="dxa" w:w="900"/>
          </w:tcPr>
          <w:p>
            <w:r>
              <w:rPr>
                <w:sz w:val="16"/>
              </w:rPr>
              <w:t>0.0391</w:t>
            </w:r>
          </w:p>
        </w:tc>
        <w:tc>
          <w:tcPr>
            <w:tcW w:type="dxa" w:w="960"/>
          </w:tcPr>
          <w:p>
            <w:r>
              <w:rPr>
                <w:sz w:val="16"/>
              </w:rPr>
              <w:t>0.87</w:t>
            </w:r>
          </w:p>
        </w:tc>
        <w:tc>
          <w:tcPr>
            <w:tcW w:type="dxa" w:w="960"/>
          </w:tcPr>
          <w:p>
            <w:r>
              <w:rPr>
                <w:sz w:val="16"/>
              </w:rPr>
              <w:t>11.5%</w:t>
            </w:r>
          </w:p>
        </w:tc>
        <w:tc>
          <w:tcPr>
            <w:tcW w:type="dxa" w:w="840"/>
          </w:tcPr>
          <w:p>
            <w:r>
              <w:rPr>
                <w:sz w:val="16"/>
              </w:rPr>
              <w:t>52.7%</w:t>
            </w:r>
          </w:p>
        </w:tc>
        <w:tc>
          <w:tcPr>
            <w:tcW w:type="dxa" w:w="1080"/>
          </w:tcPr>
          <w:p>
            <w:r>
              <w:rPr>
                <w:sz w:val="16"/>
              </w:rPr>
              <w:t>999</w:t>
            </w:r>
          </w:p>
        </w:tc>
      </w:tr>
      <w:tr>
        <w:tc>
          <w:tcPr>
            <w:tcW w:type="dxa" w:w="1560"/>
          </w:tcPr>
          <w:p>
            <w:r>
              <w:rPr>
                <w:sz w:val="16"/>
              </w:rPr>
              <w:t>MakerDAO</w:t>
            </w:r>
          </w:p>
        </w:tc>
        <w:tc>
          <w:tcPr>
            <w:tcW w:type="dxa" w:w="1260"/>
          </w:tcPr>
          <w:p>
            <w:r>
              <w:rPr>
                <w:sz w:val="16"/>
              </w:rPr>
              <w:t>MKR</w:t>
            </w:r>
          </w:p>
        </w:tc>
        <w:tc>
          <w:tcPr>
            <w:tcW w:type="dxa" w:w="1080"/>
          </w:tcPr>
          <w:p>
            <w:r>
              <w:rPr>
                <w:sz w:val="16"/>
              </w:rPr>
              <w:t>DeFi</w:t>
            </w:r>
          </w:p>
        </w:tc>
        <w:tc>
          <w:tcPr>
            <w:tcW w:type="dxa" w:w="900"/>
          </w:tcPr>
          <w:p>
            <w:r>
              <w:rPr>
                <w:sz w:val="16"/>
              </w:rPr>
              <w:t>0.0450</w:t>
            </w:r>
          </w:p>
        </w:tc>
        <w:tc>
          <w:tcPr>
            <w:tcW w:type="dxa" w:w="960"/>
          </w:tcPr>
          <w:p>
            <w:r>
              <w:rPr>
                <w:sz w:val="16"/>
              </w:rPr>
              <w:t>0.90</w:t>
            </w:r>
          </w:p>
        </w:tc>
        <w:tc>
          <w:tcPr>
            <w:tcW w:type="dxa" w:w="960"/>
          </w:tcPr>
          <w:p>
            <w:r>
              <w:rPr>
                <w:sz w:val="16"/>
              </w:rPr>
              <w:t>11.4%</w:t>
            </w:r>
          </w:p>
        </w:tc>
        <w:tc>
          <w:tcPr>
            <w:tcW w:type="dxa" w:w="840"/>
          </w:tcPr>
          <w:p>
            <w:r>
              <w:rPr>
                <w:sz w:val="16"/>
              </w:rPr>
              <w:t>56.2%</w:t>
            </w:r>
          </w:p>
        </w:tc>
        <w:tc>
          <w:tcPr>
            <w:tcW w:type="dxa" w:w="1080"/>
          </w:tcPr>
          <w:p>
            <w:r>
              <w:rPr>
                <w:sz w:val="16"/>
              </w:rPr>
              <w:t>1000</w:t>
            </w:r>
          </w:p>
        </w:tc>
      </w:tr>
      <w:tr>
        <w:tc>
          <w:tcPr>
            <w:tcW w:type="dxa" w:w="1560"/>
          </w:tcPr>
          <w:p>
            <w:r>
              <w:rPr>
                <w:sz w:val="16"/>
              </w:rPr>
              <w:t>MetaDAO †</w:t>
            </w:r>
          </w:p>
        </w:tc>
        <w:tc>
          <w:tcPr>
            <w:tcW w:type="dxa" w:w="1260"/>
          </w:tcPr>
          <w:p>
            <w:r>
              <w:rPr>
                <w:sz w:val="16"/>
              </w:rPr>
              <w:t>META</w:t>
            </w:r>
          </w:p>
        </w:tc>
        <w:tc>
          <w:tcPr>
            <w:tcW w:type="dxa" w:w="1080"/>
          </w:tcPr>
          <w:p>
            <w:r>
              <w:rPr>
                <w:sz w:val="16"/>
              </w:rPr>
              <w:t>DeFi</w:t>
            </w:r>
          </w:p>
        </w:tc>
        <w:tc>
          <w:tcPr>
            <w:tcW w:type="dxa" w:w="900"/>
          </w:tcPr>
          <w:p>
            <w:r>
              <w:rPr>
                <w:sz w:val="16"/>
              </w:rPr>
              <w:t>0.0482</w:t>
            </w:r>
          </w:p>
        </w:tc>
        <w:tc>
          <w:tcPr>
            <w:tcW w:type="dxa" w:w="960"/>
          </w:tcPr>
          <w:p>
            <w:r>
              <w:rPr>
                <w:sz w:val="16"/>
              </w:rPr>
              <w:t>0.90</w:t>
            </w:r>
          </w:p>
        </w:tc>
        <w:tc>
          <w:tcPr>
            <w:tcW w:type="dxa" w:w="960"/>
          </w:tcPr>
          <w:p>
            <w:r>
              <w:rPr>
                <w:sz w:val="16"/>
              </w:rPr>
              <w:t>19.6%</w:t>
            </w:r>
          </w:p>
        </w:tc>
        <w:tc>
          <w:tcPr>
            <w:tcW w:type="dxa" w:w="840"/>
          </w:tcPr>
          <w:p>
            <w:r>
              <w:rPr>
                <w:sz w:val="16"/>
              </w:rPr>
              <w:t>41.4%</w:t>
            </w:r>
          </w:p>
        </w:tc>
        <w:tc>
          <w:tcPr>
            <w:tcW w:type="dxa" w:w="1080"/>
          </w:tcPr>
          <w:p>
            <w:r>
              <w:rPr>
                <w:sz w:val="16"/>
              </w:rPr>
              <w:t>1000</w:t>
            </w:r>
          </w:p>
        </w:tc>
      </w:tr>
      <w:tr>
        <w:tc>
          <w:tcPr>
            <w:tcW w:type="dxa" w:w="1560"/>
          </w:tcPr>
          <w:p>
            <w:r>
              <w:rPr>
                <w:sz w:val="16"/>
              </w:rPr>
              <w:t>GMX</w:t>
            </w:r>
          </w:p>
        </w:tc>
        <w:tc>
          <w:tcPr>
            <w:tcW w:type="dxa" w:w="1260"/>
          </w:tcPr>
          <w:p>
            <w:r>
              <w:rPr>
                <w:sz w:val="16"/>
              </w:rPr>
              <w:t>GMX</w:t>
            </w:r>
          </w:p>
        </w:tc>
        <w:tc>
          <w:tcPr>
            <w:tcW w:type="dxa" w:w="1080"/>
          </w:tcPr>
          <w:p>
            <w:r>
              <w:rPr>
                <w:sz w:val="16"/>
              </w:rPr>
              <w:t>DeFi</w:t>
            </w:r>
          </w:p>
        </w:tc>
        <w:tc>
          <w:tcPr>
            <w:tcW w:type="dxa" w:w="900"/>
          </w:tcPr>
          <w:p>
            <w:r>
              <w:rPr>
                <w:sz w:val="16"/>
              </w:rPr>
              <w:t>0.0564</w:t>
            </w:r>
          </w:p>
        </w:tc>
        <w:tc>
          <w:tcPr>
            <w:tcW w:type="dxa" w:w="960"/>
          </w:tcPr>
          <w:p>
            <w:r>
              <w:rPr>
                <w:sz w:val="16"/>
              </w:rPr>
              <w:t>0.93</w:t>
            </w:r>
          </w:p>
        </w:tc>
        <w:tc>
          <w:tcPr>
            <w:tcW w:type="dxa" w:w="960"/>
          </w:tcPr>
          <w:p>
            <w:r>
              <w:rPr>
                <w:sz w:val="16"/>
              </w:rPr>
              <w:t>17.5%</w:t>
            </w:r>
          </w:p>
        </w:tc>
        <w:tc>
          <w:tcPr>
            <w:tcW w:type="dxa" w:w="840"/>
          </w:tcPr>
          <w:p>
            <w:r>
              <w:rPr>
                <w:sz w:val="16"/>
              </w:rPr>
              <w:t>60.2%</w:t>
            </w:r>
          </w:p>
        </w:tc>
        <w:tc>
          <w:tcPr>
            <w:tcW w:type="dxa" w:w="1080"/>
          </w:tcPr>
          <w:p>
            <w:r>
              <w:rPr>
                <w:sz w:val="16"/>
              </w:rPr>
              <w:t>999</w:t>
            </w:r>
          </w:p>
        </w:tc>
      </w:tr>
      <w:tr>
        <w:tc>
          <w:tcPr>
            <w:tcW w:type="dxa" w:w="1560"/>
          </w:tcPr>
          <w:p>
            <w:r>
              <w:rPr>
                <w:sz w:val="16"/>
              </w:rPr>
              <w:t>Aave</w:t>
            </w:r>
          </w:p>
        </w:tc>
        <w:tc>
          <w:tcPr>
            <w:tcW w:type="dxa" w:w="1260"/>
          </w:tcPr>
          <w:p>
            <w:r>
              <w:rPr>
                <w:sz w:val="16"/>
              </w:rPr>
              <w:t>AAVE</w:t>
            </w:r>
          </w:p>
        </w:tc>
        <w:tc>
          <w:tcPr>
            <w:tcW w:type="dxa" w:w="1080"/>
          </w:tcPr>
          <w:p>
            <w:r>
              <w:rPr>
                <w:sz w:val="16"/>
              </w:rPr>
              <w:t>DeFi</w:t>
            </w:r>
          </w:p>
        </w:tc>
        <w:tc>
          <w:tcPr>
            <w:tcW w:type="dxa" w:w="900"/>
          </w:tcPr>
          <w:p>
            <w:r>
              <w:rPr>
                <w:sz w:val="16"/>
              </w:rPr>
              <w:t>0.020</w:t>
            </w:r>
          </w:p>
        </w:tc>
        <w:tc>
          <w:tcPr>
            <w:tcW w:type="dxa" w:w="960"/>
          </w:tcPr>
          <w:p>
            <w:r>
              <w:rPr>
                <w:sz w:val="16"/>
              </w:rPr>
              <w:t>0.88</w:t>
            </w:r>
          </w:p>
        </w:tc>
        <w:tc>
          <w:tcPr>
            <w:tcW w:type="dxa" w:w="960"/>
          </w:tcPr>
          <w:p>
            <w:r>
              <w:rPr>
                <w:sz w:val="16"/>
              </w:rPr>
              <w:t>—†</w:t>
            </w:r>
          </w:p>
        </w:tc>
        <w:tc>
          <w:tcPr>
            <w:tcW w:type="dxa" w:w="840"/>
          </w:tcPr>
          <w:p>
            <w:r>
              <w:rPr>
                <w:sz w:val="16"/>
              </w:rPr>
              <w:t>47.6%</w:t>
            </w:r>
          </w:p>
        </w:tc>
        <w:tc>
          <w:tcPr>
            <w:tcW w:type="dxa" w:w="1080"/>
          </w:tcPr>
          <w:p>
            <w:r>
              <w:rPr>
                <w:sz w:val="16"/>
              </w:rPr>
              <w:t>1000</w:t>
            </w:r>
          </w:p>
        </w:tc>
      </w:tr>
      <w:tr>
        <w:tc>
          <w:tcPr>
            <w:tcW w:type="dxa" w:w="1560"/>
          </w:tcPr>
          <w:p>
            <w:r>
              <w:rPr>
                <w:sz w:val="16"/>
              </w:rPr>
              <w:t>Ether.Fi</w:t>
            </w:r>
          </w:p>
        </w:tc>
        <w:tc>
          <w:tcPr>
            <w:tcW w:type="dxa" w:w="1260"/>
          </w:tcPr>
          <w:p>
            <w:r>
              <w:rPr>
                <w:sz w:val="16"/>
              </w:rPr>
              <w:t>ETHFI</w:t>
            </w:r>
          </w:p>
        </w:tc>
        <w:tc>
          <w:tcPr>
            <w:tcW w:type="dxa" w:w="1080"/>
          </w:tcPr>
          <w:p>
            <w:r>
              <w:rPr>
                <w:sz w:val="16"/>
              </w:rPr>
              <w:t>DeFi</w:t>
            </w:r>
          </w:p>
        </w:tc>
        <w:tc>
          <w:tcPr>
            <w:tcW w:type="dxa" w:w="900"/>
          </w:tcPr>
          <w:p>
            <w:r>
              <w:rPr>
                <w:sz w:val="16"/>
              </w:rPr>
              <w:t>0.0668</w:t>
            </w:r>
          </w:p>
        </w:tc>
        <w:tc>
          <w:tcPr>
            <w:tcW w:type="dxa" w:w="960"/>
          </w:tcPr>
          <w:p>
            <w:r>
              <w:rPr>
                <w:sz w:val="16"/>
              </w:rPr>
              <w:t>0.95</w:t>
            </w:r>
          </w:p>
        </w:tc>
        <w:tc>
          <w:tcPr>
            <w:tcW w:type="dxa" w:w="960"/>
          </w:tcPr>
          <w:p>
            <w:r>
              <w:rPr>
                <w:sz w:val="16"/>
              </w:rPr>
              <w:t>19.0%</w:t>
            </w:r>
          </w:p>
        </w:tc>
        <w:tc>
          <w:tcPr>
            <w:tcW w:type="dxa" w:w="840"/>
          </w:tcPr>
          <w:p>
            <w:r>
              <w:rPr>
                <w:sz w:val="16"/>
              </w:rPr>
              <w:t>59.9%</w:t>
            </w:r>
          </w:p>
        </w:tc>
        <w:tc>
          <w:tcPr>
            <w:tcW w:type="dxa" w:w="1080"/>
          </w:tcPr>
          <w:p>
            <w:r>
              <w:rPr>
                <w:sz w:val="16"/>
              </w:rPr>
              <w:t>1000</w:t>
            </w:r>
          </w:p>
        </w:tc>
      </w:tr>
      <w:tr>
        <w:tc>
          <w:tcPr>
            <w:tcW w:type="dxa" w:w="1560"/>
          </w:tcPr>
          <w:p>
            <w:r>
              <w:rPr>
                <w:sz w:val="16"/>
              </w:rPr>
              <w:t>Uniswap</w:t>
            </w:r>
          </w:p>
        </w:tc>
        <w:tc>
          <w:tcPr>
            <w:tcW w:type="dxa" w:w="1260"/>
          </w:tcPr>
          <w:p>
            <w:r>
              <w:rPr>
                <w:sz w:val="16"/>
              </w:rPr>
              <w:t>UNI</w:t>
            </w:r>
          </w:p>
        </w:tc>
        <w:tc>
          <w:tcPr>
            <w:tcW w:type="dxa" w:w="1080"/>
          </w:tcPr>
          <w:p>
            <w:r>
              <w:rPr>
                <w:sz w:val="16"/>
              </w:rPr>
              <w:t>DeFi</w:t>
            </w:r>
          </w:p>
        </w:tc>
        <w:tc>
          <w:tcPr>
            <w:tcW w:type="dxa" w:w="900"/>
          </w:tcPr>
          <w:p>
            <w:r>
              <w:rPr>
                <w:sz w:val="16"/>
              </w:rPr>
              <w:t>0.032</w:t>
            </w:r>
          </w:p>
        </w:tc>
        <w:tc>
          <w:tcPr>
            <w:tcW w:type="dxa" w:w="960"/>
          </w:tcPr>
          <w:p>
            <w:r>
              <w:rPr>
                <w:sz w:val="16"/>
              </w:rPr>
              <w:t>0.89</w:t>
            </w:r>
          </w:p>
        </w:tc>
        <w:tc>
          <w:tcPr>
            <w:tcW w:type="dxa" w:w="960"/>
          </w:tcPr>
          <w:p>
            <w:r>
              <w:rPr>
                <w:sz w:val="16"/>
              </w:rPr>
              <w:t>—†</w:t>
            </w:r>
          </w:p>
        </w:tc>
        <w:tc>
          <w:tcPr>
            <w:tcW w:type="dxa" w:w="840"/>
          </w:tcPr>
          <w:p>
            <w:r>
              <w:rPr>
                <w:sz w:val="16"/>
              </w:rPr>
              <w:t>52.1%</w:t>
            </w:r>
          </w:p>
        </w:tc>
        <w:tc>
          <w:tcPr>
            <w:tcW w:type="dxa" w:w="1080"/>
          </w:tcPr>
          <w:p>
            <w:r>
              <w:rPr>
                <w:sz w:val="16"/>
              </w:rPr>
              <w:t>1000</w:t>
            </w:r>
          </w:p>
        </w:tc>
      </w:tr>
      <w:tr>
        <w:tc>
          <w:tcPr>
            <w:tcW w:type="dxa" w:w="1560"/>
          </w:tcPr>
          <w:p>
            <w:r>
              <w:rPr>
                <w:sz w:val="16"/>
              </w:rPr>
              <w:t>Drift</w:t>
            </w:r>
          </w:p>
        </w:tc>
        <w:tc>
          <w:tcPr>
            <w:tcW w:type="dxa" w:w="1260"/>
          </w:tcPr>
          <w:p>
            <w:r>
              <w:rPr>
                <w:sz w:val="16"/>
              </w:rPr>
              <w:t>DRIFT</w:t>
            </w:r>
          </w:p>
        </w:tc>
        <w:tc>
          <w:tcPr>
            <w:tcW w:type="dxa" w:w="1080"/>
          </w:tcPr>
          <w:p>
            <w:r>
              <w:rPr>
                <w:sz w:val="16"/>
              </w:rPr>
              <w:t>DeFi</w:t>
            </w:r>
          </w:p>
        </w:tc>
        <w:tc>
          <w:tcPr>
            <w:tcW w:type="dxa" w:w="900"/>
          </w:tcPr>
          <w:p>
            <w:r>
              <w:rPr>
                <w:sz w:val="16"/>
              </w:rPr>
              <w:t>0.1011</w:t>
            </w:r>
          </w:p>
        </w:tc>
        <w:tc>
          <w:tcPr>
            <w:tcW w:type="dxa" w:w="960"/>
          </w:tcPr>
          <w:p>
            <w:r>
              <w:rPr>
                <w:sz w:val="16"/>
              </w:rPr>
              <w:t>0.94</w:t>
            </w:r>
          </w:p>
        </w:tc>
        <w:tc>
          <w:tcPr>
            <w:tcW w:type="dxa" w:w="960"/>
          </w:tcPr>
          <w:p>
            <w:r>
              <w:rPr>
                <w:sz w:val="16"/>
              </w:rPr>
              <w:t>27.0%</w:t>
            </w:r>
          </w:p>
        </w:tc>
        <w:tc>
          <w:tcPr>
            <w:tcW w:type="dxa" w:w="840"/>
          </w:tcPr>
          <w:p>
            <w:r>
              <w:rPr>
                <w:sz w:val="16"/>
              </w:rPr>
              <w:t>61.7%</w:t>
            </w:r>
          </w:p>
        </w:tc>
        <w:tc>
          <w:tcPr>
            <w:tcW w:type="dxa" w:w="1080"/>
          </w:tcPr>
          <w:p>
            <w:r>
              <w:rPr>
                <w:sz w:val="16"/>
              </w:rPr>
              <w:t>1000</w:t>
            </w:r>
          </w:p>
        </w:tc>
      </w:tr>
      <w:tr>
        <w:tc>
          <w:tcPr>
            <w:tcW w:type="dxa" w:w="1560"/>
          </w:tcPr>
          <w:p>
            <w:r>
              <w:rPr>
                <w:sz w:val="16"/>
              </w:rPr>
              <w:t>Jupiter</w:t>
            </w:r>
          </w:p>
        </w:tc>
        <w:tc>
          <w:tcPr>
            <w:tcW w:type="dxa" w:w="1260"/>
          </w:tcPr>
          <w:p>
            <w:r>
              <w:rPr>
                <w:sz w:val="16"/>
              </w:rPr>
              <w:t>JUP</w:t>
            </w:r>
          </w:p>
        </w:tc>
        <w:tc>
          <w:tcPr>
            <w:tcW w:type="dxa" w:w="1080"/>
          </w:tcPr>
          <w:p>
            <w:r>
              <w:rPr>
                <w:sz w:val="16"/>
              </w:rPr>
              <w:t>DeFi</w:t>
            </w:r>
          </w:p>
        </w:tc>
        <w:tc>
          <w:tcPr>
            <w:tcW w:type="dxa" w:w="900"/>
          </w:tcPr>
          <w:p>
            <w:r>
              <w:rPr>
                <w:sz w:val="16"/>
              </w:rPr>
              <w:t>0.1166</w:t>
            </w:r>
          </w:p>
        </w:tc>
        <w:tc>
          <w:tcPr>
            <w:tcW w:type="dxa" w:w="960"/>
          </w:tcPr>
          <w:p>
            <w:r>
              <w:rPr>
                <w:sz w:val="16"/>
              </w:rPr>
              <w:t>0.98</w:t>
            </w:r>
          </w:p>
        </w:tc>
        <w:tc>
          <w:tcPr>
            <w:tcW w:type="dxa" w:w="960"/>
          </w:tcPr>
          <w:p>
            <w:r>
              <w:rPr>
                <w:sz w:val="16"/>
              </w:rPr>
              <w:t>25.1%</w:t>
            </w:r>
          </w:p>
        </w:tc>
        <w:tc>
          <w:tcPr>
            <w:tcW w:type="dxa" w:w="840"/>
          </w:tcPr>
          <w:p>
            <w:r>
              <w:rPr>
                <w:sz w:val="16"/>
              </w:rPr>
              <w:t>75.0%</w:t>
            </w:r>
          </w:p>
        </w:tc>
        <w:tc>
          <w:tcPr>
            <w:tcW w:type="dxa" w:w="1080"/>
          </w:tcPr>
          <w:p>
            <w:r>
              <w:rPr>
                <w:sz w:val="16"/>
              </w:rPr>
              <w:t>1000</w:t>
            </w:r>
          </w:p>
        </w:tc>
      </w:tr>
      <w:tr>
        <w:tc>
          <w:tcPr>
            <w:tcW w:type="dxa" w:w="1560"/>
          </w:tcPr>
          <w:p>
            <w:r>
              <w:rPr>
                <w:sz w:val="16"/>
              </w:rPr>
              <w:t>Curve</w:t>
            </w:r>
          </w:p>
        </w:tc>
        <w:tc>
          <w:tcPr>
            <w:tcW w:type="dxa" w:w="1260"/>
          </w:tcPr>
          <w:p>
            <w:r>
              <w:rPr>
                <w:sz w:val="16"/>
              </w:rPr>
              <w:t>CRV</w:t>
            </w:r>
          </w:p>
        </w:tc>
        <w:tc>
          <w:tcPr>
            <w:tcW w:type="dxa" w:w="1080"/>
          </w:tcPr>
          <w:p>
            <w:r>
              <w:rPr>
                <w:sz w:val="16"/>
              </w:rPr>
              <w:t>DeFi</w:t>
            </w:r>
          </w:p>
        </w:tc>
        <w:tc>
          <w:tcPr>
            <w:tcW w:type="dxa" w:w="900"/>
          </w:tcPr>
          <w:p>
            <w:r>
              <w:rPr>
                <w:sz w:val="16"/>
              </w:rPr>
              <w:t>0.1706</w:t>
            </w:r>
          </w:p>
        </w:tc>
        <w:tc>
          <w:tcPr>
            <w:tcW w:type="dxa" w:w="960"/>
          </w:tcPr>
          <w:p>
            <w:r>
              <w:rPr>
                <w:sz w:val="16"/>
              </w:rPr>
              <w:t>0.89</w:t>
            </w:r>
          </w:p>
        </w:tc>
        <w:tc>
          <w:tcPr>
            <w:tcW w:type="dxa" w:w="960"/>
          </w:tcPr>
          <w:p>
            <w:r>
              <w:rPr>
                <w:sz w:val="16"/>
              </w:rPr>
              <w:t>40.5%</w:t>
            </w:r>
          </w:p>
        </w:tc>
        <w:tc>
          <w:tcPr>
            <w:tcW w:type="dxa" w:w="840"/>
          </w:tcPr>
          <w:p>
            <w:r>
              <w:rPr>
                <w:sz w:val="16"/>
              </w:rPr>
              <w:t>60.7%</w:t>
            </w:r>
          </w:p>
        </w:tc>
        <w:tc>
          <w:tcPr>
            <w:tcW w:type="dxa" w:w="1080"/>
          </w:tcPr>
          <w:p>
            <w:r>
              <w:rPr>
                <w:sz w:val="16"/>
              </w:rPr>
              <w:t>1000</w:t>
            </w:r>
          </w:p>
        </w:tc>
      </w:tr>
      <w:tr>
        <w:tc>
          <w:tcPr>
            <w:tcW w:type="dxa" w:w="1560"/>
          </w:tcPr>
          <w:p>
            <w:r>
              <w:rPr>
                <w:sz w:val="16"/>
              </w:rPr>
              <w:t>Axelar</w:t>
            </w:r>
          </w:p>
        </w:tc>
        <w:tc>
          <w:tcPr>
            <w:tcW w:type="dxa" w:w="1260"/>
          </w:tcPr>
          <w:p>
            <w:r>
              <w:rPr>
                <w:sz w:val="16"/>
              </w:rPr>
              <w:t>AXL</w:t>
            </w:r>
          </w:p>
        </w:tc>
        <w:tc>
          <w:tcPr>
            <w:tcW w:type="dxa" w:w="1080"/>
          </w:tcPr>
          <w:p>
            <w:r>
              <w:rPr>
                <w:sz w:val="16"/>
              </w:rPr>
              <w:t>L1/L2/Infra</w:t>
            </w:r>
          </w:p>
        </w:tc>
        <w:tc>
          <w:tcPr>
            <w:tcW w:type="dxa" w:w="900"/>
          </w:tcPr>
          <w:p>
            <w:r>
              <w:rPr>
                <w:sz w:val="16"/>
              </w:rPr>
              <w:t>0.0038</w:t>
            </w:r>
          </w:p>
        </w:tc>
        <w:tc>
          <w:tcPr>
            <w:tcW w:type="dxa" w:w="960"/>
          </w:tcPr>
          <w:p>
            <w:r>
              <w:rPr>
                <w:sz w:val="16"/>
              </w:rPr>
              <w:t>0.63</w:t>
            </w:r>
          </w:p>
        </w:tc>
        <w:tc>
          <w:tcPr>
            <w:tcW w:type="dxa" w:w="960"/>
          </w:tcPr>
          <w:p>
            <w:r>
              <w:rPr>
                <w:sz w:val="16"/>
              </w:rPr>
              <w:t>3.2%</w:t>
            </w:r>
          </w:p>
        </w:tc>
        <w:tc>
          <w:tcPr>
            <w:tcW w:type="dxa" w:w="840"/>
          </w:tcPr>
          <w:p>
            <w:r>
              <w:rPr>
                <w:sz w:val="16"/>
              </w:rPr>
              <w:t>15.8%</w:t>
            </w:r>
          </w:p>
        </w:tc>
        <w:tc>
          <w:tcPr>
            <w:tcW w:type="dxa" w:w="1080"/>
          </w:tcPr>
          <w:p>
            <w:r>
              <w:rPr>
                <w:sz w:val="16"/>
              </w:rPr>
              <w:t>97</w:t>
            </w:r>
          </w:p>
        </w:tc>
      </w:tr>
      <w:tr>
        <w:tc>
          <w:tcPr>
            <w:tcW w:type="dxa" w:w="1560"/>
          </w:tcPr>
          <w:p>
            <w:r>
              <w:rPr>
                <w:sz w:val="16"/>
              </w:rPr>
              <w:t>LayerZero</w:t>
            </w:r>
          </w:p>
        </w:tc>
        <w:tc>
          <w:tcPr>
            <w:tcW w:type="dxa" w:w="1260"/>
          </w:tcPr>
          <w:p>
            <w:r>
              <w:rPr>
                <w:sz w:val="16"/>
              </w:rPr>
              <w:t>ZRO</w:t>
            </w:r>
          </w:p>
        </w:tc>
        <w:tc>
          <w:tcPr>
            <w:tcW w:type="dxa" w:w="1080"/>
          </w:tcPr>
          <w:p>
            <w:r>
              <w:rPr>
                <w:sz w:val="16"/>
              </w:rPr>
              <w:t>L1/L2/Infra</w:t>
            </w:r>
          </w:p>
        </w:tc>
        <w:tc>
          <w:tcPr>
            <w:tcW w:type="dxa" w:w="900"/>
          </w:tcPr>
          <w:p>
            <w:r>
              <w:rPr>
                <w:sz w:val="16"/>
              </w:rPr>
              <w:t>0.0096</w:t>
            </w:r>
          </w:p>
        </w:tc>
        <w:tc>
          <w:tcPr>
            <w:tcW w:type="dxa" w:w="960"/>
          </w:tcPr>
          <w:p>
            <w:r>
              <w:rPr>
                <w:sz w:val="16"/>
              </w:rPr>
              <w:t>0.45</w:t>
            </w:r>
          </w:p>
        </w:tc>
        <w:tc>
          <w:tcPr>
            <w:tcW w:type="dxa" w:w="960"/>
          </w:tcPr>
          <w:p>
            <w:r>
              <w:rPr>
                <w:sz w:val="16"/>
              </w:rPr>
              <w:t>3.3%</w:t>
            </w:r>
          </w:p>
        </w:tc>
        <w:tc>
          <w:tcPr>
            <w:tcW w:type="dxa" w:w="840"/>
          </w:tcPr>
          <w:p>
            <w:r>
              <w:rPr>
                <w:sz w:val="16"/>
              </w:rPr>
              <w:t>24.7%</w:t>
            </w:r>
          </w:p>
        </w:tc>
        <w:tc>
          <w:tcPr>
            <w:tcW w:type="dxa" w:w="1080"/>
          </w:tcPr>
          <w:p>
            <w:r>
              <w:rPr>
                <w:sz w:val="16"/>
              </w:rPr>
              <w:t>98</w:t>
            </w:r>
          </w:p>
        </w:tc>
      </w:tr>
      <w:tr>
        <w:tc>
          <w:tcPr>
            <w:tcW w:type="dxa" w:w="1560"/>
          </w:tcPr>
          <w:p>
            <w:r>
              <w:rPr>
                <w:sz w:val="16"/>
              </w:rPr>
              <w:t>Wormhole</w:t>
            </w:r>
          </w:p>
        </w:tc>
        <w:tc>
          <w:tcPr>
            <w:tcW w:type="dxa" w:w="1260"/>
          </w:tcPr>
          <w:p>
            <w:r>
              <w:rPr>
                <w:sz w:val="16"/>
              </w:rPr>
              <w:t>W</w:t>
            </w:r>
          </w:p>
        </w:tc>
        <w:tc>
          <w:tcPr>
            <w:tcW w:type="dxa" w:w="1080"/>
          </w:tcPr>
          <w:p>
            <w:r>
              <w:rPr>
                <w:sz w:val="16"/>
              </w:rPr>
              <w:t>L1/L2/Infra</w:t>
            </w:r>
          </w:p>
        </w:tc>
        <w:tc>
          <w:tcPr>
            <w:tcW w:type="dxa" w:w="900"/>
          </w:tcPr>
          <w:p>
            <w:r>
              <w:rPr>
                <w:sz w:val="16"/>
              </w:rPr>
              <w:t>0.0149</w:t>
            </w:r>
          </w:p>
        </w:tc>
        <w:tc>
          <w:tcPr>
            <w:tcW w:type="dxa" w:w="960"/>
          </w:tcPr>
          <w:p>
            <w:r>
              <w:rPr>
                <w:sz w:val="16"/>
              </w:rPr>
              <w:t>0.87</w:t>
            </w:r>
          </w:p>
        </w:tc>
        <w:tc>
          <w:tcPr>
            <w:tcW w:type="dxa" w:w="960"/>
          </w:tcPr>
          <w:p>
            <w:r>
              <w:rPr>
                <w:sz w:val="16"/>
              </w:rPr>
              <w:t>7.0%</w:t>
            </w:r>
          </w:p>
        </w:tc>
        <w:tc>
          <w:tcPr>
            <w:tcW w:type="dxa" w:w="840"/>
          </w:tcPr>
          <w:p>
            <w:r>
              <w:rPr>
                <w:sz w:val="16"/>
              </w:rPr>
              <w:t>23.8%</w:t>
            </w:r>
          </w:p>
        </w:tc>
        <w:tc>
          <w:tcPr>
            <w:tcW w:type="dxa" w:w="1080"/>
          </w:tcPr>
          <w:p>
            <w:r>
              <w:rPr>
                <w:sz w:val="16"/>
              </w:rPr>
              <w:t>1000</w:t>
            </w:r>
          </w:p>
        </w:tc>
      </w:tr>
      <w:tr>
        <w:tc>
          <w:tcPr>
            <w:tcW w:type="dxa" w:w="1560"/>
          </w:tcPr>
          <w:p>
            <w:r>
              <w:rPr>
                <w:sz w:val="16"/>
              </w:rPr>
              <w:t>Polygon</w:t>
            </w:r>
          </w:p>
        </w:tc>
        <w:tc>
          <w:tcPr>
            <w:tcW w:type="dxa" w:w="1260"/>
          </w:tcPr>
          <w:p>
            <w:r>
              <w:rPr>
                <w:sz w:val="16"/>
              </w:rPr>
              <w:t>POL</w:t>
            </w:r>
          </w:p>
        </w:tc>
        <w:tc>
          <w:tcPr>
            <w:tcW w:type="dxa" w:w="1080"/>
          </w:tcPr>
          <w:p>
            <w:r>
              <w:rPr>
                <w:sz w:val="16"/>
              </w:rPr>
              <w:t>L1/L2/Infra</w:t>
            </w:r>
          </w:p>
        </w:tc>
        <w:tc>
          <w:tcPr>
            <w:tcW w:type="dxa" w:w="900"/>
          </w:tcPr>
          <w:p>
            <w:r>
              <w:rPr>
                <w:sz w:val="16"/>
              </w:rPr>
              <w:t>0.0348</w:t>
            </w:r>
          </w:p>
        </w:tc>
        <w:tc>
          <w:tcPr>
            <w:tcW w:type="dxa" w:w="960"/>
          </w:tcPr>
          <w:p>
            <w:r>
              <w:rPr>
                <w:sz w:val="16"/>
              </w:rPr>
              <w:t>0.92</w:t>
            </w:r>
          </w:p>
        </w:tc>
        <w:tc>
          <w:tcPr>
            <w:tcW w:type="dxa" w:w="960"/>
          </w:tcPr>
          <w:p>
            <w:r>
              <w:rPr>
                <w:sz w:val="16"/>
              </w:rPr>
              <w:t>12.1%</w:t>
            </w:r>
          </w:p>
        </w:tc>
        <w:tc>
          <w:tcPr>
            <w:tcW w:type="dxa" w:w="840"/>
          </w:tcPr>
          <w:p>
            <w:r>
              <w:rPr>
                <w:sz w:val="16"/>
              </w:rPr>
              <w:t>49.5%</w:t>
            </w:r>
          </w:p>
        </w:tc>
        <w:tc>
          <w:tcPr>
            <w:tcW w:type="dxa" w:w="1080"/>
          </w:tcPr>
          <w:p>
            <w:r>
              <w:rPr>
                <w:sz w:val="16"/>
              </w:rPr>
              <w:t>998</w:t>
            </w:r>
          </w:p>
        </w:tc>
      </w:tr>
      <w:tr>
        <w:tc>
          <w:tcPr>
            <w:tcW w:type="dxa" w:w="1560"/>
          </w:tcPr>
          <w:p>
            <w:r>
              <w:rPr>
                <w:sz w:val="16"/>
              </w:rPr>
              <w:t>Arbitrum</w:t>
            </w:r>
          </w:p>
        </w:tc>
        <w:tc>
          <w:tcPr>
            <w:tcW w:type="dxa" w:w="1260"/>
          </w:tcPr>
          <w:p>
            <w:r>
              <w:rPr>
                <w:sz w:val="16"/>
              </w:rPr>
              <w:t>ARB</w:t>
            </w:r>
          </w:p>
        </w:tc>
        <w:tc>
          <w:tcPr>
            <w:tcW w:type="dxa" w:w="1080"/>
          </w:tcPr>
          <w:p>
            <w:r>
              <w:rPr>
                <w:sz w:val="16"/>
              </w:rPr>
              <w:t>L1/L2/Infra</w:t>
            </w:r>
          </w:p>
        </w:tc>
        <w:tc>
          <w:tcPr>
            <w:tcW w:type="dxa" w:w="900"/>
          </w:tcPr>
          <w:p>
            <w:r>
              <w:rPr>
                <w:sz w:val="16"/>
              </w:rPr>
              <w:t>0.012</w:t>
            </w:r>
          </w:p>
        </w:tc>
        <w:tc>
          <w:tcPr>
            <w:tcW w:type="dxa" w:w="960"/>
          </w:tcPr>
          <w:p>
            <w:r>
              <w:rPr>
                <w:sz w:val="16"/>
              </w:rPr>
              <w:t>0.83</w:t>
            </w:r>
          </w:p>
        </w:tc>
        <w:tc>
          <w:tcPr>
            <w:tcW w:type="dxa" w:w="960"/>
          </w:tcPr>
          <w:p>
            <w:r>
              <w:rPr>
                <w:sz w:val="16"/>
              </w:rPr>
              <w:t>—†</w:t>
            </w:r>
          </w:p>
        </w:tc>
        <w:tc>
          <w:tcPr>
            <w:tcW w:type="dxa" w:w="840"/>
          </w:tcPr>
          <w:p>
            <w:r>
              <w:rPr>
                <w:sz w:val="16"/>
              </w:rPr>
              <w:t>47.2%</w:t>
            </w:r>
          </w:p>
        </w:tc>
        <w:tc>
          <w:tcPr>
            <w:tcW w:type="dxa" w:w="1080"/>
          </w:tcPr>
          <w:p>
            <w:r>
              <w:rPr>
                <w:sz w:val="16"/>
              </w:rPr>
              <w:t>1000</w:t>
            </w:r>
          </w:p>
        </w:tc>
      </w:tr>
      <w:tr>
        <w:tc>
          <w:tcPr>
            <w:tcW w:type="dxa" w:w="1560"/>
          </w:tcPr>
          <w:p>
            <w:r>
              <w:rPr>
                <w:sz w:val="16"/>
              </w:rPr>
              <w:t>The Graph</w:t>
            </w:r>
          </w:p>
        </w:tc>
        <w:tc>
          <w:tcPr>
            <w:tcW w:type="dxa" w:w="1260"/>
          </w:tcPr>
          <w:p>
            <w:r>
              <w:rPr>
                <w:sz w:val="16"/>
              </w:rPr>
              <w:t>GRT</w:t>
            </w:r>
          </w:p>
        </w:tc>
        <w:tc>
          <w:tcPr>
            <w:tcW w:type="dxa" w:w="1080"/>
          </w:tcPr>
          <w:p>
            <w:r>
              <w:rPr>
                <w:sz w:val="16"/>
              </w:rPr>
              <w:t>L1/L2/Infra</w:t>
            </w:r>
          </w:p>
        </w:tc>
        <w:tc>
          <w:tcPr>
            <w:tcW w:type="dxa" w:w="900"/>
          </w:tcPr>
          <w:p>
            <w:r>
              <w:rPr>
                <w:sz w:val="16"/>
              </w:rPr>
              <w:t>0.036</w:t>
            </w:r>
          </w:p>
        </w:tc>
        <w:tc>
          <w:tcPr>
            <w:tcW w:type="dxa" w:w="960"/>
          </w:tcPr>
          <w:p>
            <w:r>
              <w:rPr>
                <w:sz w:val="16"/>
              </w:rPr>
              <w:t>0.92</w:t>
            </w:r>
          </w:p>
        </w:tc>
        <w:tc>
          <w:tcPr>
            <w:tcW w:type="dxa" w:w="960"/>
          </w:tcPr>
          <w:p>
            <w:r>
              <w:rPr>
                <w:sz w:val="16"/>
              </w:rPr>
              <w:t>—†</w:t>
            </w:r>
          </w:p>
        </w:tc>
        <w:tc>
          <w:tcPr>
            <w:tcW w:type="dxa" w:w="840"/>
          </w:tcPr>
          <w:p>
            <w:r>
              <w:rPr>
                <w:sz w:val="16"/>
              </w:rPr>
              <w:t>59.7%</w:t>
            </w:r>
          </w:p>
        </w:tc>
        <w:tc>
          <w:tcPr>
            <w:tcW w:type="dxa" w:w="1080"/>
          </w:tcPr>
          <w:p>
            <w:r>
              <w:rPr>
                <w:sz w:val="16"/>
              </w:rPr>
              <w:t>1000</w:t>
            </w:r>
          </w:p>
        </w:tc>
      </w:tr>
      <w:tr>
        <w:tc>
          <w:tcPr>
            <w:tcW w:type="dxa" w:w="1560"/>
          </w:tcPr>
          <w:p>
            <w:r>
              <w:rPr>
                <w:sz w:val="16"/>
              </w:rPr>
              <w:t>Optimism</w:t>
            </w:r>
          </w:p>
        </w:tc>
        <w:tc>
          <w:tcPr>
            <w:tcW w:type="dxa" w:w="1260"/>
          </w:tcPr>
          <w:p>
            <w:r>
              <w:rPr>
                <w:sz w:val="16"/>
              </w:rPr>
              <w:t>OP</w:t>
            </w:r>
          </w:p>
        </w:tc>
        <w:tc>
          <w:tcPr>
            <w:tcW w:type="dxa" w:w="1080"/>
          </w:tcPr>
          <w:p>
            <w:r>
              <w:rPr>
                <w:sz w:val="16"/>
              </w:rPr>
              <w:t>L1/L2/Infra</w:t>
            </w:r>
          </w:p>
        </w:tc>
        <w:tc>
          <w:tcPr>
            <w:tcW w:type="dxa" w:w="900"/>
          </w:tcPr>
          <w:p>
            <w:r>
              <w:rPr>
                <w:sz w:val="16"/>
              </w:rPr>
              <w:t>0.042</w:t>
            </w:r>
          </w:p>
        </w:tc>
        <w:tc>
          <w:tcPr>
            <w:tcW w:type="dxa" w:w="960"/>
          </w:tcPr>
          <w:p>
            <w:r>
              <w:rPr>
                <w:sz w:val="16"/>
              </w:rPr>
              <w:t>0.89</w:t>
            </w:r>
          </w:p>
        </w:tc>
        <w:tc>
          <w:tcPr>
            <w:tcW w:type="dxa" w:w="960"/>
          </w:tcPr>
          <w:p>
            <w:r>
              <w:rPr>
                <w:sz w:val="16"/>
              </w:rPr>
              <w:t>—†</w:t>
            </w:r>
          </w:p>
        </w:tc>
        <w:tc>
          <w:tcPr>
            <w:tcW w:type="dxa" w:w="840"/>
          </w:tcPr>
          <w:p>
            <w:r>
              <w:rPr>
                <w:sz w:val="16"/>
              </w:rPr>
              <w:t>60.8%</w:t>
            </w:r>
          </w:p>
        </w:tc>
        <w:tc>
          <w:tcPr>
            <w:tcW w:type="dxa" w:w="1080"/>
          </w:tcPr>
          <w:p>
            <w:r>
              <w:rPr>
                <w:sz w:val="16"/>
              </w:rPr>
              <w:t>1000</w:t>
            </w:r>
          </w:p>
        </w:tc>
      </w:tr>
      <w:tr>
        <w:tc>
          <w:tcPr>
            <w:tcW w:type="dxa" w:w="1560"/>
          </w:tcPr>
          <w:p>
            <w:r>
              <w:rPr>
                <w:sz w:val="16"/>
              </w:rPr>
              <w:t>ENS</w:t>
            </w:r>
          </w:p>
        </w:tc>
        <w:tc>
          <w:tcPr>
            <w:tcW w:type="dxa" w:w="1260"/>
          </w:tcPr>
          <w:p>
            <w:r>
              <w:rPr>
                <w:sz w:val="16"/>
              </w:rPr>
              <w:t>ENS</w:t>
            </w:r>
          </w:p>
        </w:tc>
        <w:tc>
          <w:tcPr>
            <w:tcW w:type="dxa" w:w="1080"/>
          </w:tcPr>
          <w:p>
            <w:r>
              <w:rPr>
                <w:sz w:val="16"/>
              </w:rPr>
              <w:t>L1/L2/Infra</w:t>
            </w:r>
          </w:p>
        </w:tc>
        <w:tc>
          <w:tcPr>
            <w:tcW w:type="dxa" w:w="900"/>
          </w:tcPr>
          <w:p>
            <w:r>
              <w:rPr>
                <w:sz w:val="16"/>
              </w:rPr>
              <w:t>0.1345</w:t>
            </w:r>
          </w:p>
        </w:tc>
        <w:tc>
          <w:tcPr>
            <w:tcW w:type="dxa" w:w="960"/>
          </w:tcPr>
          <w:p>
            <w:r>
              <w:rPr>
                <w:sz w:val="16"/>
              </w:rPr>
              <w:t>0.94</w:t>
            </w:r>
          </w:p>
        </w:tc>
        <w:tc>
          <w:tcPr>
            <w:tcW w:type="dxa" w:w="960"/>
          </w:tcPr>
          <w:p>
            <w:r>
              <w:rPr>
                <w:sz w:val="16"/>
              </w:rPr>
              <w:t>26.7%</w:t>
            </w:r>
          </w:p>
        </w:tc>
        <w:tc>
          <w:tcPr>
            <w:tcW w:type="dxa" w:w="840"/>
          </w:tcPr>
          <w:p>
            <w:r>
              <w:rPr>
                <w:sz w:val="16"/>
              </w:rPr>
              <w:t>75.5%</w:t>
            </w:r>
          </w:p>
        </w:tc>
        <w:tc>
          <w:tcPr>
            <w:tcW w:type="dxa" w:w="1080"/>
          </w:tcPr>
          <w:p>
            <w:r>
              <w:rPr>
                <w:sz w:val="16"/>
              </w:rPr>
              <w:t>999</w:t>
            </w:r>
          </w:p>
        </w:tc>
      </w:tr>
      <w:tr>
        <w:tc>
          <w:tcPr>
            <w:tcW w:type="dxa" w:w="1560"/>
          </w:tcPr>
          <w:p>
            <w:r>
              <w:rPr>
                <w:sz w:val="16"/>
              </w:rPr>
              <w:t>Token Engineering Commons ‡</w:t>
            </w:r>
          </w:p>
        </w:tc>
        <w:tc>
          <w:tcPr>
            <w:tcW w:type="dxa" w:w="1260"/>
          </w:tcPr>
          <w:p>
            <w:r>
              <w:rPr>
                <w:sz w:val="16"/>
              </w:rPr>
              <w:t>TEC</w:t>
            </w:r>
          </w:p>
        </w:tc>
        <w:tc>
          <w:tcPr>
            <w:tcW w:type="dxa" w:w="1080"/>
          </w:tcPr>
          <w:p>
            <w:r>
              <w:rPr>
                <w:sz w:val="16"/>
              </w:rPr>
              <w:t>Social/Dead</w:t>
            </w:r>
          </w:p>
        </w:tc>
        <w:tc>
          <w:tcPr>
            <w:tcW w:type="dxa" w:w="900"/>
          </w:tcPr>
          <w:p>
            <w:r>
              <w:rPr>
                <w:sz w:val="16"/>
              </w:rPr>
              <w:t>0.0278</w:t>
            </w:r>
          </w:p>
        </w:tc>
        <w:tc>
          <w:tcPr>
            <w:tcW w:type="dxa" w:w="960"/>
          </w:tcPr>
          <w:p>
            <w:r>
              <w:rPr>
                <w:sz w:val="16"/>
              </w:rPr>
              <w:t>0.91</w:t>
            </w:r>
          </w:p>
        </w:tc>
        <w:tc>
          <w:tcPr>
            <w:tcW w:type="dxa" w:w="960"/>
          </w:tcPr>
          <w:p>
            <w:r>
              <w:rPr>
                <w:sz w:val="16"/>
              </w:rPr>
              <w:t>9.2%</w:t>
            </w:r>
          </w:p>
        </w:tc>
        <w:tc>
          <w:tcPr>
            <w:tcW w:type="dxa" w:w="840"/>
          </w:tcPr>
          <w:p>
            <w:r>
              <w:rPr>
                <w:sz w:val="16"/>
              </w:rPr>
              <w:t>44.2%</w:t>
            </w:r>
          </w:p>
        </w:tc>
        <w:tc>
          <w:tcPr>
            <w:tcW w:type="dxa" w:w="1080"/>
          </w:tcPr>
          <w:p>
            <w:r>
              <w:rPr>
                <w:sz w:val="16"/>
              </w:rPr>
              <w:t>742</w:t>
            </w:r>
          </w:p>
        </w:tc>
      </w:tr>
      <w:tr>
        <w:tc>
          <w:tcPr>
            <w:tcW w:type="dxa" w:w="1560"/>
          </w:tcPr>
          <w:p>
            <w:r>
              <w:rPr>
                <w:sz w:val="16"/>
              </w:rPr>
              <w:t>Gitcoin ‡</w:t>
            </w:r>
          </w:p>
        </w:tc>
        <w:tc>
          <w:tcPr>
            <w:tcW w:type="dxa" w:w="1260"/>
          </w:tcPr>
          <w:p>
            <w:r>
              <w:rPr>
                <w:sz w:val="16"/>
              </w:rPr>
              <w:t>GTC</w:t>
            </w:r>
          </w:p>
        </w:tc>
        <w:tc>
          <w:tcPr>
            <w:tcW w:type="dxa" w:w="1080"/>
          </w:tcPr>
          <w:p>
            <w:r>
              <w:rPr>
                <w:sz w:val="16"/>
              </w:rPr>
              <w:t>Social/Dead</w:t>
            </w:r>
          </w:p>
        </w:tc>
        <w:tc>
          <w:tcPr>
            <w:tcW w:type="dxa" w:w="900"/>
          </w:tcPr>
          <w:p>
            <w:r>
              <w:rPr>
                <w:sz w:val="16"/>
              </w:rPr>
              <w:t>0.0766</w:t>
            </w:r>
          </w:p>
        </w:tc>
        <w:tc>
          <w:tcPr>
            <w:tcW w:type="dxa" w:w="960"/>
          </w:tcPr>
          <w:p>
            <w:r>
              <w:rPr>
                <w:sz w:val="16"/>
              </w:rPr>
              <w:t>0.94</w:t>
            </w:r>
          </w:p>
        </w:tc>
        <w:tc>
          <w:tcPr>
            <w:tcW w:type="dxa" w:w="960"/>
          </w:tcPr>
          <w:p>
            <w:r>
              <w:rPr>
                <w:sz w:val="16"/>
              </w:rPr>
              <w:t>17.6%</w:t>
            </w:r>
          </w:p>
        </w:tc>
        <w:tc>
          <w:tcPr>
            <w:tcW w:type="dxa" w:w="840"/>
          </w:tcPr>
          <w:p>
            <w:r>
              <w:rPr>
                <w:sz w:val="16"/>
              </w:rPr>
              <w:t>64.3%</w:t>
            </w:r>
          </w:p>
        </w:tc>
        <w:tc>
          <w:tcPr>
            <w:tcW w:type="dxa" w:w="1080"/>
          </w:tcPr>
          <w:p>
            <w:r>
              <w:rPr>
                <w:sz w:val="16"/>
              </w:rPr>
              <w:t>1000</w:t>
            </w:r>
          </w:p>
        </w:tc>
      </w:tr>
    </w:tbl>
    <w:p>
      <w:r>
        <w:rPr>
          <w:b w:val="0"/>
        </w:rPr>
        <w:t>Table 4. Governance concentration cross-section (March 2026 snapshot, Dune Analytics + Helius DAS API, top-1,000 holders per token, 69 protocol-controlled addresses excluded across 20 protocols). † = futarchy governance. ‡ = survivorship-bias control.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excluded from the subsidy regression because the protocol has no token emissions. Instead, 97% of trading fees are routed to an Assistance Fund that purchases and permanently burns HYPE tokens.</w:t>
      </w:r>
    </w:p>
    <w:p>
      <w:r>
        <w:rPr>
          <w:b w:val="0"/>
        </w:rPr>
        <w:t>HHI ranges from 0.004 (Axelar, after excluding foundation treasury and exchange custodians) to 0.199 (Livepeer). Among DeFi governance tokens, HHI ranges from 0.018 (Lido) to 0.171 (Curve). DePIN protocols span a similar range: 0.013 (Morpheus AI, after excluding protocol distribution contracts) to 0.199 (Livepeer). The overlap between DePIN and DeFi HHI distributions is substantial, with 8 of 12 DePIN protocols falling within the DeFi range.</w:t>
      </w:r>
    </w:p>
    <w:p>
      <w:r>
        <w:rPr>
          <w:b w:val="0"/>
        </w:rPr>
        <w:t>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(Section 5.1a) is particularly consequential for protocols with large foundation treasuries or exchange custodian addresses in the top-10 holders.</w:t>
      </w:r>
    </w:p>
    <w:p>
      <w:r>
        <w:rPr>
          <w:b w:val="0"/>
        </w:rPr>
        <w:t>Several protocols demonstrate that low governance concentration is achievable across sectors. Axelar (HHI 0.004), LayerZero (0.010), and Wormhole (0.015) in L1/L2 infrastructure; Morpheus AI (0.013) in DePIN; and Lido (0.018) in DeFi all achieve HHI below 0.02. These counterexamples demonstrate that governance concentration reflects distribution design choices, not sector constraints.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5.3 DePIN vs. DeFi Contrast</w:t>
      </w:r>
    </w:p>
    <w:p>
      <w:r>
        <w:rPr>
          <w:b w:val="0"/>
        </w:rPr>
        <w:t>DePIN protocols exhibit higher governance concentration than DeFi protocols in the expanded 40-protocol dataset (Mann-Whitney p = 0.031, Cohen’s d = 0.96). DePIN mean HHI (0.090, N=15) exceeds DeFi mean HHI (0.043, N=15). The result is sensitive to sample composition and should be characterized as suggestive rather than robust; the test remains significant in 23 of 30 leave-one-out iterations, with seven protocols individually capable of pushing the p-value above 0.052. A permutation test (10,000 random reassignments of sector labels) yields p = 0.029, confirming the direction is not an artifact of the asymptotic approximation.         </w:t>
      </w:r>
      <w:del w:id="9028" w:author="Claude" w:date="2026-04-02T00:00:00Z">
        <w:r>
          <w:delText>Formal analysis of capital-intensive networks demonstrates that even small asymmetries in operational costs produce highly concentrated market shares (Arnosti &amp; Weinberg, 2022); DePIN protocols, where fleet operators achieve lower per-unit costs than solo participants through scale economies, exhibit this oligopoly structure (Cohen’s d = 0.96 relative to DeFi).</w:delText>
        </w:r>
      </w:del>
      <w:ins w:id="9029" w:author="Claude" w:date="2026-04-02T00:00:00Z">
        <w:r>
          <w:t>In capital-intensive networks, even small cost advantages produce concentrated market shares (Arnosti &amp; Weinberg, 2022). DePIN protocols exhibit this pattern: fleet operators who deploy hundreds of devices achieve lower per-unit costs than solo participants, and the resulting scale economies are consistent with the concentration gap observed here (Cohen’s d = 0.96 relative to DeFi).</w:t>
        </w:r>
      </w:ins>
      <w:r>
        <w:t/>
      </w:r>
    </w:p>
    <w:p>
      <w:pPr>
        <w:jc w:val="center"/>
      </w:pPr>
      <w:r>
        <w:drawing xmlns:a="http://schemas.openxmlformats.org/drawingml/2006/main" xmlns:pic="http://schemas.openxmlformats.org/drawingml/2006/picture">
          <wp:inline distT="0" distB="0" distL="0" distR="0">
            <wp:extent cx="5943600" cy="4938770"/>
            <wp:docPr id="107" name="Figure 4"/>
            <a:graphic>
              <a:graphicData uri="http://schemas.openxmlformats.org/drawingml/2006/picture">
                <pic:pic>
                  <pic:nvPicPr>
                    <pic:cNvPr id="107" name="Figure 4"/>
                    <pic:cNvPicPr/>
                  </pic:nvPicPr>
                  <pic:blipFill>
                    <a:blip r:embed="rId16"/>
                    <a:stretch>
                      <a:fillRect/>
                    </a:stretch>
                  </pic:blipFill>
                  <pic:spPr>
                    <a:xfrm>
                      <a:off x="0" y="0"/>
                      <a:ext cx="5943600" cy="4938770"/>
                    </a:xfrm>
                    <a:prstGeom prst="rect">
                      <a:avLst/>
                    </a:prstGeom>
                  </pic:spPr>
                </pic:pic>
              </a:graphicData>
            </a:graphic>
          </wp:inline>
        </w:drawing>
      </w:r>
    </w:p>
    <w:p>
      <w:pPr>
        <w:jc w:val="center"/>
      </w:pPr>
      <w:r>
        <w:rPr>
          <w:i/>
          <w:sz w:val="20"/>
        </w:rPr>
        <w:t xml:space="preserve">Figure 4. Governance concentration (HHI) by sector. DePIN mean (0.090) exceeds DeFi mean (0.043), with distributions overlapping substantially: 8 of 15 DePIN protocols fall within the DeFi range. The Mann-Whitney test (p = 0.031, d = 0.96) is sensitive to sample composition (significant in 23 of 30 leave-one-out iterations).</w:t>
      </w:r>
    </w:p>
    <w:p>
      <w:r>
        <w:rPr>
          <w:b w:val="0"/>
        </w:rPr>
        <w:t xml:space="preserve">DePIN governance concentration is also significantly higher than L1/L2 infrastructure protocols (mean HHI 0.036, N=8): Welch t-test p = 0.038, Cohen’s d = 0.95; Mann-Whitney p = 0.031. This divergence between sectors is driven by the post-exclusion infrastructure mean: ARB (0.012), OP (0.042), and GRT (0.036) all have relatively distributed token holdings once foundation and bridge addresses are removed.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(r = 0.19, p = 0.25), suggesting that the distribution design channel operates through qualitative mechanisms not captured by the allocation percentage alone. The Anyone Protocol counterexample supports this interpretation: its low concentration (HHI 0.040) reflects deliberate distribution design choices that most DePIN protocols have not yet made.</w:t>
      </w:r>
    </w:p>
    <w:p>
      <w:r>
        <w:rPr>
          <w:b w:val="0"/>
        </w:rPr>
        <w:t>The distribution design explanation is consistent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del w:id="9030" w:author="Claude" w:date="2026-04-02T00:00:00Z">
        <w:r>
          <w:delText>compression</w:delText>
        </w:r>
      </w:del>
      <w:ins w:id="9031" w:author="Claude" w:date="2026-04-02T00:00:00Z">
        <w:r>
          <w:t>distribution-broadening</w:t>
        </w:r>
      </w:ins>
      <w:r>
        <w:t xml:space="preserve"> mechanisms entirely. The governance concentration patterns in Table 4 may reflect distribution mechanism design rather than sector-level differences. However, the regression null on insider allocation (Section 5.4) cautions against treating initial token allocation as a </w:t>
      </w:r>
      <w:del w:id="9032" w:author="Claude" w:date="2026-04-02T00:00:00Z">
        <w:r>
          <w:delText>sufficient statistic for</w:delText>
        </w:r>
      </w:del>
      <w:ins w:id="9033" w:author="Claude" w:date="2026-04-02T00:00:00Z">
        <w:r>
          <w:t>complete measure of</w:t>
        </w:r>
      </w:ins>
      <w:r>
        <w:t xml:space="preserve"> distribution design: compression mechanisms (sub-linear scaling, activity-based caps, delegation incentives) operate through ongoing protocol governance, not through the initial percentage split alone.</w:t>
      </w:r>
    </w:p>
    <w:p>
      <w:pPr>
        <w:pStyle w:val="Heading2"/>
      </w:pPr>
      <w:r>
        <w:t>5.4 Allocation Design and Post-Distribution Dynamics</w:t>
      </w:r>
    </w:p>
    <w:p>
      <w:r>
        <w:rPr>
          <w:b w:val="0"/>
        </w:rPr>
        <w:t>Initial token allocation design does not predict governance concentration. The percentage of total supply allocated to team and investors at launch shows no significant association with post-distribution HHI (Pearson r = 0.19, p = 0.25, N = 37; Spearman rho = 0.07, p = 0.69). This null persists across alternative specifications: token unlock progress, float-adjusted concentration, and the interaction of allocation with protocol maturity all produce coefficients indistinguishable from zero (Table 5, Models 3 through 5; Table 8 summarizes the bivariate battery).</w:t>
      </w:r>
    </w:p>
    <w:tbl>
      <w:tblPr>
        <w:tblStyle w:val="TableGrid"/>
        <w:tblW w:type="dxa" w:w="8640"/>
        <w:tblLook w:firstColumn="1" w:firstRow="1" w:lastColumn="0" w:lastRow="0" w:noHBand="0" w:noVBand="1" w:val="04A0"/>
      </w:tblPr>
      <w:tblGrid>
        <w:gridCol w:w="2520"/>
        <w:gridCol w:w="1080"/>
        <w:gridCol w:w="1080"/>
        <w:gridCol w:w="720"/>
        <w:gridCol w:w="600"/>
        <w:gridCol w:w="2640"/>
      </w:tblGrid>
      <w:tr>
        <w:tc>
          <w:tcPr>
            <w:tcW w:type="dxa" w:w="2520"/>
          </w:tcPr>
          <w:p>
            <w:r>
              <w:rPr>
                <w:b/>
              </w:rPr>
              <w:t xml:space="preserve">Covariate</w:t>
            </w:r>
          </w:p>
        </w:tc>
        <w:tc>
          <w:tcPr>
            <w:tcW w:type="dxa" w:w="1080"/>
          </w:tcPr>
          <w:p>
            <w:r>
              <w:rPr>
                <w:b/>
              </w:rPr>
              <w:t xml:space="preserve">Test</w:t>
            </w:r>
          </w:p>
        </w:tc>
        <w:tc>
          <w:tcPr>
            <w:tcW w:type="dxa" w:w="1080"/>
          </w:tcPr>
          <w:p>
            <w:r>
              <w:rPr>
                <w:b/>
              </w:rPr>
              <w:t xml:space="preserve">Statistic</w:t>
            </w:r>
          </w:p>
        </w:tc>
        <w:tc>
          <w:tcPr>
            <w:tcW w:type="dxa" w:w="720"/>
          </w:tcPr>
          <w:p>
            <w:r>
              <w:rPr>
                <w:b/>
              </w:rPr>
              <w:t xml:space="preserve">p</w:t>
            </w:r>
          </w:p>
        </w:tc>
        <w:tc>
          <w:tcPr>
            <w:tcW w:type="dxa" w:w="600"/>
          </w:tcPr>
          <w:p>
            <w:r>
              <w:rPr>
                <w:b/>
              </w:rPr>
              <w:t xml:space="preserve">N</w:t>
            </w:r>
          </w:p>
        </w:tc>
        <w:tc>
          <w:tcPr>
            <w:tcW w:type="dxa" w:w="2640"/>
          </w:tcPr>
          <w:p>
            <w:r>
              <w:rPr>
                <w:b/>
              </w:rPr>
              <w:t xml:space="preserve">Status</w:t>
            </w:r>
          </w:p>
        </w:tc>
      </w:tr>
      <w:tr>
        <w:tc>
          <w:tcPr>
            <w:tcW w:type="dxa" w:w="2520"/>
          </w:tcPr>
          <w:p>
            <w:r>
              <w:rPr/>
              <w:t xml:space="preserve">Insider allocation (%)</w:t>
            </w:r>
          </w:p>
        </w:tc>
        <w:tc>
          <w:tcPr>
            <w:tcW w:type="dxa" w:w="1080"/>
          </w:tcPr>
          <w:p>
            <w:r>
              <w:rPr/>
              <w:t xml:space="preserve">Pearson r</w:t>
            </w:r>
          </w:p>
        </w:tc>
        <w:tc>
          <w:tcPr>
            <w:tcW w:type="dxa" w:w="1080"/>
          </w:tcPr>
          <w:p>
            <w:r>
              <w:rPr/>
              <w:t xml:space="preserve">+0.19</w:t>
            </w:r>
          </w:p>
        </w:tc>
        <w:tc>
          <w:tcPr>
            <w:tcW w:type="dxa" w:w="720"/>
          </w:tcPr>
          <w:p>
            <w:r>
              <w:rPr/>
              <w:t xml:space="preserve">0.25</w:t>
            </w:r>
          </w:p>
        </w:tc>
        <w:tc>
          <w:tcPr>
            <w:tcW w:type="dxa" w:w="600"/>
          </w:tcPr>
          <w:p>
            <w:r>
              <w:rPr/>
              <w:t xml:space="preserve">37</w:t>
            </w:r>
          </w:p>
        </w:tc>
        <w:tc>
          <w:tcPr>
            <w:tcW w:type="dxa" w:w="2640"/>
          </w:tcPr>
          <w:p>
            <w:r>
              <w:rPr/>
              <w:t xml:space="preserve">Null</w:t>
            </w:r>
          </w:p>
        </w:tc>
      </w:tr>
      <w:tr>
        <w:tc>
          <w:tcPr>
            <w:tcW w:type="dxa" w:w="2520"/>
          </w:tcPr>
          <w:p>
            <w:r>
              <w:rPr/>
              <w:t xml:space="preserve">Team allocation (%)</w:t>
            </w:r>
          </w:p>
        </w:tc>
        <w:tc>
          <w:tcPr>
            <w:tcW w:type="dxa" w:w="1080"/>
          </w:tcPr>
          <w:p>
            <w:r>
              <w:rPr/>
              <w:t xml:space="preserve">Pearson r</w:t>
            </w:r>
          </w:p>
        </w:tc>
        <w:tc>
          <w:tcPr>
            <w:tcW w:type="dxa" w:w="1080"/>
          </w:tcPr>
          <w:p>
            <w:r>
              <w:rPr/>
              <w:t xml:space="preserve">−0.13</w:t>
            </w:r>
          </w:p>
        </w:tc>
        <w:tc>
          <w:tcPr>
            <w:tcW w:type="dxa" w:w="720"/>
          </w:tcPr>
          <w:p>
            <w:r>
              <w:rPr/>
              <w:t xml:space="preserve">0.46</w:t>
            </w:r>
          </w:p>
        </w:tc>
        <w:tc>
          <w:tcPr>
            <w:tcW w:type="dxa" w:w="600"/>
          </w:tcPr>
          <w:p>
            <w:r>
              <w:rPr/>
              <w:t xml:space="preserve">37</w:t>
            </w:r>
          </w:p>
        </w:tc>
        <w:tc>
          <w:tcPr>
            <w:tcW w:type="dxa" w:w="2640"/>
          </w:tcPr>
          <w:p>
            <w:r>
              <w:rPr/>
              <w:t xml:space="preserve">Null</w:t>
            </w:r>
          </w:p>
        </w:tc>
      </w:tr>
      <w:tr>
        <w:tc>
          <w:tcPr>
            <w:tcW w:type="dxa" w:w="2520"/>
          </w:tcPr>
          <w:p>
            <w:r>
              <w:rPr/>
              <w:t xml:space="preserve">Investor allocation (%)</w:t>
            </w:r>
          </w:p>
        </w:tc>
        <w:tc>
          <w:tcPr>
            <w:tcW w:type="dxa" w:w="1080"/>
          </w:tcPr>
          <w:p>
            <w:r>
              <w:rPr/>
              <w:t xml:space="preserve">Pearson r</w:t>
            </w:r>
          </w:p>
        </w:tc>
        <w:tc>
          <w:tcPr>
            <w:tcW w:type="dxa" w:w="1080"/>
          </w:tcPr>
          <w:p>
            <w:r>
              <w:rPr/>
              <w:t xml:space="preserve">+0.26</w:t>
            </w:r>
          </w:p>
        </w:tc>
        <w:tc>
          <w:tcPr>
            <w:tcW w:type="dxa" w:w="720"/>
          </w:tcPr>
          <w:p>
            <w:r>
              <w:rPr/>
              <w:t xml:space="preserve">0.14</w:t>
            </w:r>
          </w:p>
        </w:tc>
        <w:tc>
          <w:tcPr>
            <w:tcW w:type="dxa" w:w="600"/>
          </w:tcPr>
          <w:p>
            <w:r>
              <w:rPr/>
              <w:t xml:space="preserve">37</w:t>
            </w:r>
          </w:p>
        </w:tc>
        <w:tc>
          <w:tcPr>
            <w:tcW w:type="dxa" w:w="2640"/>
          </w:tcPr>
          <w:p>
            <w:r>
              <w:rPr/>
              <w:t xml:space="preserve">Null</w:t>
            </w:r>
          </w:p>
        </w:tc>
      </w:tr>
      <w:tr>
        <w:tc>
          <w:tcPr>
            <w:tcW w:type="dxa" w:w="2520"/>
          </w:tcPr>
          <w:p>
            <w:r>
              <w:rPr/>
              <w:t xml:space="preserve">Protocol maturity (years)</w:t>
            </w:r>
          </w:p>
        </w:tc>
        <w:tc>
          <w:tcPr>
            <w:tcW w:type="dxa" w:w="1080"/>
          </w:tcPr>
          <w:p>
            <w:r>
              <w:rPr/>
              <w:t xml:space="preserve">Pearson r</w:t>
            </w:r>
          </w:p>
        </w:tc>
        <w:tc>
          <w:tcPr>
            <w:tcW w:type="dxa" w:w="1080"/>
          </w:tcPr>
          <w:p>
            <w:r>
              <w:rPr/>
              <w:t xml:space="preserve">+0.12</w:t>
            </w:r>
          </w:p>
        </w:tc>
        <w:tc>
          <w:tcPr>
            <w:tcW w:type="dxa" w:w="720"/>
          </w:tcPr>
          <w:p>
            <w:r>
              <w:rPr/>
              <w:t xml:space="preserve">0.51</w:t>
            </w:r>
          </w:p>
        </w:tc>
        <w:tc>
          <w:tcPr>
            <w:tcW w:type="dxa" w:w="600"/>
          </w:tcPr>
          <w:p>
            <w:r>
              <w:rPr/>
              <w:t xml:space="preserve">37</w:t>
            </w:r>
          </w:p>
        </w:tc>
        <w:tc>
          <w:tcPr>
            <w:tcW w:type="dxa" w:w="2640"/>
          </w:tcPr>
          <w:p>
            <w:r>
              <w:rPr/>
              <w:t xml:space="preserve">Null</w:t>
            </w:r>
          </w:p>
        </w:tc>
      </w:tr>
      <w:tr>
        <w:tc>
          <w:tcPr>
            <w:tcW w:type="dxa" w:w="2520"/>
          </w:tcPr>
          <w:p>
            <w:r>
              <w:rPr/>
              <w:t xml:space="preserve">Circ/total supply ratio</w:t>
            </w:r>
          </w:p>
        </w:tc>
        <w:tc>
          <w:tcPr>
            <w:tcW w:type="dxa" w:w="1080"/>
          </w:tcPr>
          <w:p>
            <w:r>
              <w:rPr/>
              <w:t xml:space="preserve">Pearson r</w:t>
            </w:r>
          </w:p>
        </w:tc>
        <w:tc>
          <w:tcPr>
            <w:tcW w:type="dxa" w:w="1080"/>
          </w:tcPr>
          <w:p>
            <w:r>
              <w:rPr/>
              <w:t xml:space="preserve">+0.03</w:t>
            </w:r>
          </w:p>
        </w:tc>
        <w:tc>
          <w:tcPr>
            <w:tcW w:type="dxa" w:w="720"/>
          </w:tcPr>
          <w:p>
            <w:r>
              <w:rPr/>
              <w:t xml:space="preserve">0.86</w:t>
            </w:r>
          </w:p>
        </w:tc>
        <w:tc>
          <w:tcPr>
            <w:tcW w:type="dxa" w:w="600"/>
          </w:tcPr>
          <w:p>
            <w:r>
              <w:rPr/>
              <w:t xml:space="preserve">31</w:t>
            </w:r>
          </w:p>
        </w:tc>
        <w:tc>
          <w:tcPr>
            <w:tcW w:type="dxa" w:w="2640"/>
          </w:tcPr>
          <w:p>
            <w:r>
              <w:rPr/>
              <w:t xml:space="preserve">Null</w:t>
            </w:r>
          </w:p>
        </w:tc>
      </w:tr>
      <w:tr>
        <w:tc>
          <w:tcPr>
            <w:tcW w:type="dxa" w:w="2520"/>
          </w:tcPr>
          <w:p>
            <w:r>
              <w:rPr/>
              <w:t xml:space="preserve">MCap/FDV ratio</w:t>
            </w:r>
          </w:p>
        </w:tc>
        <w:tc>
          <w:tcPr>
            <w:tcW w:type="dxa" w:w="1080"/>
          </w:tcPr>
          <w:p>
            <w:r>
              <w:rPr/>
              <w:t xml:space="preserve">Pearson r</w:t>
            </w:r>
          </w:p>
        </w:tc>
        <w:tc>
          <w:tcPr>
            <w:tcW w:type="dxa" w:w="1080"/>
          </w:tcPr>
          <w:p>
            <w:r>
              <w:rPr/>
              <w:t xml:space="preserve">+0.01</w:t>
            </w:r>
          </w:p>
        </w:tc>
        <w:tc>
          <w:tcPr>
            <w:tcW w:type="dxa" w:w="720"/>
          </w:tcPr>
          <w:p>
            <w:r>
              <w:rPr/>
              <w:t xml:space="preserve">0.96</w:t>
            </w:r>
          </w:p>
        </w:tc>
        <w:tc>
          <w:tcPr>
            <w:tcW w:type="dxa" w:w="600"/>
          </w:tcPr>
          <w:p>
            <w:r>
              <w:rPr/>
              <w:t xml:space="preserve">30</w:t>
            </w:r>
          </w:p>
        </w:tc>
        <w:tc>
          <w:tcPr>
            <w:tcW w:type="dxa" w:w="2640"/>
          </w:tcPr>
          <w:p>
            <w:r>
              <w:rPr/>
              <w:t xml:space="preserve">Null</w:t>
            </w:r>
          </w:p>
        </w:tc>
      </w:tr>
      <w:tr>
        <w:tc>
          <w:tcPr>
            <w:tcW w:type="dxa" w:w="2520"/>
          </w:tcPr>
          <w:p>
            <w:r>
              <w:rPr/>
              <w:t xml:space="preserve">Exclusion-adjusted float</w:t>
            </w:r>
          </w:p>
        </w:tc>
        <w:tc>
          <w:tcPr>
            <w:tcW w:type="dxa" w:w="1080"/>
          </w:tcPr>
          <w:p>
            <w:r>
              <w:rPr/>
              <w:t xml:space="preserve">Pearson r</w:t>
            </w:r>
          </w:p>
        </w:tc>
        <w:tc>
          <w:tcPr>
            <w:tcW w:type="dxa" w:w="1080"/>
          </w:tcPr>
          <w:p>
            <w:r>
              <w:rPr/>
              <w:t xml:space="preserve">−0.003</w:t>
            </w:r>
          </w:p>
        </w:tc>
        <w:tc>
          <w:tcPr>
            <w:tcW w:type="dxa" w:w="720"/>
          </w:tcPr>
          <w:p>
            <w:r>
              <w:rPr/>
              <w:t xml:space="preserve">0.99</w:t>
            </w:r>
          </w:p>
        </w:tc>
        <w:tc>
          <w:tcPr>
            <w:tcW w:type="dxa" w:w="600"/>
          </w:tcPr>
          <w:p>
            <w:r>
              <w:rPr/>
              <w:t xml:space="preserve">30</w:t>
            </w:r>
          </w:p>
        </w:tc>
        <w:tc>
          <w:tcPr>
            <w:tcW w:type="dxa" w:w="2640"/>
          </w:tcPr>
          <w:p>
            <w:r>
              <w:rPr/>
              <w:t xml:space="preserve">Null</w:t>
            </w:r>
          </w:p>
        </w:tc>
      </w:tr>
      <w:tr>
        <w:tc>
          <w:tcPr>
            <w:tcW w:type="dxa" w:w="2520"/>
          </w:tcPr>
          <w:p>
            <w:r>
              <w:rPr/>
              <w:t xml:space="preserve">Insider count fraction (top-10)</w:t>
            </w:r>
          </w:p>
        </w:tc>
        <w:tc>
          <w:tcPr>
            <w:tcW w:type="dxa" w:w="1080"/>
          </w:tcPr>
          <w:p>
            <w:r>
              <w:rPr/>
              <w:t xml:space="preserve">Spearman ρ</w:t>
            </w:r>
          </w:p>
        </w:tc>
        <w:tc>
          <w:tcPr>
            <w:tcW w:type="dxa" w:w="1080"/>
          </w:tcPr>
          <w:p>
            <w:r>
              <w:rPr/>
              <w:t xml:space="preserve">+0.44</w:t>
            </w:r>
          </w:p>
        </w:tc>
        <w:tc>
          <w:tcPr>
            <w:tcW w:type="dxa" w:w="720"/>
          </w:tcPr>
          <w:p>
            <w:r>
              <w:rPr/>
              <w:t xml:space="preserve">0.005</w:t>
            </w:r>
          </w:p>
        </w:tc>
        <w:tc>
          <w:tcPr>
            <w:tcW w:type="dxa" w:w="600"/>
          </w:tcPr>
          <w:p>
            <w:r>
              <w:rPr/>
              <w:t xml:space="preserve">39</w:t>
            </w:r>
          </w:p>
        </w:tc>
        <w:tc>
          <w:tcPr>
            <w:tcW w:type="dxa" w:w="2640"/>
          </w:tcPr>
          <w:p>
            <w:r>
              <w:rPr/>
              <w:t xml:space="preserve">Significant*</w:t>
            </w:r>
          </w:p>
        </w:tc>
      </w:tr>
      <w:tr>
        <w:tc>
          <w:tcPr>
            <w:tcW w:type="dxa" w:w="2520"/>
          </w:tcPr>
          <w:p>
            <w:r>
              <w:rPr/>
              <w:t xml:space="preserve">Non-insider HHI, V1 (count)</w:t>
            </w:r>
          </w:p>
        </w:tc>
        <w:tc>
          <w:tcPr>
            <w:tcW w:type="dxa" w:w="1080"/>
          </w:tcPr>
          <w:p>
            <w:r>
              <w:rPr/>
              <w:t xml:space="preserve">Spearman ρ</w:t>
            </w:r>
          </w:p>
        </w:tc>
        <w:tc>
          <w:tcPr>
            <w:tcW w:type="dxa" w:w="1080"/>
          </w:tcPr>
          <w:p>
            <w:r>
              <w:rPr/>
              <w:t xml:space="preserve">+0.54</w:t>
            </w:r>
          </w:p>
        </w:tc>
        <w:tc>
          <w:tcPr>
            <w:tcW w:type="dxa" w:w="720"/>
          </w:tcPr>
          <w:p>
            <w:r>
              <w:rPr/>
              <w:t xml:space="preserve">0.001</w:t>
            </w:r>
          </w:p>
        </w:tc>
        <w:tc>
          <w:tcPr>
            <w:tcW w:type="dxa" w:w="600"/>
          </w:tcPr>
          <w:p>
            <w:r>
              <w:rPr/>
              <w:t xml:space="preserve">34</w:t>
            </w:r>
          </w:p>
        </w:tc>
        <w:tc>
          <w:tcPr>
            <w:tcW w:type="dxa" w:w="2640"/>
          </w:tcPr>
          <w:p>
            <w:r>
              <w:rPr/>
              <w:t xml:space="preserve">Tautology-checked</w:t>
            </w:r>
          </w:p>
        </w:tc>
      </w:tr>
      <w:tr>
        <w:tc>
          <w:tcPr>
            <w:tcW w:type="dxa" w:w="2520"/>
          </w:tcPr>
          <w:p>
            <w:r>
              <w:rPr/>
              <w:t xml:space="preserve">Non-insider HHI, V2 (balance)</w:t>
            </w:r>
          </w:p>
        </w:tc>
        <w:tc>
          <w:tcPr>
            <w:tcW w:type="dxa" w:w="1080"/>
          </w:tcPr>
          <w:p>
            <w:r>
              <w:rPr/>
              <w:t xml:space="preserve">Spearman ρ</w:t>
            </w:r>
          </w:p>
        </w:tc>
        <w:tc>
          <w:tcPr>
            <w:tcW w:type="dxa" w:w="1080"/>
          </w:tcPr>
          <w:p>
            <w:r>
              <w:rPr/>
              <w:t xml:space="preserve">+0.33</w:t>
            </w:r>
          </w:p>
        </w:tc>
        <w:tc>
          <w:tcPr>
            <w:tcW w:type="dxa" w:w="720"/>
          </w:tcPr>
          <w:p>
            <w:r>
              <w:rPr/>
              <w:t xml:space="preserve">0.060</w:t>
            </w:r>
          </w:p>
        </w:tc>
        <w:tc>
          <w:tcPr>
            <w:tcW w:type="dxa" w:w="600"/>
          </w:tcPr>
          <w:p>
            <w:r>
              <w:rPr/>
              <w:t xml:space="preserve">34</w:t>
            </w:r>
          </w:p>
        </w:tc>
        <w:tc>
          <w:tcPr>
            <w:tcW w:type="dxa" w:w="2640"/>
          </w:tcPr>
          <w:p>
            <w:r>
              <w:rPr/>
              <w:t xml:space="preserve">Does not survive</w:t>
            </w:r>
          </w:p>
        </w:tc>
      </w:tr>
      <w:tr>
        <w:tc>
          <w:tcPr>
            <w:tcW w:type="dxa" w:w="2520"/>
          </w:tcPr>
          <w:p>
            <w:r>
              <w:rPr/>
              <w:t xml:space="preserve">Subsidy ratio (cross-sector)</w:t>
            </w:r>
          </w:p>
        </w:tc>
        <w:tc>
          <w:tcPr>
            <w:tcW w:type="dxa" w:w="1080"/>
          </w:tcPr>
          <w:p>
            <w:r>
              <w:rPr/>
              <w:t xml:space="preserve">Pearson r</w:t>
            </w:r>
          </w:p>
        </w:tc>
        <w:tc>
          <w:tcPr>
            <w:tcW w:type="dxa" w:w="1080"/>
          </w:tcPr>
          <w:p>
            <w:r>
              <w:rPr/>
              <w:t xml:space="preserve">+0.58</w:t>
            </w:r>
          </w:p>
        </w:tc>
        <w:tc>
          <w:tcPr>
            <w:tcW w:type="dxa" w:w="720"/>
          </w:tcPr>
          <w:p>
            <w:r>
              <w:rPr/>
              <w:t xml:space="preserve">0.007</w:t>
            </w:r>
          </w:p>
        </w:tc>
        <w:tc>
          <w:tcPr>
            <w:tcW w:type="dxa" w:w="600"/>
          </w:tcPr>
          <w:p>
            <w:r>
              <w:rPr/>
              <w:t xml:space="preserve">20</w:t>
            </w:r>
          </w:p>
        </w:tc>
        <w:tc>
          <w:tcPr>
            <w:tcW w:type="dxa" w:w="2640"/>
          </w:tcPr>
          <w:p>
            <w:r>
              <w:rPr/>
              <w:t xml:space="preserve">Fragile (LPT-driven)</w:t>
            </w:r>
          </w:p>
        </w:tc>
      </w:tr>
      <w:tr>
        <w:tc>
          <w:tcPr>
            <w:tcW w:type="dxa" w:w="2520"/>
          </w:tcPr>
          <w:p>
            <w:r>
              <w:rPr/>
              <w:t xml:space="preserve">Subsidy ratio (TT expanded)</w:t>
            </w:r>
          </w:p>
        </w:tc>
        <w:tc>
          <w:tcPr>
            <w:tcW w:type="dxa" w:w="1080"/>
          </w:tcPr>
          <w:p>
            <w:r>
              <w:rPr/>
              <w:t xml:space="preserve">Pearson r</w:t>
            </w:r>
          </w:p>
        </w:tc>
        <w:tc>
          <w:tcPr>
            <w:tcW w:type="dxa" w:w="1080"/>
          </w:tcPr>
          <w:p>
            <w:r>
              <w:rPr/>
              <w:t xml:space="preserve">+0.10</w:t>
            </w:r>
          </w:p>
        </w:tc>
        <w:tc>
          <w:tcPr>
            <w:tcW w:type="dxa" w:w="720"/>
          </w:tcPr>
          <w:p>
            <w:r>
              <w:rPr/>
              <w:t xml:space="preserve">0.674</w:t>
            </w:r>
          </w:p>
        </w:tc>
        <w:tc>
          <w:tcPr>
            <w:tcW w:type="dxa" w:w="600"/>
          </w:tcPr>
          <w:p>
            <w:r>
              <w:rPr/>
              <w:t xml:space="preserve">22</w:t>
            </w:r>
          </w:p>
        </w:tc>
        <w:tc>
          <w:tcPr>
            <w:tcW w:type="dxa" w:w="2640"/>
          </w:tcPr>
          <w:p>
            <w:r>
              <w:rPr/>
              <w:t xml:space="preserve">Null (robustness check)</w:t>
            </w:r>
          </w:p>
        </w:tc>
      </w:tr>
      <w:tr>
        <w:tc>
          <w:tcPr>
            <w:tcW w:type="dxa" w:w="2520"/>
          </w:tcPr>
          <w:p>
            <w:r>
              <w:rPr/>
              <w:t xml:space="preserve">Subsidy ratio (excl. Livepeer)</w:t>
            </w:r>
          </w:p>
        </w:tc>
        <w:tc>
          <w:tcPr>
            <w:tcW w:type="dxa" w:w="1080"/>
          </w:tcPr>
          <w:p>
            <w:r>
              <w:rPr/>
              <w:t xml:space="preserve">Pearson r</w:t>
            </w:r>
          </w:p>
        </w:tc>
        <w:tc>
          <w:tcPr>
            <w:tcW w:type="dxa" w:w="1080"/>
          </w:tcPr>
          <w:p>
            <w:r>
              <w:rPr/>
              <w:t xml:space="preserve">+0.13</w:t>
            </w:r>
          </w:p>
        </w:tc>
        <w:tc>
          <w:tcPr>
            <w:tcW w:type="dxa" w:w="720"/>
          </w:tcPr>
          <w:p>
            <w:r>
              <w:rPr/>
              <w:t xml:space="preserve">0.37</w:t>
            </w:r>
          </w:p>
        </w:tc>
        <w:tc>
          <w:tcPr>
            <w:tcW w:type="dxa" w:w="600"/>
          </w:tcPr>
          <w:p>
            <w:r>
              <w:rPr/>
              <w:t xml:space="preserve">19</w:t>
            </w:r>
          </w:p>
        </w:tc>
        <w:tc>
          <w:tcPr>
            <w:tcW w:type="dxa" w:w="2640"/>
          </w:tcPr>
          <w:p>
            <w:r>
              <w:rPr/>
              <w:t xml:space="preserve">Null</w:t>
            </w:r>
          </w:p>
        </w:tc>
      </w:tr>
      <w:tr>
        <w:tc>
          <w:tcPr>
            <w:tcW w:type="dxa" w:w="2520"/>
          </w:tcPr>
          <w:p>
            <w:r>
              <w:rPr/>
              <w:t xml:space="preserve">DePIN sector (dummy)</w:t>
            </w:r>
          </w:p>
        </w:tc>
        <w:tc>
          <w:tcPr>
            <w:tcW w:type="dxa" w:w="1080"/>
          </w:tcPr>
          <w:p>
            <w:r>
              <w:rPr/>
              <w:t xml:space="preserve">Mann-Whitney</w:t>
            </w:r>
          </w:p>
        </w:tc>
        <w:tc>
          <w:tcPr>
            <w:tcW w:type="dxa" w:w="1080"/>
          </w:tcPr>
          <w:p>
            <w:r>
              <w:rPr/>
              <w:t xml:space="preserve">U=165</w:t>
            </w:r>
          </w:p>
        </w:tc>
        <w:tc>
          <w:tcPr>
            <w:tcW w:type="dxa" w:w="720"/>
          </w:tcPr>
          <w:p>
            <w:r>
              <w:rPr/>
              <w:t xml:space="preserve">0.031</w:t>
            </w:r>
          </w:p>
        </w:tc>
        <w:tc>
          <w:tcPr>
            <w:tcW w:type="dxa" w:w="600"/>
          </w:tcPr>
          <w:p>
            <w:r>
              <w:rPr/>
              <w:t xml:space="preserve">30</w:t>
            </w:r>
          </w:p>
        </w:tc>
        <w:tc>
          <w:tcPr>
            <w:tcW w:type="dxa" w:w="2640"/>
          </w:tcPr>
          <w:p>
            <w:r>
              <w:rPr/>
              <w:t xml:space="preserve">Sensitive (23/30 LOO)</w:t>
            </w:r>
          </w:p>
        </w:tc>
      </w:tr>
      <w:tr>
        <w:tc>
          <w:tcPr>
            <w:tcW w:type="dxa" w:w="2520"/>
          </w:tcPr>
          <w:p>
            <w:r>
              <w:rPr/>
              <w:t xml:space="preserve">HHI-Gini</w:t>
            </w:r>
          </w:p>
        </w:tc>
        <w:tc>
          <w:tcPr>
            <w:tcW w:type="dxa" w:w="1080"/>
          </w:tcPr>
          <w:p>
            <w:r>
              <w:rPr/>
              <w:t xml:space="preserve">Pearson r</w:t>
            </w:r>
          </w:p>
        </w:tc>
        <w:tc>
          <w:tcPr>
            <w:tcW w:type="dxa" w:w="1080"/>
          </w:tcPr>
          <w:p>
            <w:r>
              <w:rPr/>
              <w:t xml:space="preserve">+0.54</w:t>
            </w:r>
          </w:p>
        </w:tc>
        <w:tc>
          <w:tcPr>
            <w:tcW w:type="dxa" w:w="720"/>
          </w:tcPr>
          <w:p>
            <w:r>
              <w:rPr/>
              <w:t xml:space="preserve">&lt;0.001</w:t>
            </w:r>
          </w:p>
        </w:tc>
        <w:tc>
          <w:tcPr>
            <w:tcW w:type="dxa" w:w="600"/>
          </w:tcPr>
          <w:p>
            <w:r>
              <w:rPr/>
              <w:t xml:space="preserve">40</w:t>
            </w:r>
          </w:p>
        </w:tc>
        <w:tc>
          <w:tcPr>
            <w:tcW w:type="dxa" w:w="2640"/>
          </w:tcPr>
          <w:p>
            <w:r>
              <w:rPr/>
              <w:t xml:space="preserve">Significant</w:t>
            </w:r>
          </w:p>
        </w:tc>
      </w:tr>
    </w:tbl>
    <w:p>
      <w:r>
        <w:rPr>
          <w:i/>
          <w:b w:val="0"/>
        </w:rPr>
        <w:t xml:space="preserve">Table 8. Bivariate associations between protocol characteristics and governance concentration (HHI). Allocation, maturity, and float specifications are null. Insider wallet presence is significant but the balance-based measure does not survive a tautology check (Section 5.4). Subsidy is significant in levels but driven entirely by Livepeer (Section 5.7). * LOO-robust (39/39).</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w:t>
      </w:r>
    </w:p>
    <w:p>
      <w:r>
        <w:rPr>
          <w:b w:val="0"/>
        </w:rPr>
        <w:t>Protocols whose insider wallets retain top-holder positions tend to exhibit higher governance concentration (Spearman rho = 0.44, p = 0.005, N = 39), robust across all 39 leave-one-out iterations (rho range: 0.41 to 0.50).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Protocols whose insiders retain their positions produce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del w:id="9034" w:author="Claude" w:date="2026-04-02T00:00:00Z">
        <w:r>
          <w:delText>an ecosystem-level concentration effect rather than a purely mechanical one.</w:delText>
        </w:r>
      </w:del>
      <w:ins w:id="9035" w:author="Claude" w:date="2026-04-02T00:00:00Z">
        <w:r>
          <w:t>a pattern where concentrated insider presence attracts or coexists with concentrated non-insider holders, rather than insider balances alone inflating the metric.</w:t>
        </w:r>
      </w:ins>
      <w:r>
        <w:t/>
      </w:r>
    </w:p>
    <w:p>
      <w:pPr>
        <w:jc w:val="center"/>
      </w:pPr>
      <w:r>
        <w:drawing xmlns:a="http://schemas.openxmlformats.org/drawingml/2006/main" xmlns:pic="http://schemas.openxmlformats.org/drawingml/2006/picture">
          <wp:inline distT="0" distB="0" distL="0" distR="0">
            <wp:extent cx="5029200" cy="3017520"/>
            <wp:docPr id="104" name="Figure 5"/>
            <a:graphic>
              <a:graphicData uri="http://schemas.openxmlformats.org/drawingml/2006/picture">
                <pic:pic>
                  <pic:nvPicPr>
                    <pic:cNvPr id="104" name="Figure 5"/>
                    <pic:cNvPicPr/>
                  </pic:nvPicPr>
                  <pic:blipFill>
                    <a:blip r:embed="rId12"/>
                    <a:stretch>
                      <a:fillRect/>
                    </a:stretch>
                  </pic:blipFill>
                  <pic:spPr>
                    <a:xfrm>
                      <a:off x="0" y="0"/>
                      <a:ext cx="5029200" cy="3017520"/>
                    </a:xfrm>
                    <a:prstGeom prst="rect">
                      <a:avLst/>
                    </a:prstGeom>
                  </pic:spPr>
                </pic:pic>
              </a:graphicData>
            </a:graphic>
          </wp:inline>
        </w:drawing>
      </w:r>
    </w:p>
    <w:p>
      <w:pPr>
        <w:jc w:val="center"/>
      </w:pPr>
      <w:r>
        <w:rPr>
          <w:i/>
          <w:sz w:val="20"/>
        </w:rPr>
        <w:t xml:space="preserve">Figure 5. Insider allocation (%) vs. corrected holding HHI for 37 regression-ready protocols. The null relationship (r = 0.19, p = 0.25) is the paper’s lead finding: initial allocation design does not predict post-distribution governance concentration.</w:t>
      </w:r>
    </w:p>
    <w:p>
      <w:ins w:id="9001" w:author="Claude" w:date="2026-04-01T00:00:00Z">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second-lowest in the DeFi subsample, after Compound (0.003). Despite the most community-favorable distribution architecture in the sample, Hyperliquid’s governance concentration is indistinguishable from the DeFi mean (0.043), consistent with the finding that allocation design does not predict post-distribution concentration.</w:t>
        </w:r>
      </w:ins>
    </w:p>
    <w:p>
      <w:r>
        <w:rPr>
          <w:b w:val="0"/>
        </w:rPr>
        <w:t>This contrast has normative significance beyond descriptive interest. The theoretical framework (Section 3) argues that governance concentration affects legitimacy through multiple channels: publicity (Hypothesis 3.1)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3.2)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Heading2"/>
      </w:pPr>
      <w:r>
        <w:t xml:space="preserve">5.5 Voting Power vs Holding Concentration</w:t>
      </w:r>
    </w:p>
    <w:p>
      <w:pPr>
        <w:pStyle w:val="Normal"/>
      </w:pPr>
      <w:r>
        <w:t xml:space="preserve">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6 reports the holding-voting HHI gap. The delegation amplification ratio (voting HHI divided by holding HHI) reveals a sector-dependent pattern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xmlns:a="http://schemas.openxmlformats.org/drawingml/2006/main" xmlns:pic="http://schemas.openxmlformats.org/drawingml/2006/picture">
          <wp:inline distT="0" distB="0" distL="0" distR="0">
            <wp:extent cx="5029200" cy="2514600"/>
            <wp:docPr id="105" name="Figure 6"/>
            <a:graphic>
              <a:graphicData uri="http://schemas.openxmlformats.org/drawingml/2006/picture">
                <pic:pic>
                  <pic:nvPicPr>
                    <pic:cNvPr id="105" name="Figure 6"/>
                    <pic:cNvPicPr/>
                  </pic:nvPicPr>
                  <pic:blipFill>
                    <a:blip r:embed="rId13"/>
                    <a:stretch>
                      <a:fillRect/>
                    </a:stretch>
                  </pic:blipFill>
                  <pic:spPr>
                    <a:xfrm>
                      <a:off x="0" y="0"/>
                      <a:ext cx="5029200" cy="2514600"/>
                    </a:xfrm>
                    <a:prstGeom prst="rect">
                      <a:avLst/>
                    </a:prstGeom>
                  </pic:spPr>
                </pic:pic>
              </a:graphicData>
            </a:graphic>
          </wp:inline>
        </w:drawing>
      </w:r>
    </w:p>
    <w:p>
      <w:pPr>
        <w:jc w:val="center"/>
      </w:pPr>
      <w:r>
        <w:rPr>
          <w:i/>
          <w:sz w:val="20"/>
        </w:rPr>
        <w:t xml:space="preserve">Figure 6. Raw holding HHI vs. delegation-adjusted HHI for five Tally-sourced protocols.</w:t>
      </w:r>
    </w:p>
    <w:p>
      <w:pPr>
        <w:pStyle w:val="Normal"/>
      </w:pPr>
      <w:r>
        <w:t xml:space="preserve">Figure 6 compares raw and delegation-adjusted HHI for five Tally-sourced protocols.</w:t>
      </w:r>
    </w:p>
    <w:p>
      <w:pPr>
        <w:pStyle w:val="Normal"/>
      </w:pPr>
      <w:r>
        <w:t xml:space="preserve">DeFi protocols show a mixed pattern. Lido exhibits substantial amplification (4.8 times), consistent with its known delegate concentration. Compound shows moderate amplification (1.9 times). Aave is roughly neutral (1.3 times). Uniswap shows mild distribution through delegation (0.67 times), suggesting its active delegate ecosystem partially decompresses governance power.</w:t>
      </w:r>
    </w:p>
    <w:p>
      <w:pPr>
        <w:pStyle w:val="Normal"/>
      </w:pPr>
      <w:r>
        <w:t xml:space="preserve">Infrastructure protocols show the reverse pattern: delegation distributes rather than concentrates. Optimism’s voting HHI (0.033) is 0.27 times its holding HHI (0.121), and Arbitrum’s (0.052) is 0.54 times its holding HHI (0.097). Both protocols have invested heavily in delegate programs, compensated delegation, and constitutional governance structures that effectively distribute voting power beyond holding concentration.</w:t>
      </w:r>
    </w:p>
    <w:p>
      <w:pPr>
        <w:pStyle w:val="Normal"/>
      </w:pPr>
      <w:r>
        <w:t xml:space="preserve">The delegation amplification finding reintroduces a sector-dependent pattern that the holding data alone did not support. While holding concentration is sector-invariant (Section 5.3), delegation amplification is not: DePIN protocols concentrate governance power through delegation at rates 3 to 6 times higher than their holding concentration, while infrastructure protocols achieve the opposite. This pattern is consistent with differences in governance infrastructure maturity. The amplification ratio carries greater welfare consequences for DePIN than for DeFi because DePIN operators face higher exit costs. Hardware deployed for one network cannot be redeployed to a competing protocol the way liquidity can be moved between DeFi pools, making voice mechanisms (governance participation, appeals, delegation) the primary channel for expressing dissatisfaction when governance outcomes are unfavorable.</w:t>
      </w:r>
    </w:p>
    <w:p>
      <w:pPr>
        <w:pStyle w:val="Normal"/>
      </w:pPr>
      <w:r>
        <w:t xml:space="preserve">Table 6. 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tbl>
      <w:tblPr>
        <w:tblStyle w:val="TableGrid"/>
        <w:tblW w:w="0" w:type="auto"/>
      </w:tblPr>
      <w:tblGrid>
        <w:gridCol/>
        <w:gridCol/>
        <w:gridCol/>
        <w:gridCol/>
        <w:gridCol/>
        <w:gridCol/>
      </w:tblGrid>
      <w:tr>
        <w:tc>
          <w:tcPr/>
          <w:p>
            <w:r>
              <w:rPr>
                <w:b/>
                <w:sz w:val="20"/>
              </w:rPr>
              <w:t xml:space="preserve">Protocol</w:t>
            </w:r>
          </w:p>
        </w:tc>
        <w:tc>
          <w:tcPr/>
          <w:p>
            <w:r>
              <w:rPr>
                <w:b/>
                <w:sz w:val="20"/>
              </w:rPr>
              <w:t xml:space="preserve">Category</w:t>
            </w:r>
          </w:p>
        </w:tc>
        <w:tc>
          <w:tcPr/>
          <w:p>
            <w:r>
              <w:rPr>
                <w:b/>
                <w:sz w:val="20"/>
              </w:rPr>
              <w:t xml:space="preserve">Holding HHI</w:t>
            </w:r>
          </w:p>
        </w:tc>
        <w:tc>
          <w:tcPr/>
          <w:p>
            <w:r>
              <w:rPr>
                <w:b/>
                <w:sz w:val="20"/>
              </w:rPr>
              <w:t xml:space="preserve">Voting HHI</w:t>
            </w:r>
          </w:p>
        </w:tc>
        <w:tc>
          <w:tcPr/>
          <w:p>
            <w:r>
              <w:rPr>
                <w:b/>
                <w:sz w:val="20"/>
              </w:rPr>
              <w:t xml:space="preserve">Ratio</w:t>
            </w:r>
          </w:p>
        </w:tc>
        <w:tc>
          <w:tcPr/>
          <w:p>
            <w:r>
              <w:rPr>
                <w:b/>
                <w:sz w:val="20"/>
              </w:rPr>
              <w:t xml:space="preserve">Source</w:t>
            </w:r>
          </w:p>
        </w:tc>
      </w:tr>
      <w:tr>
        <w:tc>
          <w:tcPr/>
          <w:p>
            <w:r>
              <w:rPr>
                <w:sz w:val="20"/>
              </w:rPr>
              <w:t xml:space="preserve">DIMO</w:t>
            </w:r>
          </w:p>
        </w:tc>
        <w:tc>
          <w:tcPr/>
          <w:p>
            <w:r>
              <w:rPr>
                <w:sz w:val="20"/>
              </w:rPr>
              <w:t xml:space="preserve">DePIN</w:t>
            </w:r>
          </w:p>
        </w:tc>
        <w:tc>
          <w:tcPr/>
          <w:p>
            <w:r>
              <w:rPr>
                <w:sz w:val="20"/>
              </w:rPr>
              <w:t xml:space="preserve">0.038</w:t>
            </w:r>
          </w:p>
        </w:tc>
        <w:tc>
          <w:tcPr/>
          <w:p>
            <w:r>
              <w:rPr>
                <w:sz w:val="20"/>
              </w:rPr>
              <w:t xml:space="preserve">0.228</w:t>
            </w:r>
          </w:p>
        </w:tc>
        <w:tc>
          <w:tcPr/>
          <w:p>
            <w:r>
              <w:rPr>
                <w:sz w:val="20"/>
              </w:rPr>
              <w:t xml:space="preserve">6.0x</w:t>
            </w:r>
          </w:p>
        </w:tc>
        <w:tc>
          <w:tcPr/>
          <w:p>
            <w:r>
              <w:rPr>
                <w:sz w:val="20"/>
              </w:rPr>
              <w:t xml:space="preserve">Snapshot</w:t>
            </w:r>
          </w:p>
        </w:tc>
      </w:tr>
      <w:tr>
        <w:tc>
          <w:tcPr/>
          <w:p>
            <w:r>
              <w:rPr>
                <w:sz w:val="20"/>
              </w:rPr>
              <w:t xml:space="preserve">Lido</w:t>
            </w:r>
          </w:p>
        </w:tc>
        <w:tc>
          <w:tcPr/>
          <w:p>
            <w:r>
              <w:rPr>
                <w:sz w:val="20"/>
              </w:rPr>
              <w:t xml:space="preserve">DeFi</w:t>
            </w:r>
          </w:p>
        </w:tc>
        <w:tc>
          <w:tcPr/>
          <w:p>
            <w:r>
              <w:rPr>
                <w:sz w:val="20"/>
              </w:rPr>
              <w:t xml:space="preserve">0.018</w:t>
            </w:r>
          </w:p>
        </w:tc>
        <w:tc>
          <w:tcPr/>
          <w:p>
            <w:r>
              <w:rPr>
                <w:sz w:val="20"/>
              </w:rPr>
              <w:t xml:space="preserve">0.088</w:t>
            </w:r>
          </w:p>
        </w:tc>
        <w:tc>
          <w:tcPr/>
          <w:p>
            <w:r>
              <w:rPr>
                <w:sz w:val="20"/>
              </w:rPr>
              <w:t xml:space="preserve">4.8x</w:t>
            </w:r>
          </w:p>
        </w:tc>
        <w:tc>
          <w:tcPr/>
          <w:p>
            <w:r>
              <w:rPr>
                <w:sz w:val="20"/>
              </w:rPr>
              <w:t xml:space="preserve">Snapshot</w:t>
            </w:r>
          </w:p>
        </w:tc>
      </w:tr>
      <w:tr>
        <w:tc>
          <w:tcPr/>
          <w:p>
            <w:r>
              <w:rPr>
                <w:sz w:val="20"/>
              </w:rPr>
              <w:t xml:space="preserve">WeatherXM</w:t>
            </w:r>
          </w:p>
        </w:tc>
        <w:tc>
          <w:tcPr/>
          <w:p>
            <w:r>
              <w:rPr>
                <w:sz w:val="20"/>
              </w:rPr>
              <w:t xml:space="preserve">DePIN</w:t>
            </w:r>
          </w:p>
        </w:tc>
        <w:tc>
          <w:tcPr/>
          <w:p>
            <w:r>
              <w:rPr>
                <w:sz w:val="20"/>
              </w:rPr>
              <w:t xml:space="preserve">0.148</w:t>
            </w:r>
          </w:p>
        </w:tc>
        <w:tc>
          <w:tcPr/>
          <w:p>
            <w:r>
              <w:rPr>
                <w:sz w:val="20"/>
              </w:rPr>
              <w:t xml:space="preserve">0.486</w:t>
            </w:r>
          </w:p>
        </w:tc>
        <w:tc>
          <w:tcPr/>
          <w:p>
            <w:r>
              <w:rPr>
                <w:sz w:val="20"/>
              </w:rPr>
              <w:t xml:space="preserve">3.3x</w:t>
            </w:r>
          </w:p>
        </w:tc>
        <w:tc>
          <w:tcPr/>
          <w:p>
            <w:r>
              <w:rPr>
                <w:sz w:val="20"/>
              </w:rPr>
              <w:t xml:space="preserve">Snapshot</w:t>
            </w:r>
          </w:p>
        </w:tc>
      </w:tr>
      <w:tr>
        <w:tc>
          <w:tcPr/>
          <w:p>
            <w:r>
              <w:rPr>
                <w:sz w:val="20"/>
              </w:rPr>
              <w:t xml:space="preserve">Compound</w:t>
            </w:r>
          </w:p>
        </w:tc>
        <w:tc>
          <w:tcPr/>
          <w:p>
            <w:r>
              <w:rPr>
                <w:sz w:val="20"/>
              </w:rPr>
              <w:t xml:space="preserve">DeFi</w:t>
            </w:r>
          </w:p>
        </w:tc>
        <w:tc>
          <w:tcPr/>
          <w:p>
            <w:r>
              <w:rPr>
                <w:sz w:val="20"/>
              </w:rPr>
              <w:t xml:space="preserve">0.028</w:t>
            </w:r>
          </w:p>
        </w:tc>
        <w:tc>
          <w:tcPr/>
          <w:p>
            <w:r>
              <w:rPr>
                <w:sz w:val="20"/>
              </w:rPr>
              <w:t xml:space="preserve">0.053</w:t>
            </w:r>
          </w:p>
        </w:tc>
        <w:tc>
          <w:tcPr/>
          <w:p>
            <w:r>
              <w:rPr>
                <w:sz w:val="20"/>
              </w:rPr>
              <w:t xml:space="preserve">1.9x</w:t>
            </w:r>
          </w:p>
        </w:tc>
        <w:tc>
          <w:tcPr/>
          <w:p>
            <w:r>
              <w:rPr>
                <w:sz w:val="20"/>
              </w:rPr>
              <w:t xml:space="preserve">Tally</w:t>
            </w:r>
          </w:p>
        </w:tc>
      </w:tr>
      <w:tr>
        <w:tc>
          <w:tcPr/>
          <w:p>
            <w:r>
              <w:rPr>
                <w:sz w:val="20"/>
              </w:rPr>
              <w:t xml:space="preserve">Aave</w:t>
            </w:r>
          </w:p>
        </w:tc>
        <w:tc>
          <w:tcPr/>
          <w:p>
            <w:r>
              <w:rPr>
                <w:sz w:val="20"/>
              </w:rPr>
              <w:t xml:space="preserve">DeFi</w:t>
            </w:r>
          </w:p>
        </w:tc>
        <w:tc>
          <w:tcPr/>
          <w:p>
            <w:r>
              <w:rPr>
                <w:sz w:val="20"/>
              </w:rPr>
              <w:t>0.020</w:t>
            </w:r>
          </w:p>
        </w:tc>
        <w:tc>
          <w:tcPr/>
          <w:p>
            <w:r>
              <w:rPr>
                <w:sz w:val="20"/>
              </w:rPr>
              <w:t xml:space="preserve">0.076</w:t>
            </w:r>
          </w:p>
        </w:tc>
        <w:tc>
          <w:tcPr/>
          <w:p>
            <w:r>
              <w:rPr>
                <w:sz w:val="20"/>
              </w:rPr>
              <w:t>3.8x</w:t>
            </w:r>
          </w:p>
        </w:tc>
        <w:tc>
          <w:tcPr/>
          <w:p>
            <w:r>
              <w:rPr>
                <w:sz w:val="20"/>
              </w:rPr>
              <w:t xml:space="preserve">Tally</w:t>
            </w:r>
          </w:p>
        </w:tc>
      </w:tr>
      <w:tr>
        <w:tc>
          <w:tcPr/>
          <w:p>
            <w:r>
              <w:rPr>
                <w:sz w:val="20"/>
              </w:rPr>
              <w:t xml:space="preserve">Uniswap</w:t>
            </w:r>
          </w:p>
        </w:tc>
        <w:tc>
          <w:tcPr/>
          <w:p>
            <w:r>
              <w:rPr>
                <w:sz w:val="20"/>
              </w:rPr>
              <w:t xml:space="preserve">DeFi</w:t>
            </w:r>
          </w:p>
        </w:tc>
        <w:tc>
          <w:tcPr/>
          <w:p>
            <w:r>
              <w:rPr>
                <w:sz w:val="20"/>
              </w:rPr>
              <w:t>0.032</w:t>
            </w:r>
          </w:p>
        </w:tc>
        <w:tc>
          <w:tcPr/>
          <w:p>
            <w:r>
              <w:rPr>
                <w:sz w:val="20"/>
              </w:rPr>
              <w:t xml:space="preserve">0.068</w:t>
            </w:r>
          </w:p>
        </w:tc>
        <w:tc>
          <w:tcPr/>
          <w:p>
            <w:r>
              <w:rPr>
                <w:sz w:val="20"/>
              </w:rPr>
              <w:t>2.1x</w:t>
            </w:r>
          </w:p>
        </w:tc>
        <w:tc>
          <w:tcPr/>
          <w:p>
            <w:r>
              <w:rPr>
                <w:sz w:val="20"/>
              </w:rPr>
              <w:t xml:space="preserve">Tally</w:t>
            </w:r>
          </w:p>
        </w:tc>
      </w:tr>
      <w:tr>
        <w:tc>
          <w:tcPr/>
          <w:p>
            <w:r>
              <w:rPr>
                <w:sz w:val="20"/>
              </w:rPr>
              <w:t xml:space="preserve">Arbitrum</w:t>
            </w:r>
          </w:p>
        </w:tc>
        <w:tc>
          <w:tcPr/>
          <w:p>
            <w:r>
              <w:rPr>
                <w:sz w:val="20"/>
              </w:rPr>
              <w:t xml:space="preserve">Infra</w:t>
            </w:r>
          </w:p>
        </w:tc>
        <w:tc>
          <w:tcPr/>
          <w:p>
            <w:r>
              <w:rPr>
                <w:sz w:val="20"/>
              </w:rPr>
              <w:t>0.012</w:t>
            </w:r>
          </w:p>
        </w:tc>
        <w:tc>
          <w:tcPr/>
          <w:p>
            <w:r>
              <w:rPr>
                <w:sz w:val="20"/>
              </w:rPr>
              <w:t xml:space="preserve">0.052</w:t>
            </w:r>
          </w:p>
        </w:tc>
        <w:tc>
          <w:tcPr/>
          <w:p>
            <w:r>
              <w:rPr>
                <w:sz w:val="20"/>
              </w:rPr>
              <w:t>4.3x</w:t>
            </w:r>
          </w:p>
        </w:tc>
        <w:tc>
          <w:tcPr/>
          <w:p>
            <w:r>
              <w:rPr>
                <w:sz w:val="20"/>
              </w:rPr>
              <w:t xml:space="preserve">Tally</w:t>
            </w:r>
          </w:p>
        </w:tc>
      </w:tr>
      <w:tr>
        <w:tc>
          <w:tcPr/>
          <w:p>
            <w:r>
              <w:rPr>
                <w:sz w:val="20"/>
              </w:rPr>
              <w:t xml:space="preserve">Optimism</w:t>
            </w:r>
          </w:p>
        </w:tc>
        <w:tc>
          <w:tcPr/>
          <w:p>
            <w:r>
              <w:rPr>
                <w:sz w:val="20"/>
              </w:rPr>
              <w:t xml:space="preserve">Infra</w:t>
            </w:r>
          </w:p>
        </w:tc>
        <w:tc>
          <w:tcPr/>
          <w:p>
            <w:r>
              <w:rPr>
                <w:sz w:val="20"/>
              </w:rPr>
              <w:t>0.042</w:t>
            </w:r>
          </w:p>
        </w:tc>
        <w:tc>
          <w:tcPr/>
          <w:p>
            <w:r>
              <w:rPr>
                <w:sz w:val="20"/>
              </w:rPr>
              <w:t xml:space="preserve">0.033</w:t>
            </w:r>
          </w:p>
        </w:tc>
        <w:tc>
          <w:tcPr/>
          <w:p>
            <w:r>
              <w:rPr>
                <w:sz w:val="20"/>
              </w:rPr>
              <w:t>0.79x</w:t>
            </w:r>
          </w:p>
        </w:tc>
        <w:tc>
          <w:tcPr/>
          <w:p>
            <w:r>
              <w:rPr>
                <w:sz w:val="20"/>
              </w:rPr>
              <w:t xml:space="preserve">Tally</w:t>
            </w:r>
          </w:p>
        </w:tc>
      </w:tr>
    </w:tbl>
    <w:p>
      <w:pPr>
        <w:pStyle w:val="Heading2"/>
      </w:pPr>
      <w:r>
        <w:t>5.6 Hypothesis Evidence Status</w:t>
      </w:r>
    </w:p>
    <w:p>
      <w:r>
        <w:rPr>
          <w:b w:val="0"/>
        </w:rPr>
        <w:t>Most design hypotheses find at least partial empirical support in the governance data (Table 5). Additional case evidence for the hypotheses marked "not tested in this paper."</w:t>
      </w:r>
    </w:p>
    <w:tbl>
      <w:tblPr>
        <w:tblStyle w:val="TableGrid"/>
        <w:tblW w:type="dxa" w:w="8640"/>
        <w:tblLook w:firstColumn="1" w:firstRow="1" w:lastColumn="0" w:lastRow="0" w:noHBand="0" w:noVBand="1" w:val="04A0"/>
      </w:tblPr>
      <w:tblGrid>
        <w:gridCol w:w="2160"/>
        <w:gridCol w:w="1800"/>
        <w:gridCol w:w="1440"/>
        <w:gridCol w:w="3240"/>
      </w:tblGrid>
      <w:tr>
        <w:tc>
          <w:tcPr>
            <w:tcW w:type="dxa" w:w="2160"/>
          </w:tcPr>
          <w:p>
            <w:r>
              <w:rPr>
                <w:b/>
              </w:rPr>
              <w:t>Hypothesis</w:t>
            </w:r>
          </w:p>
        </w:tc>
        <w:tc>
          <w:tcPr>
            <w:tcW w:type="dxa" w:w="1800"/>
          </w:tcPr>
          <w:p>
            <w:r>
              <w:rPr>
                <w:b/>
              </w:rPr>
              <w:t>Evidence (this paper)</w:t>
            </w:r>
          </w:p>
        </w:tc>
        <w:tc>
          <w:tcPr>
            <w:tcW w:type="dxa" w:w="1440"/>
          </w:tcPr>
          <w:p>
            <w:r>
              <w:rPr>
                <w:b/>
              </w:rPr>
              <w:t>Verdict</w:t>
            </w:r>
          </w:p>
        </w:tc>
        <w:tc>
          <w:tcPr>
            <w:tcW w:type="dxa" w:w="3240"/>
          </w:tcPr>
          <w:p>
            <w:r>
              <w:rPr>
                <w:b/>
              </w:rPr>
              <w:t>Notes</w:t>
            </w:r>
          </w:p>
        </w:tc>
        <w:trPr>
          <w:tblHeader/>
        </w:trPr>
      </w:tr>
      <w:tr>
        <w:tc>
          <w:tcPr>
            <w:tcW w:type="dxa" w:w="2160"/>
          </w:tcPr>
          <w:p>
            <w:r>
              <w:t>H3.1 Publicity-Legitimacy</w:t>
            </w:r>
          </w:p>
        </w:tc>
        <w:tc>
          <w:tcPr>
            <w:tcW w:type="dxa" w:w="1800"/>
          </w:tcPr>
          <w:p>
            <w:r>
              <w:t>Quant (HHI cross-section)</w:t>
            </w:r>
          </w:p>
        </w:tc>
        <w:tc>
          <w:tcPr>
            <w:tcW w:type="dxa" w:w="1440"/>
          </w:tcPr>
          <w:p>
            <w:r>
              <w:t>Descriptive (concentration data consistent with publicity concerns; deliberation-quality metrics not collected)</w:t>
            </w:r>
          </w:p>
        </w:tc>
        <w:tc>
          <w:tcPr>
            <w:tcW w:type="dxa" w:w="3240"/>
          </w:tcPr>
          <w:p>
            <w:r>
              <w:t>HHI measures domination potential; deliberation-quality metrics not collected</w:t>
            </w:r>
          </w:p>
        </w:tc>
      </w:tr>
      <w:tr>
        <w:tc>
          <w:tcPr>
            <w:tcW w:type="dxa" w:w="2160"/>
          </w:tcPr>
          <w:p>
            <w:r>
              <w:t>H3.2 Contestability – Non-Domination</w:t>
            </w:r>
          </w:p>
        </w:tc>
        <w:tc>
          <w:tcPr>
            <w:tcW w:type="dxa" w:w="1800"/>
          </w:tcPr>
          <w:p>
            <w:r>
              <w:t>Quant (HHI cross-section)</w:t>
            </w:r>
          </w:p>
        </w:tc>
        <w:tc>
          <w:tcPr>
            <w:tcW w:type="dxa" w:w="1440"/>
          </w:tcPr>
          <w:p>
            <w:r>
              <w:t>Descriptive (HHI consistent with domination risk)</w:t>
            </w:r>
          </w:p>
        </w:tc>
        <w:tc>
          <w:tcPr>
            <w:tcW w:type="dxa" w:w="3240"/>
          </w:tcPr>
          <w:p>
            <w:r>
              <w:t>HHI &gt; 0.25 consistent with domination risk; testing contestation requires mechanism-level inventory</w:t>
            </w:r>
          </w:p>
        </w:tc>
      </w:tr>
      <w:tr>
        <w:tc>
          <w:tcPr>
            <w:tcW w:type="dxa" w:w="2160"/>
          </w:tcPr>
          <w:p>
            <w:r>
              <w:t>H3.3 Sinks Before Faucets</w:t>
            </w:r>
          </w:p>
        </w:tc>
        <w:tc>
          <w:tcPr>
            <w:tcW w:type="dxa" w:w="1800"/>
          </w:tcPr>
          <w:p>
            <w:r>
              <w:t>Not directly tested</w:t>
            </w:r>
          </w:p>
        </w:tc>
        <w:tc>
          <w:tcPr>
            <w:tcW w:type="dxa" w:w="1440"/>
          </w:tcPr>
          <w:p>
            <w:r>
              <w:t>Descriptive only</w:t>
            </w:r>
          </w:p>
        </w:tc>
        <w:tc>
          <w:tcPr>
            <w:tcW w:type="dxa" w:w="3240"/>
          </w:tcPr>
          <w:p>
            <w:r>
              <w:t>Fiscal sustainability not instrumentable with cross-sectional governance data; requires burn/emission flow analysis</w:t>
            </w:r>
          </w:p>
        </w:tc>
      </w:tr>
      <w:tr>
        <w:tc>
          <w:tcPr>
            <w:tcW w:type="dxa" w:w="2160"/>
          </w:tcPr>
          <w:p>
            <w:r>
              <w:t>H3.4 Service over Presence</w:t>
            </w:r>
          </w:p>
        </w:tc>
        <w:tc>
          <w:tcPr>
            <w:tcW w:type="dxa" w:w="1800"/>
          </w:tcPr>
          <w:p>
            <w:r>
              <w:t>Not directly tested</w:t>
            </w:r>
          </w:p>
        </w:tc>
        <w:tc>
          <w:tcPr>
            <w:tcW w:type="dxa" w:w="1440"/>
          </w:tcPr>
          <w:p>
            <w:r>
              <w:t>Indirect</w:t>
            </w:r>
          </w:p>
        </w:tc>
        <w:tc>
          <w:tcPr>
            <w:tcW w:type="dxa" w:w="3240"/>
          </w:tcPr>
          <w:p>
            <w:r>
              <w:t>DePIN-specific; requires operational data (proof-of-coverage, service quality) not available in governance snapshots</w:t>
            </w:r>
          </w:p>
        </w:tc>
      </w:tr>
      <w:tr>
        <w:tc>
          <w:tcPr>
            <w:tcW w:type="dxa" w:w="2160"/>
          </w:tcPr>
          <w:p>
            <w:r>
              <w:t>H3.5 Polycentric Adaptation</w:t>
            </w:r>
          </w:p>
        </w:tc>
        <w:tc>
          <w:tcPr>
            <w:tcW w:type="dxa" w:w="1800"/>
          </w:tcPr>
          <w:p>
            <w:r>
              <w:t>Indirect</w:t>
            </w:r>
          </w:p>
        </w:tc>
        <w:tc>
          <w:tcPr>
            <w:tcW w:type="dxa" w:w="1440"/>
          </w:tcPr>
          <w:p>
            <w:r>
              <w:t>Indirect</w:t>
            </w:r>
          </w:p>
        </w:tc>
        <w:tc>
          <w:tcPr>
            <w:tcW w:type="dxa" w:w="3240"/>
          </w:tcPr>
          <w:p>
            <w:r>
              <w:t>HHI does not measure polycentric structure; delegation patterns and council arrangements may reduce effective concentration</w:t>
            </w:r>
          </w:p>
        </w:tc>
      </w:tr>
    </w:tbl>
    <w:p>
      <w:r>
        <w:rPr/>
        <w:t>Evidence grades: Quant = computed from the governance concentration cross-section (this paper, N=13). Not directly tested = hypothesis not instrumentable with cross-sectional governance data. Not measured = data not instrumentable in current sample. Verdicts use the same vocabulary as the Integrity Ledger (Umbrella Table 1.1).</w:t>
      </w:r>
    </w:p>
    <w:p>
      <w:r>
        <w:rPr>
          <w:b w:val="0"/>
          <w:i/>
        </w:rPr>
        <w:t>Table 5. Design hypothesis evidence status.</w:t>
      </w:r>
    </w:p>
    <w:p>
      <w:r>
        <w:rPr>
          <w:b w:val="0"/>
        </w:rPr>
        <w:t>The governance concentration data (Table 4) provide descriptive evidence bearing on Hypotheses 3.1 (publicity-legitimacy) and 3.2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supporting the hypothesis that concentration reflects distribution design rather than structural necessity. Hypotheses 3.3 through 3.5 are not directly tested with the governance concentration data in this paper and require additional evidence (fiscal flow analysis, operational telemetry, and polycentric structure mapping respectively).</w:t>
      </w:r>
    </w:p>
    <w:p>
      <w:r>
        <w:t>5.7 Robustness: Leave-One-Out Sensitivity</w:t>
      </w:r>
    </w:p>
    <w:p>
      <w:r>
        <w:rPr>
          <w:b w:val="0"/>
        </w:rPr>
        <w:t>We assess the stability of each significant finding through leave-one-out analysis, sequentially dropping each protocol and recomputing the test statistic.</w:t>
      </w:r>
    </w:p>
    <w:p>
      <w:r>
        <w:rPr>
          <w:b w:val="0"/>
        </w:rPr>
        <w:t>The insider concentration relationship (Spearman rho = 0.44, p = 0.005) is robust: it remains significant across all 39 single-protocol exclusions, with rho ranging from 0.41 to 0.50 and p-values from 0.001 to 0.011. Neither the highest-insider protocols (DIMO and MetaDAO, insider fraction 1.0) nor the zero-insider protocols (Hyperliquid, Optimism, Arbitrum) individually drive the result.</w:t>
      </w:r>
    </w:p>
    <w:p>
      <w:r>
        <w:rPr>
          <w:b w:val="0"/>
        </w:rPr>
        <w:t>A separate tautology check addresses the concern that insider wallets contribute mechanically to HHI through the squared-share calculation. After excluding insider addresses and renormalizing, the count-based insider measure retains significance against non-insider HHI (Spearman rho = 0.54, p = 0.001, N = 34), while the balance-based measure becomes marginal (rho = 0.33, p = 0.060). This distinction indicates that the number of insider wallets, rather than their aggregate stake, captures the structural relationship.</w:t>
      </w:r>
    </w:p>
    <w:p>
      <w:r>
        <w:rPr>
          <w:b w:val="0"/>
        </w:rPr>
        <w:t>The DePIN-versus-DeFi sector difference (Mann-Whitney p = 0.031, Cohen’s d = 0.96) is sensitive to sample composition. The test remains significant in 23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0.029, confirming the direction is not an artifact of the asymptotic approximation. We characterize this finding as suggestive rather than robust.</w:t>
      </w:r>
    </w:p>
    <w:p>
      <w:r>
        <w:rPr>
          <w:b w:val="0"/>
        </w:rPr>
        <w:t>The subsidy-to-concentration correlation (Pearson r = 0.58, p = 0.007, N = 20) is driven by a single protocol. Livepeer’s subsidy ratio of 88.5x is a 3.5-sigma outlier on the subsidy axis, and its HHI (0.20) is the second-highest in the subsidy subsample. Excluding Livepeer alone reduces the correlation to r = 0.13 (p = 0.59).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An expanded sample using Token Terminal revenue and incentive data across 22 protocols (14 DeFi and Infrastructure protocols via Token Terminal, plus 8 DePIN protocols with on-chain subsidy ratios) confirms the null: cross-sector Pearson r = 0.095 (p = 0.674), with no significant within-sector association in DeFi (r = 0.335, p = 0.379, N = 9) or DePIN (r = −0.147, p = 0.706, N = 9). A suggestive infrastructure-sector correlation (r = 0.952, p = 0.048, N = 4) is too small for inference. Full results are in Supplementary File S8.</w:t>
      </w:r>
    </w:p>
    <w:p>
      <w:pPr>
        <w:jc w:val="center"/>
      </w:pPr>
      <w:r>
        <w:drawing xmlns:a="http://schemas.openxmlformats.org/drawingml/2006/main" xmlns:pic="http://schemas.openxmlformats.org/drawingml/2006/picture">
          <wp:inline distT="0" distB="0" distL="0" distR="0">
            <wp:extent cx="5943600" cy="3901077"/>
            <wp:docPr id="108" name="Figure 7"/>
            <a:graphic>
              <a:graphicData uri="http://schemas.openxmlformats.org/drawingml/2006/picture">
                <pic:pic>
                  <pic:nvPicPr>
                    <pic:cNvPr id="108" name="Figure 7"/>
                    <pic:cNvPicPr/>
                  </pic:nvPicPr>
                  <pic:blipFill>
                    <a:blip r:embed="rId17"/>
                    <a:stretch>
                      <a:fillRect/>
                    </a:stretch>
                  </pic:blipFill>
                  <pic:spPr>
                    <a:xfrm>
                      <a:off x="0" y="0"/>
                      <a:ext cx="5943600" cy="3901077"/>
                    </a:xfrm>
                    <a:prstGeom prst="rect">
                      <a:avLst/>
                    </a:prstGeom>
                  </pic:spPr>
                </pic:pic>
              </a:graphicData>
            </a:graphic>
          </wp:inline>
        </w:drawing>
      </w:r>
    </w:p>
    <w:p>
      <w:pPr>
        <w:jc w:val="center"/>
      </w:pPr>
      <w:r>
        <w:rPr>
          <w:i/>
          <w:sz w:val="20"/>
        </w:rPr>
        <w:t xml:space="preserve">Figure 7. Subsidy ratio (emissions/revenue) vs. governance concentration (HHI) for 20 protocols with on-chain subsidy data. Livepeer (diamond, 88.5x) is a 3.5-sigma outlier that alone drives the Pearson correlation from r = 0.13 (dashed line, excluding Livepeer) to r = 0.58 (solid line, full sample). The expanded Token Terminal sample (N = 22, Supplementary File S8) confirms the null at r = 0.095.</w:t>
      </w:r>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pPr>
        <w:jc w:val="center"/>
      </w:pPr>
      <w:r>
        <w:drawing xmlns:a="http://schemas.openxmlformats.org/drawingml/2006/main" xmlns:pic="http://schemas.openxmlformats.org/drawingml/2006/picture">
          <wp:inline distT="0" distB="0" distL="0" distR="0">
            <wp:extent cx="5029200" cy="3017520"/>
            <wp:docPr id="106" name="Figure 8"/>
            <a:graphic>
              <a:graphicData uri="http://schemas.openxmlformats.org/drawingml/2006/picture">
                <pic:pic>
                  <pic:nvPicPr>
                    <pic:cNvPr id="106" name="Figure 8"/>
                    <pic:cNvPicPr/>
                  </pic:nvPicPr>
                  <pic:blipFill>
                    <a:blip r:embed="rId15"/>
                    <a:stretch>
                      <a:fillRect/>
                    </a:stretch>
                  </pic:blipFill>
                  <pic:spPr>
                    <a:xfrm>
                      <a:off x="0" y="0"/>
                      <a:ext cx="5029200" cy="3017520"/>
                    </a:xfrm>
                    <a:prstGeom prst="rect">
                      <a:avLst/>
                    </a:prstGeom>
                  </pic:spPr>
                </pic:pic>
              </a:graphicData>
            </a:graphic>
          </wp:inline>
        </w:drawing>
      </w:r>
    </w:p>
    <w:p>
      <w:pPr>
        <w:jc w:val="center"/>
      </w:pPr>
      <w:r>
        <w:rPr>
          <w:i/>
          <w:sz w:val="20"/>
        </w:rPr>
        <w:t xml:space="preserve">Figure 8. HHI vs. voter participation rate for protocols with governance data.</w:t>
      </w:r>
    </w:p>
    <w:p>
      <w:pPr>
        <w:pStyle w:val="Heading1"/>
      </w:pPr>
      <w:r>
        <w:t>6. Discussion</w:t>
      </w:r>
    </w:p>
    <w:p>
      <w:pPr>
        <w:pStyle w:val="Heading2"/>
      </w:pPr>
      <w:r>
        <w:t>6.1 Design Hypotheses</w:t>
      </w:r>
    </w:p>
    <w:p>
      <w:r>
        <w:t xml:space="preserve">Rather than evaluating each hypothesis in isolation, we organize the evidence thematically: what the governance data directly demonstrate, what they constrain but cannot confirm, and what lies beyond the current evidence base. </w:t>
      </w:r>
    </w:p>
    <w:p>
      <w:r>
        <w:t>Descriptive evidence: governance concentration patterns (Hypotheses 3.1 and 3.2, with implications for the Rawlsian fairness lens). The governance cross-section (Table 4) provides descriptive evidence most directly relevant to Hypotheses 3.1 (publicity-legitimacy) and 3.2 (contestability), with implications for the Rawlsian fairness lens. The normative framework interprets these governance concentration patterns as follows: when governance tokens are concentrated, the conditions these traditions identify as essential for legitimacy are structurally undermined. Protocols at the upper end of the concentration range (Livepeer at 0.199, WeatherXM at 0.148, GEODNET at 0.133) exhibit concentration levels the normative framework flags for scrutiny, though no protocol in the corrected cross-section exceeds the conventional 0.25 antitrust threshold. Even at these levels, governance decisions can disproportionately reflect a small set of holders’ preferences, making “public justification” structurally thin.</w:t>
        <w:br/>
        <w:t>These same protocols raise Rawlsian fairness concerns because operators who deploy hardware and deliver service hold insufficient tokens to influence governance outcomes affecting their investments.</w:t>
        <w:br/>
        <w:t>The republican non-domination condition is most directly measurable: concentration above the conventional threshold means few holders can override community preferences without formal contestation mechanisms. The counterexample (Anyone, HHI 0.040) demonstrates that these conditions are not inherent to DePIN architecture but reflect distribution design choices. Among DeFi benchmarks, Compound’s lower concentration (HHI 0.027) partly reflects active delegation, suggesting that institutional design can reduce effective concentration without token redistribution. Evidence grade: descriptive support for Hypotheses 3.1 and 3.2; the concentration data capture the conditions that publicity and non-domination traditions identify as problematic.</w:t>
      </w:r>
    </w:p>
    <w:p>
      <w:r>
        <w:t>Indirect signals: structural constraints on adaptivity (Hypotheses 3.4 and 3.5). The service-over-presence hypothesis (3.4) and the polycentric adaptation hypothesis (3.5) posit that governance structures incorporating diverse, edge-level input produce more adaptive systems. The HHI cross-section cannot test these claims directly because it measures token concentration, not governance structure diversity or information flow. However, the data reveal a structural constraint:         </w:t>
      </w:r>
      <w:del w:id="9036" w:author="Claude" w:date="2026-04-02T00:00:00Z">
        <w:r>
          <w:delText>edge-participant voice is suppressed when holdings are concentrated.</w:delText>
        </w:r>
      </w:del>
      <w:ins w:id="9037" w:author="Claude" w:date="2026-04-02T00:00:00Z">
        <w:r>
          <w:t>the operators and users closest to the service (those with the most relevant operational knowledge) cannot influence governance decisions if they hold small token positions.</w:t>
        </w:r>
      </w:ins>
      <w:r>
        <w:t/>
        <w:br/>
        <w:t>Operators in DePIN networks who possess the most relevant operational knowledge (coverage gaps, hardware failure modes, local demand patterns) cannot influence governance decisions if they hold small token positions. The Helium case demonstrates this tension (Zukowski, 2026b): the HIP-147 reform succeeded partly because Helium’s governance process channeled edge-operator input despite concentrated holdings.</w:t>
        <w:br/>
        <w:t>The finding that delegation design affects concentration also indicates that polycentric features (subDAOs, councils, delegation hierarchies) may reduce effective concentration without requiring redistribution. Evidence grade: indirect; the concentration data identify structural constraints on adaptivity, but the adaptive mechanism itself requires longitudinal evidence beyond the scope of this cross-section. A companion simulation (Zukowski, 2026e) calibrated to Helium parameters documents that </w:t>
      </w:r>
      <w:del w:id="9038" w:author="Claude" w:date="2026-04-02T00:00:00Z">
        <w:r>
          <w:delText>PID-controlled emission compresses node-count variance by sixfold across a 240-run Monte Carlo ensemble, raising the 5th-percentile node count from 1,049 (static emission) to 8,880 (PID-controlled). The mechanism’s primary value is floor-raising: it prevents the worst outcomes rather than improving averages, consistent with the Rawlsian fairness lens’s emphasis on protecting the least advantaged.</w:delText>
        </w:r>
      </w:del>
      <w:ins w:id="9039" w:author="Claude" w:date="2026-04-02T00:00:00Z">
        <w:r>
          <w:t>an adaptive emission controller (calibrated to Helium parameters in a 240-run simulation) reduces the spread of network size outcomes by sixfold compared to fixed emission schedules, raising the worst-case network size from approximately 1,000 nodes to approximately 9,000. The mechanism’s primary value is preventing collapse rather than improving averages, consistent with the Rawlsian fairness principle of protecting the least advantaged.</w:t>
        </w:r>
      </w:ins>
      <w:r>
        <w:t/>
      </w:r>
    </w:p>
    <w:p>
      <w:r>
        <w:rPr/>
        <w:t>A companion study (Zukowski, 2026b) documents a related concentration risk in DePIN fiscal sustainability: Helium’s aggregate Spend-to-Reward ratio crossed fiscal parity, but approximately five purchasers account for 90% of token burns, a concentration invisible to aggregate metrics. Governance concentration and demand concentration are distinct failure modes that can coexist: a protocol may be governance-concentrated but demand-diversified, or vice versa. The same companion study provides the strongest longitudinal test of Hypotheses 3.3 and 3.4 in the current program. Helium’s S2R trajectory over 34 months (May 2023 to February 2026) documents how demand-coupled burns drove S2R from 0.007 under presence-based rewards to 2.06 after transitioning to service-verified rewards and completing the August 2025 halving (Zukowski, 2026b), with DC burns exceeding direct HNT emissions by approximately 2:1 and contributing to a net annual deflation rate of approximately 3–4% (Blockworks, 2026). The trajectory is consistent with H3.3: the sink (Data Credit burns) was deployed and observable before the emission reduction, and the combination produced a sustained surplus at the subnetwork level. It is also consistent with H3.4: the shift from coverage-based to service-based rewards coincided with the transition from negligible revenue ($6,500 per month across 975,000 IoT hotspots) to $16.8 million annualized (Blockworks, 2026). Neither hypothesis is confirmed by a single case, but the directional evidence is the strongest available in the DePIN sector.</w:t>
      </w:r>
    </w:p>
    <w:p>
      <w:r>
        <w:t>Evidence gaps and research frontiers. Three directions lie beyond the reach of governance token data. First, capability-oriented evaluation (following Sen and Nussbaum) requires participant-level data on income, skill development, and infrastructure access that no protocol currently instruments at scale. Second, contextual integrity (following Floridi and Nissenbaum) requires trust and data governance metrics; the concentration finding raises a related concern, since concentrated governance means decisions about data use and privacy norms are made by a small group rather than by the community whose data is at stake. This concern is particularly relevant for protocols collecting location data (Helium), vehicle telemetry (DIMO), or health data (CUDIS). Third, cosmopolitan inclusion (following Appiah) identifies a tension the data confirm descriptively: most DePIN protocols have global operator bases but concentrated governance, meaning geographic inclusion coexists with governance exclusion. Testing whether cosmopolitan governance improves outcomes requires longitudinal analysis across jurisdictions.</w:t>
      </w:r>
    </w:p>
    <w:p>
      <w:r>
        <w:t>In sum, the governance cross-section provides descriptive evidence consistent with the two hypotheses most central to legitimacy (publicity-legitimacy, contestability) and with implications for the Rawlsian fairness lens, plus indirect evidence constraining the two hypotheses about adaptive governance (polycentricity, knowledge-use), and identifies three evidence frontiers (capability, contextual integrity, cosmopolitanism) that define the next phase of empirical work. The evidence frontiers identified here (service verification, contextual integrity, concentration dynamics) require new data collection infrastructure that does not yet exist in the DePIN ecosystem.</w:t>
      </w:r>
    </w:p>
    <w:p>
      <w:pPr>
        <w:pStyle w:val="Heading2"/>
      </w:pPr>
      <w:r>
        <w:t>6.2 Governance Design Implications</w:t>
      </w:r>
    </w:p>
    <w:p>
      <w:r>
        <w:rPr/>
        <w:t>The governance concentration evidence motivates specific institutional design questions. Five design implications translate the framework into mechanisms, grounded in executed evidence where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0.45–0.99; Table 4; Livepeer excluded </w:t>
      </w:r>
      <w:del w:id="9026" w:author="Claude" w:date="2026-04-02T00:00:00Z">
        <w:r>
          <w:delText>due to bridge-schema measurement failure</w:delText>
        </w:r>
      </w:del>
      <w:ins w:id="9027" w:author="Claude" w:date="2026-04-02T00:00:00Z">
        <w:r>
          <w:t>because its cross-chain bridge architecture prevents accurate Gini computation from single-chain holder data</w:t>
        </w:r>
      </w:ins>
      <w:r>
        <w:t xml:space="preserve">)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can exercise unchecked power. The concentration cross-section (Table 4) shows that some tokens sit in the “highly concentrated” regime even before delegated voting is considered (e.g., WXM holding HHI 0.148; DIMO 0.038). Among mature DeFi governance tokens, the CRV case (HHI 0.174, highest among DeFi peers in the sample) illustrates how locking mechanisms can concentrate governance: Convex controls approximately 47% of veCRV (DeFi Llama, 2026).</w:t>
        <w:br/>
        <w:t>Design implication: treat integrity as an institutional layer. Separation of powers (e.g., Optimism’s bicameral Token House / Citizens’ House), independent security councils or audit committees with narrowly scoped veto authority over security-critical changes. Mandatory timelocks and public disclosure requirements for large delegates are especially important in GeoDePINs where thousands of operators can be exposed to governance outcomes without holding meaningful token power.</w:t>
      </w:r>
    </w:p>
    <w:p>
      <w:r>
        <w:rPr/>
        <w:t>Appeals and Dispute Resolution Contestability requires formal appeal mechanisms. HIP-147’s acceptance (even by operators whose rewards were reduced; see Zukowski, 2026b) indicates that structured processes with clear rules produce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allowing rule evolution suggests building in periodic constitutional reviews, scheduled opportunities to adjust quorums, proposal formats, and role definitions based on participation data. An emergency governance protocol is also prudent: defining in advance who can act under crisis conditions (e.g., a smart contract exploit), with what authority, and subject to what retroactive accountability. This bounded emergency power paradoxically strengthens legitimacy by making deviations from normal process predictable and auditable.</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6.3 Broader Institutional Implications</w:t>
      </w:r>
    </w:p>
    <w:p>
      <w:r>
        <w:rPr>
          <w:b w:val="0"/>
        </w:rPr>
        <w:t>Three transfers extend these principles beyond tokenomics. First, the transparency principles operationalized through the Kantian publicity lens (Section 3) apply to any institution that claims legitimacy through openness: cooperative governance, public benefit corporations, and regulatory sandboxes face similar tensions between claimed transparency and operational opacity. Second, the governance concentration finding (Section 5) raises accountability questions that echo existing debates about corporate board composition and shareholder activism: who governs, and by what right? Third, the scoring rubric (Table 1) demonstrates that normative philosophy can be operationalized as measurement infrastructure, a methodological contribution that extends beyond blockchain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6.4 Risks and Counterpoints</w:t>
      </w:r>
    </w:p>
    <w:p>
      <w:r>
        <w:rPr>
          <w:b w:val="0"/>
          <w:i w:val="0"/>
        </w:rPr>
        <w:t>Several risks deserve candid acknowledgment.</w:t>
      </w:r>
    </w:p>
    <w:p>
      <w:r>
        <w:rPr>
          <w:b w:val="0"/>
        </w:rPr>
        <w:t>Philosophical overreach.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del w:id="9042" w:author="Claude" w:date="2026-04-02T00:00:00Z">
        <w:r>
          <w:delText>structured signals, not verdicts.</w:delText>
        </w:r>
      </w:del>
      <w:ins w:id="9043" w:author="Claude" w:date="2026-04-02T00:00:00Z">
        <w:r>
          <w:t>comparable indicators, not definitive judgments.</w:t>
        </w:r>
      </w:ins>
      <w:r>
        <w:t/>
      </w:r>
    </w:p>
    <w:p>
      <w:r>
        <w:rPr>
          <w:b w:val="0"/>
        </w:rPr>
        <w:t>Plutocratic concentration as equilibrium. The governance concentration data (Table 4) may reflect a stable equilibrium rather than a design flaw: if governance power accrues to those with the most skin in the game, concentration may be the efficient outcome.</w:t>
      </w:r>
    </w:p>
    <w:p>
      <w:r>
        <w:rPr>
          <w:b w:val="0"/>
        </w:rPr>
        <w:t>Distribution breadth at token launch is empirically uninformative about long-term governance concentration (r = 0.19, p = 0.25, N = 37). This finding, anticipated as a risk, is confirmed by the cross-sectional evidence and reinforced by the Hyperliquid natural experiment (0% VC, HHI = 0.005). The practical consequence is that governance audits should focus on current holder composition rather than initial allocation documentation.</w:t>
      </w:r>
    </w:p>
    <w:p>
      <w:r>
        <w:rPr>
          <w:b w:val="0"/>
        </w:rPr>
        <w:t>The counterargument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val="0"/>
        </w:rPr>
        <w:t>Measurement challenges. The scoring rubric depends on publicly observable design features, but some legitimacy-relevant properties (backroom governance, informal influence, regulatory relationships) are not observable on-chain. We specify inter-rater reliability protocols (Supplementary File S2)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w:t>
      </w:r>
      <w:del w:id="9044" w:author="Claude" w:date="2026-04-02T00:00:00Z">
        <w:r>
          <w:delText>the parameter-setting legitimacy deficit that the framework diagnoses under Hypotheses 3.1 and 3.2.</w:delText>
        </w:r>
      </w:del>
      <w:ins w:id="9045" w:author="Claude" w:date="2026-04-02T00:00:00Z">
        <w:r>
          <w:t>the tension between centralized operational decisions and decentralized governance that Hypotheses 3.1 (transparency) and 3.2 (contestability) are designed to address.</w:t>
        </w:r>
      </w:ins>
      <w:r>
        <w:t/>
      </w:r>
    </w:p>
    <w:p>
      <w:r>
        <w:rPr>
          <w:b w:val="0"/>
        </w:rPr>
        <w:t>Speed versus legitimacy trade-off.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6.5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Werbach’s (2018) blockchain governance taxonomy, de Filippi &amp; Wright’s (2018) code-as-law analysis, and Reijers &amp; Coeckelbergh’s (2018) blockchain ethics framework by moving from descriptive classification to prescriptive mechanism design grounded in political philosophy. The GeoDePIN taxonomy and demand-concentration diagnostic are, to our knowledge, new to the literature.</w:t>
      </w:r>
    </w:p>
    <w:p>
      <w:r>
        <w:rPr/>
        <w:t>Mechanism Design and Institutional Economics.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 rather than social norms. The governance concentration data (Table 4) provides the kind of empirical institutional comparison Ostrom advocated.</w:t>
      </w:r>
    </w:p>
    <w:p>
      <w:r>
        <w:rPr/>
        <w:t>Political Philosophy and Institutional Design. The philosophical framework (Section 3)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 The paper demonstrates that philosophical principles are not merely aspirational but can be operationalized as measurable design criteria.</w:t>
      </w:r>
    </w:p>
    <w:p>
      <w:r>
        <w:rPr/>
        <w:t>Blockchain Governance Scholarship.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2026b) extends the literature on DePIN sustainability with longitudinal data showing how tokenomic design shifts affect burn-to-issuance trajectories.</w:t>
      </w:r>
    </w:p>
    <w:p>
      <w:r>
        <w:rPr/>
        <w:t>Token Engineering and Cryptoeconomics.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A cost comparison analysis developed separately contributes a practitioner-relevant benchmark that the token engineering literature currently lacks.</w:t>
      </w:r>
    </w:p>
    <w:p>
      <w:r>
        <w:rPr/>
        <w:t>The paper illustrates the value of interdisciplinary synthesis: applying humanities and social science frameworks to technical system design yields insights that neither discipline produces alone.</w:t>
      </w:r>
    </w:p>
    <w:p>
      <w:pPr>
        <w:pStyle w:val="Heading1"/>
      </w:pPr>
      <w:r>
        <w:t>7. Conclusion</w:t>
      </w:r>
    </w:p>
    <w:p>
      <w:pPr>
        <w:pStyle w:val="Heading2"/>
      </w:pPr>
      <w:r>
        <w:t>7.1 Summary</w:t>
      </w:r>
    </w:p>
    <w:p>
      <w:r>
        <w:rPr>
          <w:b w:val="0"/>
        </w:rPr>
        <w:t>Governance concentration in token economies is not predicted by how tokens are distributed at launch. Across 40 protocols, initial allocation design is uninformative (r = 0.19, p = 0.25): protocols with generous community distributions and those with heavy insider allocations produce indistinguishable concentration outcomes.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suggestively higher concentration than DeFi protocols (Mann-Whitney p = 0.031, d = 0.96), a pattern consistent with hardware network economics concentrating governance power among infrastructure operators.</w:t>
      </w:r>
    </w:p>
    <w:p>
      <w:r>
        <w:t xml:space="preserve">        </w:t>
      </w:r>
      <w:del w:id="9046" w:author="Claude" w:date="2026-04-02T00:00:00Z">
        <w:r>
          <w:delText>DePIN protocols span a 268-fold subsidy range, from DIMO (0.33x, revenue-dominant) to Livepeer (88.5x, heavily subsidized).</w:delText>
        </w:r>
      </w:del>
      <w:ins w:id="9047" w:author="Claude" w:date="2026-04-02T00:00:00Z">
        <w:r>
          <w:t>DePIN protocols vary enormously in their dependence on token subsidies: DIMO earns three times more in revenue than it pays in token rewards (subsidy ratio 0.33x), while Livepeer pays 88 times more in rewards than it earns (88.5x).</w:t>
        </w:r>
      </w:ins>
      <w:r>
        <w:t xml:space="preserve"> Despite this range, concentration does not track subsidy in any robust specification. Two pattern-breaking protocols are instructive: Aethir generates the highest DePIN revenue ($156M annualized (Token Terminal, April 2026)) yet has the second-highest HHI (0.171), consistent with team and vesting wallet concentration in an early-stage protocol. Hivemapper operates at 5.46x subsidy yet has the lowest HHI among expansion protocols (0.020), consistent with broad geographic distribution of 90,000+ dashcam operators. These cases suggest that governance concentration reflects initial token allocation and operator-base structure rather than ongoing financial sustainability.</w:t>
      </w:r>
    </w:p>
    <w:p>
      <w:r>
        <w:t>Table 7 reports multivariate OLS regressions of HHI on protocol characteristics. The DePIN coefficient is positive across all specifications (Model 1: +0.028, p = 0.07, N = 24) but does not reach conventional significance. No individual covariate achieves p &lt; 0.10. The adjusted R-squared ranges from 0.01 to 0.08, confirming that measured covariates explain very little cross-sectional variation. The sample (N = 24 to 33 depending on specification) is </w:t>
      </w:r>
      <w:del w:id="9048" w:author="Claude" w:date="2026-04-02T00:00:00Z">
        <w:r>
          <w:delText>underpowered for multivariate inference;</w:delText>
        </w:r>
      </w:del>
      <w:ins w:id="9049" w:author="Claude" w:date="2026-04-02T00:00:00Z">
        <w:r>
          <w:t>too small to reliably estimate the independent effect of each variable when controlling for the others;</w:t>
        </w:r>
      </w:ins>
      <w:r>
        <w:t xml:space="preserve"> the pipeline specification (Supplementary File S5) documents the infrastructure for replication at larger sample sizes.</w:t>
      </w:r>
    </w:p>
    <w:p>
      <w:r>
        <w:t xml:space="preserve">[Table 7. OLS regression of HHI on protocol characteristics. Robust SEs. Models 1-3: full sample, TT-independent covariates. * p &lt; 0.10, ** p &lt; 0.05, *** p &lt; 0.01.]</w:t>
      </w:r>
    </w:p>
    <w:p>
      <w:pPr>
        <w:pStyle w:val="Heading2"/>
      </w:pPr>
      <w:r>
        <w:t>7.2 Contributions</w:t>
      </w:r>
    </w:p>
    <w:p>
      <w:r>
        <w:rPr>
          <w:b w:val="0"/>
        </w:rPr>
        <w:t>This paper makes three contributions. First, a systematic exclusion methodology identifies 69 protocol-controlled addresses across 20 protocols that contaminate naive holder-list analysis, changing affected protocols’ HHI by up to 5x. Every prior study computing token HHI without this correction measured protocol architecture, not governance concentration. Second, a cross-sector null result documents that no measured covariate robustly predicts governance concentration: not sector membership, not initial token allocation (r = 0.19, p = 0.25, N = 37), not protocol maturity, not subsidy structure, and not token unlock progress (three float specifications, all |r| &lt; 0.05). Three protocols with nearly identical subsidy ratios (DIMO at 0.33x, Aethir at 0.36x, Aave at 0.37x) have governance HHI values of 0.038, 0.171, and 0.020; financial sustainability is neither necessary nor sufficient for governance decentralization. Third, a normative framework translates five political-philosophical traditions into evaluable design criteria for tokenized institutions, bridging political philosophy and token engineering through a replicable scoring rubric.</w:t>
      </w:r>
    </w:p>
    <w:p>
      <w:pPr>
        <w:pStyle w:val="Heading2"/>
      </w:pPr>
      <w:r>
        <w:t>7.3 Limitations</w:t>
      </w:r>
    </w:p>
    <w:p>
      <w:r>
        <w:rPr>
          <w:b w:val="0"/>
        </w:rPr>
        <w:t>The evidence carries several limitations. The governance concentration analysis is a March 2026 snapshot:         </w:t>
      </w:r>
      <w:del w:id="9050" w:author="Claude" w:date="2026-04-02T00:00:00Z">
        <w:r>
          <w:delText>concentration trajectories over time would enable deconcentration analysis and strengthen causal claims.</w:delText>
        </w:r>
      </w:del>
      <w:ins w:id="9051" w:author="Claude" w:date="2026-04-02T00:00:00Z">
        <w:r>
          <w:t>tracking concentration over time would reveal whether protocols are becoming more or less concentrated and strengthen causal claims.</w:t>
        </w:r>
      </w:ins>
      <w:r>
        <w:t xml:space="preserve"> A single scorer has applied the scoring rubric; inter-rater reliability testing with independent scorers is needed before the rubric can claim measurement validity beyond its current proof-of-concept status. The sample of 40 protocols is sufficient for descriptive comparison but too small for robust regression analysis; the pipeline specification (Supplementary File S5) is designed for expansion to 20+ protocols. The sample includes only active protocols, introducing potential survivorship bias (see Section 4.3 for planned inclusion of stagnated projects). We have not validated the Synergy Index against outcome measures; Partial validation through case evidence is reported separately, but a full validation study is future work.</w:t>
      </w:r>
    </w:p>
    <w:p>
      <w:pPr>
        <w:pStyle w:val="Heading2"/>
      </w:pPr>
      <w:r>
        <w:t>7.4 Future Research</w:t>
      </w:r>
    </w:p>
    <w:p>
      <w:r>
        <w:rPr>
          <w:b w:val="0"/>
        </w:rPr>
        <w:t>Three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(Supplementary File S7)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5.4. Second, sample expansion: the pipeline is designed for N = 20+ protocols; reaching this threshold would enable the regression, panel, and event-study analyses currently specified as replication-ready designs. Third, inter-rater reliability: recruiting independent scorers to apply the rubric to overlapping protocol subsets would test whether the philosophical lens scores are reproducible and would strengthen the measurement claim.</w:t>
      </w:r>
    </w:p>
    <w:p>
      <w:pPr>
        <w:pStyle w:val="Heading2"/>
      </w:pPr>
      <w:r>
        <w:t>7.5 Closing</w:t>
      </w:r>
    </w:p>
    <w:p>
      <w:r>
        <w:rPr>
          <w:b w:val="0"/>
        </w:rPr>
        <w:t>If blockchains are to govern real resources and real communities, their institutional design must be held to real standards. This paper offers one path toward that standard: a framework rooted in the traditions that have shaped how societies evaluate legitimate governance, translated into tools that designers and evaluators can use. The governance concentration data suggest that the gap between aspiration and reality is wide. Closing that gap is a design problem, and design problems have solutions.</w:t>
      </w:r>
    </w:p>
    <w:p>
      <w:pPr>
        <w:pStyle w:val="Heading1"/>
      </w:pPr>
      <w:r>
        <w:t>Supplementary Material</w:t>
      </w:r>
    </w:p>
    <w:p>
      <w:r>
        <w:t>The following supplementary files accompany this paper:</w:t>
      </w:r>
    </w:p>
    <w:p>
      <w:r>
        <w:t xml:space="preserve">Supplementary File S1: Extended metric definitions, including the Synergy Index construction and inter-rater reliability specification for multi-coder deployment of the scoring rubric.</w:t>
      </w:r>
    </w:p>
    <w:p>
      <w:r>
        <w:t xml:space="preserve">Supplementary File S2: Research instrument templates, including the protocol codebook schema and scoring sheet template with worked examples.</w:t>
      </w:r>
    </w:p>
    <w:p>
      <w:r>
        <w:t xml:space="preserve">Supplementary File S3: Scoring tables (protocol × criterion matrices with evidence links) for all 12 scored protocols.</w:t>
      </w:r>
    </w:p>
    <w:p>
      <w:r>
        <w:t xml:space="preserve">Supplementary File S4: Events table for future event-study analyses.</w:t>
      </w:r>
    </w:p>
    <w:p>
      <w:r>
        <w:t xml:space="preserve">Supplementary File S5: Full empirical pipeline specification (16 analyses across five categories), including replication-ready design for cross-sectional, panel, event-study, and qualitative analyses.</w:t>
      </w:r>
    </w:p>
    <w:p>
      <w:r>
        <w:t>Supplementary File S6: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confirming the subsidy-concentration null at expanded sample size.</w:t>
      </w:r>
    </w:p>
    <w:p>
      <w:r>
        <w:t xml:space="preserve">Replication data: https://github.com/Research-Publications-and-Data/Tokenomics-As-Institutional_Design</w:t>
      </w:r>
    </w:p>
    <w:p>
      <w:pPr>
        <w:pStyle w:val="Heading1"/>
      </w:pPr>
      <w:r>
        <w:t>References</w:t>
      </w:r>
    </w:p>
    <w:p>
      <w:r>
        <w:t>Appiah, K. A. (2006). Cosmopolitanism: Ethics in a world of strangers. W. W. Norton.</w:t>
      </w:r>
    </w:p>
    <w:p>
      <w:r>
        <w:t>Aramonte, S., Huang, W., &amp; Schrimpf, A. (2021). DeFi risks and the decentralisation illusion. BIS Quarterly Review, December 2021, 21–36. https://www.bis.org/publ/qtrpdf/r_qt2112b.htm</w:t>
      </w:r>
    </w:p>
    <w:p>
      <w:r>
        <w:t>Appel, I., &amp; Grennan, J. (2023). Control of decentralized autonomous organizations. AEA Papers and Proceedings, 113, 182–185. https://doi.org/10.1257/pandp.20231119</w:t>
      </w:r>
    </w:p>
    <w:p>
      <w:r>
        <w:t>Arnosti, N., &amp; Weinberg, S. M. (2022). Bitcoin: A natural oligopoly. Management Science, 68(7), 4755–4771. https://doi.org/10.1287/mnsc.2021.4095</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Buterin, V., Conner, E., Dudley, R., Slipper, M., &amp; Norder, I. (2019). EIP-1559: Fee market change for ETH 1.0 chain (Ethereum Improvement Proposal). https://eips.ethereum.org/EIPS/eip-1559</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Cosmos. (2026). IBC protocol documentation. https://cosmos.network/ibc</w:t>
      </w:r>
    </w:p>
    <w:p>
      <w:r>
        <w:t>DeepDAO. (2023). DAO governance analytics [Data set]. Retrieved 2023, from https://deepdao.io</w:t>
      </w:r>
    </w:p>
    <w:p>
      <w:r>
        <w:t>Dune Analytics. (2026). On-chain governance token holder data [Data set]. Retrieved March 2026, from https://dune.com</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Liu, Y., Makarov, I., &amp; Schoar, A. (2023). Anatomy of a run: The Terra Luna crash. NBER Working Paper No. 31160. https://doi.org/10.3386/w31160</w:t>
      </w:r>
    </w:p>
    <w:p>
      <w:r>
        <w:t>Myerson, R. B. (1981). Optimal auction design. Mathematics of Operations Research, 6(1), 58–73. https://doi.org/10.1287/moor.6.1.58</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Ostrom, E. (1990). Governing the commons: The evolution of institutions for collective action. Cambridge University Press.</w:t>
      </w:r>
    </w:p>
    <w:p>
      <w:r>
        <w:t>OpenGov.Watch. (2024). 2024-H1 Polkadot Treasury Report. https://www.opengov.watch/reports/treasury-reports/03_2024-treasury-report-h1</w:t>
      </w:r>
    </w:p>
    <w:p>
      <w:r>
        <w:t xml:space="preserve">Optimism. (2024). Optimism governance documentation: Citizens’ House. https://community.optimism.io/docs/governance/</w:t>
      </w:r>
    </w:p>
    <w:p>
      <w:r>
        <w:t>Pettit, P. (1997). Republicanism: A theory of freedom and government. Oxford University Press.</w:t>
      </w:r>
    </w:p>
    <w:p>
      <w:r>
        <w:t>Rawls, J. (1999). A theory of justice (Rev. ed.). Belknap Press of Harvard University Press. https://doi.org/10.4159/9780674042582 (Original work published 1971.)</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Shapira, L. (2022, July 26). Is Helium Really Doing $6,500 a Month in Revenue? DeWi on-chain analysis. https://x.com/liron/status/1552102241259163648</w:t>
      </w:r>
    </w:p>
    <w:p>
      <w:r>
        <w:t>Sen, A. (1999). Development as freedom. Alfred A. Knopf.</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Werner, S. M., Perez, D., Gudgeon, L., Klages-Mundt, A., Harz, D., &amp; Knottenbelt, W. J. (2022). SoK: Decentralized finance (DeFi). In Proceedings of the 4th ACM Conference on Advances in Financial Technologies (pp. 30–46). ACM. https://doi.org/10.1145/3558535.3559780</w:t>
      </w:r>
    </w:p>
    <w:p>
      <w:r>
        <w:t>Zukowski, Z. (2026b). GeoDePIN: Design patterns for decentralized geographic infrastructure.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Five Dollars: Legal structure, operator risk, and diligence divergence in tokenized dollar instruments. SSRN Working Paper [forthcoming].</w:t>
      </w:r>
    </w:p>
    <w:p>
      <w:r>
        <w:t>Zukowski, Z. (2026e). Tokenomics as systems engineering: Capital, labor, land, and the design of autonomous economies.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
  
  
  <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image" Target="media/image1.png"/>
  
  
  <Relationship Id="rId10" Type="http://schemas.openxmlformats.org/officeDocument/2006/relationships/image" Target="media/image2.png"/>
  
  
  <Relationship Id="rId11" Type="http://schemas.openxmlformats.org/officeDocument/2006/relationships/image" Target="media/image3.png"/>
  
  
  <Relationship Id="rId12" Type="http://schemas.openxmlformats.org/officeDocument/2006/relationships/image" Target="media/exhibit_initial_allocation.png"/>
  
  
  <Relationship Id="rId13" Type="http://schemas.openxmlformats.org/officeDocument/2006/relationships/image" Target="media/exhibit_delegation_adjusted.png"/>
  
  
  <Relationship Id="rId14" Type="http://schemas.openxmlformats.org/officeDocument/2006/relationships/image" Target="media/exhibit_concentration_participation.png"/>
  
  
  <Relationship Id="rId15" Type="http://schemas.openxmlformats.org/officeDocument/2006/relationships/image" Target="media/exhibit_concentration_participation.png"/>
  


  <Relationship Id="rId16" Type="http://schemas.openxmlformats.org/officeDocument/2006/relationships/image" Target="media/exhibit_sector_comparison.png"/>

  <Relationship Id="rId17" Type="http://schemas.openxmlformats.org/officeDocument/2006/relationships/image" Target="media/exhibit_subsidy_vs_hhi.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
  
  
  <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