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4.png" ContentType="image/png"/>
  <Override PartName="/word/media/rId80.png" ContentType="image/png"/>
  <Override PartName="/word/media/rId5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Token allocation is a launch document. Governance concentration is a live institutional state: a post-distribution institutional-design outcome, not a launch-allocation or holder-list artifact, that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0.10, p = 0.49, N = 50). Post-distribution and institutional-design factors are the larger correlates. Protocols with more insider wallets among top holders are more concentrated (Spearman rho = 0.44, p = 0.005, N = 39, surviving a non-insider HHI tautology check at rho = 0.54). DePIN governance is more concentrated than DeFi after correction, a directionally robust medium effect (Cohen’s d = 0.65, Mann-Whitney p = 0.028, under the headline pass-through treatment) whose magnitude and mean-based significance depend on the staking treatment; we treat it as a descriptive sector contrast rather than the paper’s central claim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post-distribution thesis is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decentralization claim is not supported by launch allocation or raw holder lists; it requires a live-governance audit of PCA-corrected holdings, insider retention, and voting power.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constitutes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0.44, p =</w:t>
      </w:r>
      <w:r>
        <w:t xml:space="preserve"> </w:t>
      </w:r>
      <w:r>
        <w:t xml:space="preserve">0.005, N = 39; Section 4.4). Third,</w:t>
      </w:r>
      <w:r>
        <w:t xml:space="preserve"> </w:t>
      </w:r>
      <w:r>
        <w:t xml:space="preserve">DePIN governance concentration is higher than DeFi after exclusion</w:t>
      </w:r>
      <w:r>
        <w:t xml:space="preserve"> </w:t>
      </w:r>
      <w:r>
        <w:t xml:space="preserve">correction (Mann-Whitney p = 0.028, Cohen’s d = 0.65, a medium effect under the voter-inclusive staking pass-through treatment),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where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Holder lists and voting power must therefore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0.10,</w:t>
      </w:r>
      <w:r>
        <w:t xml:space="preserve"> </w:t>
      </w:r>
      <w:r>
        <w:t xml:space="preserve">p = 0.49,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Section 3 specifies the data and methods, Section 4 reports the results, and the four contributions stated in Section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over a 12-month rolling window (2025-05-22 to</w:t>
      </w:r>
      <w:r>
        <w:t xml:space="preserve"> </w:t>
      </w:r>
      <w:r>
        <w:t xml:space="preserve">2026-05-22) of Tally and Snapshot governance data, while the Table 3</w:t>
      </w:r>
      <w:r>
        <w:t xml:space="preserve"> </w:t>
      </w:r>
      <w:r>
        <w:t xml:space="preserve">holding HHI uses a March 2026 holder-list snapshot. Voting-power</w:t>
      </w:r>
      <w:r>
        <w:t xml:space="preserve"> </w:t>
      </w:r>
      <w:r>
        <w:t xml:space="preserve">distributions can drift over multi-month windows, so replication runs</w:t>
      </w:r>
      <w:r>
        <w:t xml:space="preserve"> </w:t>
      </w:r>
      <w:r>
        <w:t xml:space="preserve">using fresh data should expect comparable but not identical voting HHI</w:t>
      </w:r>
      <w:r>
        <w:t xml:space="preserve"> </w:t>
      </w:r>
      <w:r>
        <w:t xml:space="preserve">values, with rank ordering across protocols the more durable inferential</w:t>
      </w:r>
      <w:r>
        <w:t xml:space="preserve"> </w:t>
      </w:r>
      <w:r>
        <w:t xml:space="preserve">property than absolute magnitude. Two robustness checks support this</w:t>
      </w:r>
      <w:r>
        <w:t xml:space="preserve"> </w:t>
      </w:r>
      <w:r>
        <w:t xml:space="preserve">durability claim. First, Table 6b recomputes pooled voting HHI over each</w:t>
      </w:r>
      <w:r>
        <w:t xml:space="preserve"> </w:t>
      </w:r>
      <w:r>
        <w:t xml:space="preserve">protocol’s complete same-surface proposal history for the twelve</w:t>
      </w:r>
      <w:r>
        <w:t xml:space="preserve"> </w:t>
      </w:r>
      <w:r>
        <w:t xml:space="preserve">protocols with a same-surface full-history pool; the 12-month and</w:t>
      </w:r>
      <w:r>
        <w:t xml:space="preserve"> </w:t>
      </w:r>
      <w:r>
        <w:t xml:space="preserve">full-history values are rank-stable (Spearman rho = 0.87) and preserve</w:t>
      </w:r>
      <w:r>
        <w:t xml:space="preserve"> </w:t>
      </w:r>
      <w:r>
        <w:t xml:space="preserve">every amplify-or-disperse classification. Second, Section 4.5.4.2 reports</w:t>
      </w:r>
      <w:r>
        <w:t xml:space="preserve"> </w:t>
      </w:r>
      <w:r>
        <w:t xml:space="preserve">per-period voting-HHI trajectories that are stable across multi-year</w:t>
      </w:r>
      <w:r>
        <w:t xml:space="preserve"> </w:t>
      </w:r>
      <w:r>
        <w:t xml:space="preserve">windows of normal participation. Section 4.6 reports a PCA-symmetric</w:t>
      </w:r>
      <w:r>
        <w:t xml:space="preserve"> </w:t>
      </w:r>
      <w:r>
        <w:t xml:space="preserve">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Voter Stake Registry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but the generalizable typology</w:t>
      </w:r>
      <w:r>
        <w:t xml:space="preserve"> </w:t>
      </w:r>
      <w:r>
        <w:t xml:space="preserve">that future replication and extension work can apply uniformly (the</w:t>
      </w:r>
      <w:r>
        <w:t xml:space="preserve"> </w:t>
      </w:r>
      <w:r>
        <w:t xml:space="preserve">exclusions log contains the address-by-address documentation).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4"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percent of the top-50 deposit-weighted</w:t>
      </w:r>
      <w:r>
        <w:t xml:space="preserve"> </w:t>
      </w:r>
      <w:r>
        <w:t xml:space="preserve">share; Yearn Finance, a yield-aggregation protocol that runs a similar</w:t>
      </w:r>
      <w:r>
        <w:t xml:space="preserve"> </w:t>
      </w:r>
      <w:r>
        <w:t xml:space="preserve">meta-governance position, holds 14 percent; Stake DAO holds 9 percent; the remaining</w:t>
      </w:r>
      <w:r>
        <w:t xml:space="preserve"> </w:t>
      </w:r>
      <w:r>
        <w:t xml:space="preserve">top-50 lockers each hold less than 4 percent);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 displayed distributions use the of-record post-exclusion HHI; the headline sector test uses the voter-inclusive pass-through treatment (Mann-Whitney</w:t>
      </w:r>
      <w:r>
        <w:rPr>
          <w:i/>
          <w:iCs/>
        </w:rPr>
        <w:t xml:space="preserve"> </w:t>
      </w:r>
      <w:r>
        <w:rPr>
          <w:i/>
          <w:iCs/>
        </w:rPr>
        <w:t xml:space="preserve">p = 0.028, d = 0.65; the uniform staking-aggregation exclusion gives d = 0.75 at p = 0.018) and is robust in direction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p>
    <w:p>
      <w:pPr>
        <w:pStyle w:val="BodyText"/>
      </w:pPr>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percent while leading</w:t>
      </w:r>
      <w:r>
        <w:t xml:space="preserve"> </w:t>
      </w:r>
      <w:r>
        <w:t xml:space="preserve">DeFi protocol fees declined 27 to 70 percent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0.10, p = 0.49, N = 50; Spearman rho</w:t>
      </w:r>
      <w:r>
        <w:t xml:space="preserve"> </w:t>
      </w:r>
      <w:r>
        <w:t xml:space="preserve">= 0.16, p = 0.27).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Beyond these single-covariate tests, a joint test of the full launch-design block (founder-team allocation, investor allocation, and protocol maturity) is also null: together these covariates explain 4.6 percent of the variance in post-exclusion HHI (F(3, 41) = 0.66, p = 0.58), so no launch-design covariate is informative about steady-state concentration individually or jointly.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-0.11, Spearman rho = 0.04, N = 13; both non-significant), with the three-month value (Pearson r = -0.23), and with the three-to-twenty-four-month change (Pearson r = -0.23), and the null is robust to dropping the two most influential protocols (Curve, a structural vote-escrow outlier, and Aave, the only zero-insider-allocation protocol)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Consistent with the paper’s scope (Section 5.7), these panel correlations are descriptive and do not support causal or trajectory claims; the full panel analysis is specified as future work (Section 5.8).</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0.88</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The null relationship (Pearson r = 0.10, p = 0.49; Spearman rho = 0.16, p = 0.27)</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0.10, p = 0.49,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confirms that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 percentile interval of [+0.001, +0.091], strictly above zero.</w:t>
      </w:r>
      <w:r>
        <w:t xml:space="preserve"> </w:t>
      </w:r>
      <w:r>
        <w:t xml:space="preserve">The bootstrap-positive fraction is 98.0 percent.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0.10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p>
    <w:bookmarkEnd w:id="62"/>
    <w:bookmarkStart w:id="79"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hold</w:t>
      </w:r>
      <w:r>
        <w:t xml:space="preserve"> </w:t>
      </w:r>
      <w:r>
        <w:t xml:space="preserve">concentrated governance power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supporting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rPr>
          <w:b/>
          <w:bCs/>
        </w:rPr>
        <w:t xml:space="preserve">Table 6b. Full-history voting-HHI robustness.</w:t>
      </w:r>
      <w:r>
        <w:t xml:space="preserve"> </w:t>
      </w:r>
      <w:r>
        <w:t xml:space="preserve">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p>
    <w:tbl>
      <w:tblPr>
        <w:tblStyle w:val="Table"/>
        <w:tblW w:type="pct" w:w="5000"/>
        <w:tblLayout w:type="fixed"/>
        <w:tblLook w:firstRow="1" w:lastRow="0" w:firstColumn="0" w:lastColumn="0" w:noHBand="0" w:noVBand="0" w:val="0020"/>
      </w:tblPr>
      <w:tblGrid>
        <w:gridCol w:w="845"/>
        <w:gridCol w:w="1307"/>
        <w:gridCol w:w="1307"/>
        <w:gridCol w:w="1922"/>
        <w:gridCol w:w="999"/>
        <w:gridCol w:w="1537"/>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1000</w:t>
            </w:r>
          </w:p>
        </w:tc>
        <w:tc>
          <w:tcPr/>
          <w:p>
            <w:pPr>
              <w:pStyle w:val="Compact"/>
            </w:pPr>
            <w:r>
              <w:t xml:space="preserve">top-1,000 registry</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percent while top-1 voting-power share is 12.1 percent</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6" w:name="X3e309855b03a6d16c692cf733d7205e5f5ddaa9"/>
    <w:p>
      <w:pPr>
        <w:pStyle w:val="Heading3"/>
      </w:pPr>
      <w:r>
        <w:t xml:space="preserve">4.5.4.2 Multi-year voting-concentration trajectories</w:t>
      </w:r>
    </w:p>
    <w:p>
      <w:pPr>
        <w:pStyle w:val="FirstParagraph"/>
      </w:pPr>
      <w:r>
        <w:t xml:space="preserve">For the protocols where a true per-period voting series is recoverable, voting concentration is stable across multi-year windows of normal participation (Figure 7), and the only large excursions occur in late, low-turnout periods where a collapsing voter count mechanically inflates per-period HHI. This confirms that the Table 6 figures reflect full-history voting behavior rather than a single-snapshot artifact.</w:t>
      </w:r>
    </w:p>
    <w:tbl>
      <w:tblPr>
        <w:tblStyle w:val="Table"/>
        <w:tblW w:type="pct" w:w="5000"/>
        <w:tblLayout w:type="fixed"/>
        <w:tblLook w:firstRow="1" w:lastRow="0" w:firstColumn="0" w:lastColumn="0" w:noHBand="0" w:noVBand="0" w:val="0020"/>
      </w:tblPr>
      <w:tblGrid>
        <w:gridCol w:w="754"/>
        <w:gridCol w:w="1056"/>
        <w:gridCol w:w="678"/>
        <w:gridCol w:w="678"/>
        <w:gridCol w:w="905"/>
        <w:gridCol w:w="678"/>
        <w:gridCol w:w="3168"/>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r>
              <w:t xml:space="preserve">GP15 spike is post-rewards regime change</w:t>
            </w:r>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r>
              <w:t xml:space="preserve">GIP-13 rise is 23-voter low turnout</w:t>
            </w:r>
          </w:p>
        </w:tc>
      </w:tr>
      <w:tr>
        <w:tc>
          <w:tcPr/>
          <w:p>
            <w:pPr>
              <w:pStyle w:val="Compact"/>
            </w:pPr>
            <w:r>
              <w:t xml:space="preserve">HNT</w:t>
            </w:r>
          </w:p>
        </w:tc>
        <w:tc>
          <w:tcPr/>
          <w:p>
            <w:pPr>
              <w:pStyle w:val="Compact"/>
            </w:pPr>
            <w:r>
              <w:t xml:space="preserve">per-proposal</w:t>
            </w:r>
          </w:p>
        </w:tc>
        <w:tc>
          <w:tcPr/>
          <w:p>
            <w:pPr>
              <w:pStyle w:val="Compact"/>
              <w:jc w:val="right"/>
            </w:pPr>
            <w:r>
              <w:t xml:space="preserve">46</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0.8655</w:t>
            </w:r>
          </w:p>
        </w:tc>
        <w:tc>
          <w:tcPr/>
          <w:p>
            <w:pPr>
              <w:pStyle w:val="Compact"/>
            </w:pPr>
            <w:r>
              <w:t xml:space="preserve">post-HIP-141 rise is turnout collapse</w:t>
            </w:r>
          </w:p>
        </w:tc>
      </w:tr>
    </w:tbl>
    <w:p>
      <w:pPr>
        <w:pStyle w:val="BodyText"/>
      </w:pPr>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p>
    <w:p>
      <w:pPr>
        <w:pStyle w:val="BodyText"/>
      </w:pPr>
      <w:r>
        <w:drawing>
          <wp:inline>
            <wp:extent cx="5334000" cy="2820880"/>
            <wp:effectExtent b="0" l="0" r="0" t="0"/>
            <wp:docPr descr="" title="" id="74" name="Picture"/>
            <a:graphic>
              <a:graphicData uri="http://schemas.openxmlformats.org/drawingml/2006/picture">
                <pic:pic>
                  <pic:nvPicPr>
                    <pic:cNvPr descr="media/fig_voting_trajectory.png" id="75" name="Picture"/>
                    <pic:cNvPicPr>
                      <a:picLocks noChangeArrowheads="1" noChangeAspect="1"/>
                    </pic:cNvPicPr>
                  </pic:nvPicPr>
                  <pic:blipFill>
                    <a:blip r:embed="rId73"/>
                    <a:stretch>
                      <a:fillRect/>
                    </a:stretch>
                  </pic:blipFill>
                  <pic:spPr bwMode="auto">
                    <a:xfrm>
                      <a:off x="0" y="0"/>
                      <a:ext cx="5334000" cy="2820880"/>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Per-period voting-HHI trajectories (log scale, by period index) for the three protocols with a true per-period governance series (Algorand, GEODNET, Helium; per-period values in the table above).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r>
        <w:rPr>
          <w:i/>
          <w:iCs/>
        </w:rPr>
        <w:t xml:space="preserve"> </w:t>
      </w:r>
      <w:r>
        <w:rPr>
          <w:rStyle w:val="VerbatimChar"/>
          <w:i/>
          <w:iCs/>
        </w:rPr>
        <w:t xml:space="preserve">b2_voting_timeseries_reproduce_2026-06-03.py</w:t>
      </w:r>
      <w:r>
        <w:rPr>
          <w:i/>
          <w:iCs/>
        </w:rPr>
        <w:t xml:space="preserve">.</w:t>
      </w:r>
    </w:p>
    <w:bookmarkEnd w:id="76"/>
    <w:bookmarkStart w:id="78"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7">
        <w:r>
          <w:rPr>
            <w:rStyle w:val="Hyperlink"/>
          </w:rPr>
          <w:t xml:space="preserve">Supplementary File S25</w:t>
        </w:r>
      </w:hyperlink>
      <w:r>
        <w:t xml:space="preserve">.</w:t>
      </w:r>
    </w:p>
    <w:bookmarkEnd w:id="78"/>
    <w:bookmarkEnd w:id="79"/>
    <w:bookmarkStart w:id="93"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is robust in direction and medium in magnitude under a consistent staking-aggregation exclusion (Mann-Whitney p = 0.018, Cohen’s d = 0.75). The test remains significant</w:t>
      </w:r>
      <w:r>
        <w:t xml:space="preserve"> </w:t>
      </w:r>
      <w:r>
        <w:t xml:space="preserve">in all 30 of 30 leave-one-out iterations (per-iteration p range: 0.006</w:t>
      </w:r>
      <w:r>
        <w:t xml:space="preserve"> </w:t>
      </w:r>
      <w:r>
        <w:t xml:space="preserve">to 0.031; Cohen’s d range: 0.68 to 0.92; the per-iteration forest plot with bootstrap 95 percent CI on the</w:t>
      </w:r>
      <w:r>
        <w:t xml:space="preserve"> </w:t>
      </w:r>
      <w:r>
        <w:t xml:space="preserve">robustness-treatment d is in Supplementary Figure S5b in Supplementary File S5). No single dropped</w:t>
      </w:r>
      <w:r>
        <w:t xml:space="preserve"> </w:t>
      </w:r>
      <w:r>
        <w:t xml:space="preserve">protocol pushes the per-iteration p-value above 0.031, and no single</w:t>
      </w:r>
      <w:r>
        <w:t xml:space="preserve"> </w:t>
      </w:r>
      <w:r>
        <w:t xml:space="preserve">protocol uniquely drives the result. A two-sided permutation</w:t>
      </w:r>
      <w:r>
        <w:t xml:space="preserve"> </w:t>
      </w:r>
      <w:r>
        <w:t xml:space="preserve">test (100,000 random reassignments of sector labels) yields p = 0.009,</w:t>
      </w:r>
      <w:r>
        <w:t xml:space="preserve"> </w:t>
      </w:r>
      <w:r>
        <w:t xml:space="preserve">confirming that the direction is not an artifact of the asymptotic</w:t>
      </w:r>
      <w:r>
        <w:t xml:space="preserve"> </w:t>
      </w:r>
      <w:r>
        <w:t xml:space="preserve">approximation. A non-parametric bootstrap on the sector mean difference</w:t>
      </w:r>
      <w:r>
        <w:t xml:space="preserve"> </w:t>
      </w:r>
      <w:r>
        <w:t xml:space="preserve">(10,000 resamples) yields a 95 percent percentile interval of [+0.010,</w:t>
      </w:r>
      <w:r>
        <w:t xml:space="preserve"> </w:t>
      </w:r>
      <w:r>
        <w:t xml:space="preserve">+0.081] HHI points, strictly excluding zero; the Cohen’s d 95 percent</w:t>
      </w:r>
      <w:r>
        <w:t xml:space="preserve"> </w:t>
      </w:r>
      <w:r>
        <w:t xml:space="preserve">percentile interval is [0.40, 1.52], spanning the small-to-large range with the point estimate at the medium level, so it remains above the small-effect</w:t>
      </w:r>
      <w:r>
        <w:t xml:space="preserve"> </w:t>
      </w:r>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r>
        <w:t xml:space="preserve"> </w:t>
      </w:r>
      <w:r>
        <w:t xml:space="preserve">sample composition, resampling, and rank-based and parametric tests.</w:t>
      </w:r>
    </w:p>
    <w:p>
      <w:pPr>
        <w:pStyle w:val="BodyText"/>
      </w:pPr>
      <w:r>
        <w:drawing>
          <wp:inline>
            <wp:extent cx="5334000" cy="2927348"/>
            <wp:effectExtent b="0" l="0" r="0" t="0"/>
            <wp:docPr descr="" title="" id="81" name="Picture"/>
            <a:graphic>
              <a:graphicData uri="http://schemas.openxmlformats.org/drawingml/2006/picture">
                <pic:pic>
                  <pic:nvPicPr>
                    <pic:cNvPr descr="media/fig9_loo_forest.png" id="82" name="Picture"/>
                    <pic:cNvPicPr>
                      <a:picLocks noChangeArrowheads="1" noChangeAspect="1"/>
                    </pic:cNvPicPr>
                  </pic:nvPicPr>
                  <pic:blipFill>
                    <a:blip r:embed="rId80"/>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p>
    <w:p>
      <w:pPr>
        <w:pStyle w:val="BodyText"/>
      </w:pPr>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83">
        <w:r>
          <w:rPr>
            <w:rStyle w:val="Hyperlink"/>
          </w:rPr>
          <w:t xml:space="preserve">Supplementary File S8</w:t>
        </w:r>
      </w:hyperlink>
      <w:r>
        <w:t xml:space="preserve">.</w:t>
      </w:r>
    </w:p>
    <w:p>
      <w:pPr>
        <w:pStyle w:val="BodyText"/>
      </w:pPr>
      <w:r>
        <w:drawing>
          <wp:inline>
            <wp:extent cx="5334000" cy="4186514"/>
            <wp:effectExtent b="0" l="0" r="0" t="0"/>
            <wp:docPr descr="" title="" id="85" name="Picture"/>
            <a:graphic>
              <a:graphicData uri="http://schemas.openxmlformats.org/drawingml/2006/picture">
                <pic:pic>
                  <pic:nvPicPr>
                    <pic:cNvPr descr="media/fig7_subsidy_scatter.png" id="86" name="Picture"/>
                    <pic:cNvPicPr>
                      <a:picLocks noChangeArrowheads="1" noChangeAspect="1"/>
                    </pic:cNvPicPr>
                  </pic:nvPicPr>
                  <pic:blipFill>
                    <a:blip r:embed="rId84"/>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3">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8"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7">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r>
        <w:t xml:space="preserve"> </w:t>
      </w:r>
      <w:hyperlink r:id="rId87">
        <w:r>
          <w:rPr>
            <w:rStyle w:val="Hyperlink"/>
          </w:rPr>
          <w:t xml:space="preserve">Supplementary File S12</w:t>
        </w:r>
      </w:hyperlink>
      <w:r>
        <w:t xml:space="preserve">.</w:t>
      </w:r>
    </w:p>
    <w:bookmarkEnd w:id="88"/>
    <w:bookmarkStart w:id="90" w:name="pca-exclusion-strictness-robustness"/>
    <w:p>
      <w:pPr>
        <w:pStyle w:val="Heading3"/>
      </w:pPr>
      <w:r>
        <w:t xml:space="preserve">4.6.2 PCA exclusion strictness robustness</w:t>
      </w:r>
    </w:p>
    <w:p>
      <w:pPr>
        <w:pStyle w:val="FirstParagraph"/>
      </w:pPr>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p>
    <w:p>
      <w:pPr>
        <w:pStyle w:val="BodyText"/>
      </w:pPr>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p>
    <w:p>
      <w:pPr>
        <w:pStyle w:val="BodyText"/>
      </w:pPr>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p>
    <w:p>
      <w:pPr>
        <w:pStyle w:val="BodyText"/>
      </w:pPr>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p>
    <w:p>
      <w:pPr>
        <w:pStyle w:val="BodyText"/>
      </w:pPr>
      <w:r>
        <w:t xml:space="preserve">Full per-specification table, per-cell numerical detail, and the per-pool staking decomposition are in Supplementary Files S10 and S22, the former at</w:t>
      </w:r>
      <w:r>
        <w:t xml:space="preserve"> </w:t>
      </w:r>
      <w:hyperlink r:id="rId89">
        <w:r>
          <w:rPr>
            <w:rStyle w:val="Hyperlink"/>
          </w:rPr>
          <w:t xml:space="preserve">Supplementary File S10</w:t>
        </w:r>
      </w:hyperlink>
      <w:r>
        <w:t xml:space="preserve">.</w:t>
      </w:r>
    </w:p>
    <w:bookmarkEnd w:id="90"/>
    <w:bookmarkStart w:id="91"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91"/>
    <w:bookmarkStart w:id="92"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2"/>
    <w:bookmarkEnd w:id="93"/>
    <w:bookmarkEnd w:id="94"/>
    <w:bookmarkStart w:id="107" w:name="discussion"/>
    <w:p>
      <w:pPr>
        <w:pStyle w:val="Heading1"/>
      </w:pPr>
      <w:r>
        <w:t xml:space="preserve">5 Discussion</w:t>
      </w:r>
    </w:p>
    <w:bookmarkStart w:id="95" w:name="measurement-implications"/>
    <w:p>
      <w:pPr>
        <w:pStyle w:val="Heading2"/>
      </w:pPr>
      <w:r>
        <w:t xml:space="preserve">5.1 Measurement Implications</w:t>
      </w:r>
    </w:p>
    <w:p>
      <w:pPr>
        <w:pStyle w:val="FirstParagraph"/>
      </w:pPr>
      <w:r>
        <w:t xml:space="preserve">A decentralization claim is not supported by launch allocation or raw holder lists; it requires a live-governance audit of PCA-corrected holdings, insider retention, and voting power. 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5"/>
    <w:bookmarkStart w:id="96"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6"/>
    <w:bookmarkStart w:id="97"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7"/>
    <w:bookmarkStart w:id="98"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8"/>
    <w:bookmarkStart w:id="99"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0.10, p = 0.49, N = 50), while current insider wallet retention is associated with concentration (Spearman rho = 0.44, p = 0.005, N = 39); the non-insider HHI check supports this as more than a purely mechanical result (rho = 0.54).</w:t>
      </w:r>
    </w:p>
    <w:p>
      <w:pPr>
        <w:pStyle w:val="BodyText"/>
      </w:pPr>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9"/>
    <w:bookmarkStart w:id="100" w:name="contributions"/>
    <w:p>
      <w:pPr>
        <w:pStyle w:val="Heading2"/>
      </w:pPr>
      <w:r>
        <w:t xml:space="preserve">5.6 Contributions</w:t>
      </w:r>
    </w:p>
    <w:p>
      <w:pPr>
        <w:pStyle w:val="FirstParagraph"/>
      </w:pPr>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 as a supporting demonstration</w:t>
      </w:r>
      <w:r>
        <w:t xml:space="preserve"> </w:t>
      </w:r>
      <w:r>
        <w:t xml:space="preserve">(Section 4.3). DePIN governance concentration exceeds DeFi after PCA correction, with robustness to leave-one-out, permutation, and bootstrap checks. This is a descriptive sector contrast rather than the paper’s central claim; it illustrates the kind of cross-protocol pattern the audit framework surfaces.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p>
    <w:bookmarkEnd w:id="100"/>
    <w:bookmarkStart w:id="101"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p>
    <w:p>
      <w:pPr>
        <w:pStyle w:val="BodyText"/>
      </w:pPr>
      <w:r>
        <w:t xml:space="preserve">Second, the magnitude and significance of the balanced sector contrast depend on the completeness and consistency of the exclusion.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The directional claim that DePIN central tendency exceeds DeFi is robust across every exclusion specification; the magnitude is medium, and the significance, robust under the uniform exclusion, sits closer to the margin under the headline pass-through treatment (Section 4.6.2).</w:t>
      </w:r>
    </w:p>
    <w:p>
      <w:pPr>
        <w:pStyle w:val="BodyText"/>
      </w:pPr>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p>
    <w:p>
      <w:pPr>
        <w:pStyle w:val="BodyText"/>
      </w:pPr>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p>
    <w:p>
      <w:pPr>
        <w:pStyle w:val="BodyText"/>
      </w:pPr>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p>
    <w:p>
      <w:pPr>
        <w:pStyle w:val="BodyText"/>
      </w:pPr>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p>
    <w:p>
      <w:pPr>
        <w:pStyle w:val="BodyText"/>
      </w:pPr>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p>
    <w:p>
      <w:pPr>
        <w:pStyle w:val="BodyText"/>
      </w:pPr>
      <w:r>
        <w:t xml:space="preserve">Measurement extensions that would refine these findings without changing</w:t>
      </w:r>
      <w:r>
        <w:t xml:space="preserve"> </w:t>
      </w:r>
      <w:r>
        <w:t xml:space="preserve">the core claim are enumerated in Section 5.8.</w:t>
      </w:r>
    </w:p>
    <w:bookmarkEnd w:id="101"/>
    <w:bookmarkStart w:id="105"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102">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103">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show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4">
        <w:r>
          <w:rPr>
            <w:rStyle w:val="Hyperlink"/>
          </w:rPr>
          <w:t xml:space="preserve">Supplementary File S17</w:t>
        </w:r>
      </w:hyperlink>
      <w:r>
        <w:t xml:space="preserve">.</w:t>
      </w:r>
    </w:p>
    <w:bookmarkEnd w:id="105"/>
    <w:bookmarkStart w:id="106"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6"/>
    <w:bookmarkEnd w:id="107"/>
    <w:bookmarkStart w:id="108"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0.10, p = 0.49,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p>
    <w:p>
      <w:pPr>
        <w:pStyle w:val="BodyText"/>
      </w:pPr>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08"/>
    <w:bookmarkStart w:id="109"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a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9"/>
    <w:bookmarkStart w:id="110"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0"/>
    <w:bookmarkStart w:id="111"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4"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3"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2"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4"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3"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2"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2026-06-03T06:59:20Z</dcterms:created>
  <dcterms:modified xsi:type="dcterms:W3CDTF">2026-06-03T06:59:20Z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/private/tmp/b2_build_wt/_build/research_content/papers/B2_governance_concentration/_bibliography.bib</vt:lpwstr>
  </property>
  <property fmtid="{D5CDD505-2E9C-101B-9397-08002B2CF9AE}" pid="3" name="csl">
    <vt:lpwstr>/private/tmp/b2_build_wt/tools/content-build/citeproc_config/apa.csl</vt:lpwstr>
  </property>
</Properties>
</file>