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 xml:space="preserve">www.Tokenization.Systems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reached the first net-deflationary monthly readings observed among GeoDePIN protocols, its Subsidy-to-Revenue ratio (S2R) rising from 0.013 under coverage-based rewards to a monthly peak of 1.84 between May 2023 and February 2026. In the strongest months Data Credit burns exceeded HNT emissions (peak monthly S2R 1.84), but on a trailing-twelve-month basis the network remained net inflationary (S2R approximately 0.49), and steady-state offset is lower still once temporary post-HIP-147 burn allocations and WiFi-offload pricing are normalized. However, roughly five purchasers account for 90% of those burns: a demand concentration that aggregate fiscal metrics cannot detect. DIMO posted a higher single-month reading (S2R 4.24) during a period of elevated developer-license purchases rather than at sustained equilibrium; GEODNET (0.219) and Hivemapper (0.183) occupy a growth-phase middle tier; the remaining protocols cluster near zero. Governance concentration is high across the GeoDePIN cross-section (pre-exclusion Herfindahl-Hirschman Index 0.034 to 0.593); a companion cross-sectional study confirms DePIN tokens are significantly more governance-concentrated than DeFi after excluding protocol-controlled addresses (Mann-Whitney p = 0.028, Cohen’s d = 0.65). Four outputs organize the findings: a classification distinguishing GeoDePIN from location-independent protocols with testable predictions, a design playbook mapping mechanisms to protocol maturity stages, a health dashboard with a demand-concentration guardrail for direct-burn protocols, and a subtraction test for mechanism necessity.</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In mid-2024,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consistent with geographic saturation imposing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draws on Kantian publicity, Rawlsian fairness, republican non-domination, and Hayekian knowledge-use.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 xml:space="preserve">The sinks-before-faucets principle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scoping review (Frontiers in Blockchain, 2026), identifying the prevailing “DePIN Flywheel” pattern grounded in a Burn-and-Mint Equilibrium “where demand is monetized through fiat-denominated usage credits created by burning the network's native token.” Alshater further characterizes the architecture as a composition of three primitives: the burn-and-mint sink, governance-calibrated issuance, and collateral requirements that bind operator participation to network state. The review identifies four structural challenges that the longitudinal S2R analysis developed here addresses directly: token price volatility impact on provider economics, robust incentive alignment, generating sufficient non-speculative demand, and regulatory uncertainty. Alshater's research agenda explicitly prioritizes empirical event studies of governance changes and quality-adjusted reward measurement;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 xml:space="preserve">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that adaptive emission compresses worst-case node-count variance roughly sixfold under supply shocks (the coefficient of variation falls from 0.544 under static policy to 0.087 under PID control during a competitor shock, raising the fifth-percentile outcome from 1,049 to 8,880 nodes), and indicates that the monetary regime under stress is scenario-dependent: under competitor and regulatory shocks both PID-controlled and static protocols are net deflationary because slashing dominates supply removal, while only under a sustained bear contraction do the regimes diverge, with the PID controller producing mild inflation (+3.9%) and the static schedule producing deflation.</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 xml:space="preserve">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234 to 354 million tokens from circulation to treasury across all parameterizations (269 to 354 million at default penalty values),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 xml:space="preserve">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the public replication package (see Data Availability).</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 xml:space="preserve">Governance concentration: 6 DePIN protocols with computed governance HHIs reported here (DIMO, WeatherXM, IoTeX, GEODNET, Anyone, Grass) from the full 13-protocol sample; post-exclusion DeFi benchmarks are drawn from the 52-protocol companion cross-section.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1.84 in February 2026, crossing fiscal parity in October 2025 and remaining net-deflationary through the observation window.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pPr>
        <w:jc w:val="center"/>
      </w:pPr>
      <w:r>
        <w:drawing>
          <wp:inline xmlns:a="http://schemas.openxmlformats.org/drawingml/2006/main" xmlns:pic="http://schemas.openxmlformats.org/drawingml/2006/picture" distT="0" distB="0" distL="0" distR="0">
            <wp:extent cx="4572000" cy="2489765"/>
            <wp:docPr id="4" name="Figure 1"/>
            <a:graphic>
              <a:graphicData uri="http://schemas.openxmlformats.org/drawingml/2006/picture">
                <pic:pic>
                  <pic:nvPicPr>
                    <pic:cNvPr id="4" name="Figure 1"/>
                    <pic:cNvPicPr/>
                  </pic:nvPicPr>
                  <pic:blipFill>
                    <a:blip xmlns:r="http://schemas.openxmlformats.org/officeDocument/2006/relationships" r:embed="rId9"/>
                    <a:stretch>
                      <a:fillRect/>
                    </a:stretch>
                  </pic:blipFill>
                  <pic:spPr>
                    <a:xfrm>
                      <a:off x="0" y="0"/>
                      <a:ext cx="4572000" cy="2489765"/>
                    </a:xfrm>
                  </pic:spPr>
                </pic:pic>
              </a:graphicData>
            </a:graphic>
          </wp:inline>
        </w:drawing>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mid-2025), as Mobile subscriber growth and IoT data transfer increased burn volume; (3) fiscal parity and beyond (S2R 1.03 to 1.84 , late 2025 to February 2026), when monthly burns consistently exceeded issuance.</w:t>
        <w:br/>
        <w:t>Helium reached the first net-deflationary monthly readings observed among GeoDePIN protocols. DIMO posted a higher single-month reading (S2R = 4.24), but in a period of elevated developer-license purchases against low emissions rather than at sustained equilibrium, so it is not yet a confirmed second parity case. A steady-state caveat applies to the Helium headline: WiFi offload traffic is priced at $0.10-0.25 per GB versus $0.50 for CBRS, and the February 2026 reading reflects a temporary post-HIP-147 Mobile burn allocation since reduced, so the monthly peak overstates steady-state equilibrium by an estimated 2-5x. On a trailing-twelve-month basis (March 2025 to February 2026) the network remained net inflationary, with burns offsetting roughly half of issuance (S2R approximately 0.49).</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is consistent with the prediction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Industrial organization theory formalizes this demand-concentration risk as protocol oligopsony [26]: when a small number of governance token holders unilaterally control emission rates and reward parameters, they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cumulative May 2023 to February 2026.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 xml:space="preserve">Hypothesis mapping: The strongest single case for the service-over-presence principle. The S2R trajectory from 0.013 post-migration (May 2023) to 1.84 in February 2026 (with burns exceeding issuance since October 2025) indicates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 xml:space="preserve">The Helium case provides the strongest single-protocol evidence for two design principles: sinks before faucets, documented by the S2R trajectory crossing parity only after demand-coupled burns were deployed; and service over presence, documented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 xml:space="preserve">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 xml:space="preserve">After excluding the DIMO Foundation address (verified via Blockscout, holding approximately 55% of supply with no on-chain governance activity), DIMO’s governance HHI drops from 0.305 (pre-exclusion, computed here) to 0.025, the post-exclusion value in the companion cross-section [34]. Post-exclusion, DIMO is among the least concentrated DePIN governance tokens in the 52-protocol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 xml:space="preserve">Design lesson: DIMO illustrates the sink-before-scale principle (Section 2.2): the Developer License burn was operational before aggressive hardware distribution, ensuring token demand scaled with genuine data consumption. Pre-exclusion governance concentration (HHI 0.305, reduced to 0.025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the protocols with recent monthly S2R above unity (Helium and DIMO).</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 xml:space="preserve">IoTeX operates a purpose-built Layer-1 blockchain optimized for Internet of Things devices and DePIN applications. The platform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 xml:space="preserve">IoTeX employs an EIP-1559 [5]-style gas fee burn mechanism on its native L1 chain. Transaction fees [17]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A stated enterprise client base (50+, including Quectel and DroneDeploy; issuer-reported) purchases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the Foundation buy-and-burn (GEOD removed to the Polygon burn address) reveal monthly burns ranging from 500,000 GEOD (October 2024) to 2.76 million GEOD (October 2025), with the trailing twelve months totaling approximately 19.4 million GEOD. February 2026 burns totaled 1.3 million GEOD against net token issuance of approximately 5.95 million GEOD from the protocol’s Polygon mining-distribution wallets over the same month, yielding the S2R of 0.219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GEODNET’s sink is a Foundation-executed buy-and-burn: subscription revenue is collected off-chain in fiat, after which the Foundation purchases GEOD on the open market and burns it. The on-chain burn transactions are therefore signed by the Foundation’s treasury, not by individual customers, so the “Who Burns?” demand-concentration diagnostic (Section 5.1.2) does not apply to GEODNET; burn-signer concentration is not a valid proxy for customer concentration under a buy-and-burn architecture. The underlying demand base (a stated 50+ enterprise clients purchasing fiat subscriptions through direct and reseller channels) is not observable on-chain and is not verified here.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On-chain burn and net-issuance data indicate a single-peaked monthly absorption trajectory since the September 2024 Solana migration, with the February 2026 reading at 21.9% (S2R 0.219), exceeding Hivemapper (0.183) but remaining well below the fiscal-parity trajectory that Helium followed. By early 2026, the network spanned 5,802 cities with median station earnings of $47.63 per month [32].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stated enterprise client base (50+ organizations, issuer-reported) and the non-discretionary nature of precision positioning for autonomous systems suggest demand resilience beyond speculative token use.</w:t>
      </w:r>
    </w:p>
    <w:p>
      <w:r>
        <w:t xml:space="preserve">The trajectory is single-peaked rather than monotonic: absorption holds roughly between 8% and 15% from late 2024 through mid 2025, then ramps sharply after the June 30, 2025 halving (which cut mining rewards by 50% [45]) to a peak of 52.5% in October 2025 before easing to 21.9% (S2R 0.219) by February 2026. The ramp is consistent with the two mechanisms the model predicts: a shrinking issuance denominator and a growing subscription-funded burn numerator. The subsequent easing reflects a decline in monthly buy-and-burn volume (from 2.76 million GEOD in October 2025 to 1.3 million in February 2026) against a modestly rising net issuance denominator. A separate supply-side risk that the S2R metric does not capture is vesting-driven dilution, which operates independently of emission schedules; the team and investor unlock schedule is discussed below.</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monthly burn absorption rate (Foundation buy-and-burn token removals as a percentage of net miner issuance), September 2024 to February 2026. The dashed line marks the 50% absorption threshold; the vertical marker indicates the June 30, 2025 annual halving. The series holds roughly between 8% and 15% from late 2024 through mid 2025, then ramps to a peak of 52.5% in October 2025 before easing to 21.9% in February 2026 (S2R 0.219). Burns are the GEODNET Foundation open-market buy-and-burn, measured on the Polygon burn address; net miner issuance is measured from the protocol’s Polygon mining-distribution wallets. Source: Dune Analytics.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 xml:space="preserve">0.219</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 xml:space="preserve">S2R 0.219; Foundation buy-and-burn (demand off-chain,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A dash marks a value not measured; "data-insufficient" in the Key Finding column marks on-chain observability missing or computation prevented by schema.</w:t>
      </w:r>
    </w:p>
    <w:p>
      <w:r>
        <w:rPr>
          <w:b w:val="0"/>
        </w:rPr>
        <w:t xml:space="preserve">A three-tier sustainability hierarchy emerges from the comparative summary (Table 4). At the top, Helium reached net-deflationary monthly readings (peak S2R 1.84) and DIMO posted a single elevated month (S2R 4.24); both show burns exceeding issuance in recent months, though neither is yet confirmed at sustained equilibrium (Helium remained net inflationary on a trailing-twelve-month basis). In a growth-phase middle tier, GEODNET (S2R 0.219)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(the burn-to-emission ratio peaks at 0.0061),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a Nansen-grounded evidence-traced exclusion methodology across 52 protocols [34]. That study documents that holding-based concentration is higher in DePIN than DeFi after protocol-controlled address exclusion (under the headline voter-inclusive staking pass-through treatment, Mann-Whitney p = 0.028, Cohen’s d = 0.65, a medium effect; a uniform staking-aggregation exclusion gives Cohen’s d = 0.75 at p = 0.018 as a robustness check), robust across leave-one-out iterations and alternative exclusion specifications. Delegation amplifies governance concentration above holding-based levels in thirteen of eighteen protocols with sufficient governance data (ratios 2.5x to 25.6x), with five design-driven dispersion exceptions (ENS, GMX, HNT, JUP, LPT); infrastructure protocols Optimism (3.6x) and Arbitrum (3.1x) sit within the amplification pattern. The present paper uses protocol-specific governance observations as inputs to the design playbook below.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(0.219), and Hivemapper (0.183); Helium and DIMO posted recent months with S2R ≥ 1.0 (Helium across late 2025 to February 2026, DIMO in a single elevated month), with GEODNET on a single-peaked absorption trajectory that ramped to a peak in late 2025 before easing (Table 7).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Burn architecture determines whether demand concentration is observable. Helium’s direct-burn model, in which each Data Credit purchaser signs their own HNT burn, exposes demand concentration on-chain and reveals it to be high (Section 5.1.2). Buy-and-burn and protocol-mediated models (GEODNET, DIMO) instead route burns through a foundation or treasury, which relocates the demand base to off-chain subscriptions and licenses and leaves customer concentration unobservable on-chain. Where service pricing must be predictable for enterprise buyers, a dual-token or credit-denominated model reduces reflexivity risk, but designers should note that such models also remove demand concentration from on-chain view.</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 xml:space="preserve">Drawing on the empirical data assembled in Section 5, Table 6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GeoDePIN protocols whose customers burn tokens directly, the condition under which Top-5 burn share is a valid demand-concentration signal. We propose tracking it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Burn-architecture observability and S2R. Burn-signer HHI is a valid demand-concentration measure only for direct-burn protocols, where token holders sign their own burns; among the protocols studied only Helium meets this condition (burn-signer HHI 0.27, S2R 1.84), and there demand is highly concentrated (single-buyer-fragility regime). Buy-and-burn (GEODNET) and protocol-mediated pooled-burn (DIMO) architectures route burns through a foundation or treasury, so their demand base is off-chain and is shown in the shaded off-axis lane at left rather than at a measured concentration. The horizontal line marks S2R = 1.0 (fiscal parity).</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The “Who Burns?” diagnostic measures demand concentration only where token holders burn directly. Among the protocols studied, only Helium meets this condition, and there demand is highly concentrated (burn-signer HHI 0.27, with roughly five purchasers accounting for about 90% of burns). Buy-and-burn architectures (GEODNET) and protocol-mediated pooled-burn architectures (DIMO) route burns through a foundation or treasury rather than customers, relocating demand to off-chain fiat subscriptions and licenses; for these architectures on-chain burn-signer concentration is not a valid proxy for customer concentration, and the underlying demand distribution is not observable on-chain. The diagnostic’s applicability boundary is itself a finding: aggregate fiscal metrics and on-chain burns both fail to reveal the customer base of buy-and-burn and pooled-burn protocols.</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For buy-and-burn and license-based protocols such as GEODNET and DIMO, the analogous demand base is off-chain (fiat subscriptions and developer licenses) and is not measurable from burn-signer data, so no comparable on-chain concentration figure can be reported; whether their revenue diversification reduces buyer leverage as Resource Dependence Theory predicts is a question this on-chain method cannot answer.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is visible on-chain only for direct-burn protocols and that remains unmeasured for buy-and-burn and license-based models.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6. DePIN health dashboard metrics with proposed 12-month targets, Helium actuals (February 2026), and empirical basis.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w:t>
            </w:r>
          </w:p>
        </w:tc>
        <w:tc>
          <w:tcPr>
            <w:tcW w:type="dxa" w:w="727"/>
          </w:tcPr>
          <w:p>
            <w:r>
              <w:rPr>
                <w:sz w:val="16"/>
                <w:szCs w:val="16"/>
              </w:rPr>
              <w:t xml:space="preserve">—</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burns route through a single credit-purchase relayer (off-axis for demand concentration)</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 xml:space="preserve">0.219</w:t>
            </w:r>
          </w:p>
        </w:tc>
        <w:tc>
          <w:tcPr>
            <w:tcW w:type="dxa" w:w="1211"/>
          </w:tcPr>
          <w:p>
            <w:r>
              <w:rPr>
                <w:sz w:val="16"/>
                <w:szCs w:val="16"/>
              </w:rPr>
              <w:t xml:space="preserve">0.219</w:t>
            </w:r>
          </w:p>
        </w:tc>
        <w:tc>
          <w:tcPr>
            <w:tcW w:type="dxa" w:w="888"/>
          </w:tcPr>
          <w:p>
            <w:r>
              <w:rPr>
                <w:sz w:val="16"/>
                <w:szCs w:val="16"/>
              </w:rPr>
              <w:t>Feb 2026</w:t>
            </w:r>
          </w:p>
        </w:tc>
        <w:tc>
          <w:tcPr>
            <w:tcW w:type="dxa" w:w="2099"/>
          </w:tcPr>
          <w:p>
            <w:r>
              <w:rPr>
                <w:sz w:val="16"/>
                <w:szCs w:val="16"/>
              </w:rPr>
              <w:t xml:space="preserve">Dune (Polygon buy-and-burn; Polygon net issuance)</w:t>
            </w:r>
          </w:p>
        </w:tc>
        <w:tc>
          <w:tcPr>
            <w:tcW w:type="dxa" w:w="727"/>
          </w:tcPr>
          <w:p>
            <w:r>
              <w:rPr>
                <w:sz w:val="16"/>
                <w:szCs w:val="16"/>
              </w:rPr>
              <w:t xml:space="preserve">—</w:t>
            </w:r>
          </w:p>
        </w:tc>
      </w:tr>
      <w:tr>
        <w:trPr>
          <w:cantSplit/>
        </w:trPr>
        <w:tc>
          <w:tcPr>
            <w:tcW w:type="dxa" w:w="1373"/>
          </w:tcPr>
          <w:p>
            <w:r>
              <w:rPr>
                <w:sz w:val="16"/>
                <w:szCs w:val="16"/>
              </w:rPr>
              <w:t>DIMO</w:t>
            </w:r>
          </w:p>
        </w:tc>
        <w:tc>
          <w:tcPr>
            <w:tcW w:type="dxa" w:w="1453"/>
          </w:tcPr>
          <w:p>
            <w:r>
              <w:rPr>
                <w:sz w:val="16"/>
                <w:szCs w:val="16"/>
              </w:rPr>
              <w:t>License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w:t>
            </w:r>
          </w:p>
        </w:tc>
        <w:tc>
          <w:tcPr>
            <w:tcW w:type="dxa" w:w="727"/>
          </w:tcPr>
          <w:p>
            <w:r>
              <w:rPr>
                <w:sz w:val="16"/>
                <w:szCs w:val="16"/>
              </w:rPr>
              <w:t xml:space="preserve">—</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7. Cross-protocol S2R and demand concentration summary across the 13-protocol sample. Column 'S2R (burns)' uses the burns-only definition; 'S2R (burns+locks)' includes token lock-up mechanisms where applicable. Demand HHI computed where per-address burn data is available. A long dash in the Demand HHI column marks protocols for which a valid on-chain demand-concentration measure is not available, either because per-address burn data is not queryable or because the protocol executes burns through a foundation or treasury (buy-and-burn and pooled-burn architectures) so on-chain burn signers are not customers, or because the protocol has no token burn at all (Livepeer routes fees in ETH), so a burn-based demand-concentration measure does not apply.</w:t>
      </w:r>
    </w:p>
    <w:p>
      <w:r>
        <w:t xml:space="preserve">Table 7 consolidates the S2R and demand concentration readings from Section 5 across the 13-protocol sample.</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0.219).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reached the first net-deflationary monthly readings (peak S2R 1.84) and DIMO a single elevated month (S2R 4.24), though on a trailing-twelve-month basis Helium remained net inflationary (S2R approximately 0.49); GEODNET (0.219) and Hivemapper (0.183) occupy a growth-phase middle tier with confirmed burn activity but continued subsidy dependence; and the remaining protocols cluster near S2R zero, the sector default. The Helium longitudinal case (Table 3) documents the trajectory: demand-coupled burns can drive S2R above fiscal parity when paired with service-based reward transitions (HIP-147), but demand concentration (top-5 signers at approximately 90% of burns) creates a shadow risk invisible to aggregate metrics. Governance concentration is high across the GeoDePIN cross-section (pre-exclusion HHI 0.034 to 0.593); the companion cross-sectional study confirms DePIN tokens are significantly more concentrated than DeFi after excluding protocol-controlled addresses (Mann-Whitney p = 0.028, Cohen’s d = 0.65).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applicable to direct-burn protocols and demonstrated on Helium; (3) a design playbook keyed to observable protocol conditions with a subtraction test for minimum viable mechanism complexity; and (4) a health dashboard with demand-concentration guardrails (Top-5 &gt; 80%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 Three fiscal caveats further bound the headline findings: Helium’s monthly S2R peaked at 1.84 but the network remained net inflationary on a trailing-twelve-month basis (S2R approximately 0.49), and the peak reflects temporary post-HIP-147 burn allocations that overstate steady-state offset by an estimated 2-5x; DIMO’s S2R 4.24 is a single elevated-purchase month rather than a sustained equilibrium; and on-chain burn-signer concentration is a valid demand-concentration measure only for direct-burn protocols (Helium), so for buy-and-burn and pooled-burn architectures (GEODNET, DIMO, Hivemapper) the demand base is off-chain and not measured here.</w:t>
      </w:r>
    </w:p>
    <w:p>
      <w:r>
        <w:rPr>
          <w:b w:val="0"/>
        </w:rPr>
        <w:t xml:space="preserve">The S2R metric as currently specified measures burns against mining emissions; it does not capture vesting-driven dilution from team, investor, and ecosystem unlocks, a supply source distinct from the mining emissions in the denominator.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is asymmetric across burn architectures: Helium’s burns are signed directly by Data Credit purchasers, so its top-5 burn signers (approximately 90% of burns) measure genuine customer concentration. Buy-and-burn protocols such as GEODNET collect subscription revenue off-chain in fiat and execute burns through a foundation treasury, so on-chain burn signers do not identify customers and burn-signer concentration cannot be measured for them. This asymmetry opens a research question that on-chain data alone cannot answer: whether subscription-based demand architectures systematically produce more distributed customer bases than carrier-contract models. Testing it would require protocols to disclose off-chain subscription and license concentration, since the “Who Burns?” diagnostic is valid only where token holders burn directly.</w:t>
      </w:r>
    </w:p>
    <w:p>
      <w:r>
        <w:t xml:space="preserve">Resource Dependence Theory’s causal predictions generate a forward hypothesis for the only protocol whose demand concentration is directly observable on-chain: because Helium’s Data Credit purchasers burn HNT directly, its measured burn-signer HHI (0.27, top-2 addresses at 70.1% of burns) reflects real buyer concentration, and the theory predicts that such concentration raises the probability of simultaneous buyer exit and the associated S2R volatility. For protocols whose burns are executed by a foundation or protocol treasury rather than by customers, on-chain burn-signer HHI is not a valid measure of demand concentration, so the comparable test must draw on off-chain customer-base disclosure that does not yet exist.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 xml:space="preserve">[29] Z. Zukowski, "Adaptive tokenomics: A systems engineering approach to programmable incentive design,"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"Auditing governance concentration beyond token allocation: A live-governance study of 52 token protocols,"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