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40-Protocol Cross-Sectional Audit of DePIN and DeFi After Protocol-Controlled-Address Exclusion</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p>
    <w:p>
      <w:pPr>
        <w:pStyle w:val="BodyText"/>
      </w:pPr>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p>
    <w:p>
      <w:pPr>
        <w:pStyle w:val="BodyText"/>
      </w:pPr>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0.45x;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thirteen-protocol governance</w:t>
      </w:r>
      <w:r>
        <w:t xml:space="preserve"> </w:t>
      </w:r>
      <w:r>
        <w:t xml:space="preserve">sample studied here, delegation amplifies concentration in nine of</w:t>
      </w:r>
      <w:r>
        <w:t xml:space="preserve"> </w:t>
      </w:r>
      <w:r>
        <w:t xml:space="preserve">thirteen protocols (range 1.6x to 9.9x above the holding baseline), with</w:t>
      </w:r>
      <w:r>
        <w:t xml:space="preserve"> </w:t>
      </w:r>
      <w:r>
        <w:t xml:space="preserve">four structural exceptions on the dispersing side (ENS 0.45x, GMX 0.87x,</w:t>
      </w:r>
      <w:r>
        <w:t xml:space="preserve"> </w:t>
      </w:r>
      <w:r>
        <w:t xml:space="preserve">HNT 0.35x to 0.53x, JUP 0.057x; Section 4.5). The cross-protocol</w:t>
      </w:r>
      <w:r>
        <w:t xml:space="preserve"> </w:t>
      </w:r>
      <w:r>
        <w:t xml:space="preserve">variation is not associated with sector membership or governance venue but</w:t>
      </w:r>
      <w:r>
        <w:t xml:space="preserve"> </w:t>
      </w:r>
      <w:r>
        <w:t xml:space="preserve">by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Three</w:t>
      </w:r>
      <w:r>
        <w:t xml:space="preserve"> </w:t>
      </w:r>
      <w:r>
        <w:t xml:space="preserve">protocols with nearly identical subsidy ratios (Aethir 0.36, Aave 0.37,</w:t>
      </w:r>
      <w:r>
        <w:t xml:space="preserve"> </w:t>
      </w:r>
      <w:r>
        <w:t xml:space="preserve">io.net 0.40) span nearly an order of magnitude in governance HHI (0.013</w:t>
      </w:r>
      <w:r>
        <w:t xml:space="preserve"> </w:t>
      </w:r>
      <w:r>
        <w:t xml:space="preserve">to 0.125): financial sustainability is neither necessary nor sufficient</w:t>
      </w:r>
      <w:r>
        <w:t xml:space="preserve"> </w:t>
      </w:r>
      <w:r>
        <w:t xml:space="preserve">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w:t>
      </w:r>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0.020, Cohen’s d = 0.94),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nine of thirteen</w:t>
      </w:r>
      <w:r>
        <w:t xml:space="preserve"> </w:t>
      </w:r>
      <w:r>
        <w:t xml:space="preserve">protocols sampled, with amplification factors of 1.6x (DRIFT), 2.7x (Uniswap), 3.1x</w:t>
      </w:r>
      <w:r>
        <w:t xml:space="preserve"> </w:t>
      </w:r>
      <w:r>
        <w:t xml:space="preserve">(Arbitrum), 3.6x (Optimism), 3.8x (WeatherXM), 4.4x (Aave), 6.3x</w:t>
      </w:r>
      <w:r>
        <w:t xml:space="preserve"> </w:t>
      </w:r>
      <w:r>
        <w:t xml:space="preserve">(Lido), 9.1x (DIMO), and 9.9x (Compound). Four protocols</w:t>
      </w:r>
      <w:r>
        <w:t xml:space="preserve"> </w:t>
      </w:r>
      <w:r>
        <w:t xml:space="preserve">(ENS at 0.45x; GMX at 0.87x; HNT at 0.35x-0.53x; JUP at 0.057x most-extreme dispersion outlier) show delegation-mediated dispersion, reflecting</w:t>
      </w:r>
      <w:r>
        <w:t xml:space="preserve"> </w:t>
      </w:r>
      <w:r>
        <w:t xml:space="preserve">mature-delegate-program (ENS), methodology-sensitive crossover (GMX), Solana VSR lockup-weighted design (HNT), and Solana delegated-vote with broad airdrop user base (JUP)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and Balancer (vote-escrowed governance via veCRV, which is vote-escrowed CRV, and veBAL, vote-escrowed BAL) show extreme amplification (15x and 21x)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r>
        <w:t xml:space="preserve">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thirteen protocols, PCA classification is weaker on</w:t>
      </w:r>
      <w:r>
        <w:t xml:space="preserve"> </w:t>
      </w:r>
      <w:r>
        <w:t xml:space="preserve">some Solana-native tokens, and the 40-protocol sample is small for</w:t>
      </w:r>
      <w:r>
        <w:t xml:space="preserve"> </w:t>
      </w:r>
      <w:r>
        <w:t xml:space="preserve">fully specified multivariate models. Each limitation is developed in</w:t>
      </w:r>
      <w:r>
        <w:t xml:space="preserve"> </w:t>
      </w:r>
      <w:r>
        <w:t xml:space="preserve">Section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(§2.7-§2.8).</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(Aramonte et al.,</w:t>
      </w:r>
      <w:r>
        <w:t xml:space="preserve"> </w:t>
      </w:r>
      <w:r>
        <w:t xml:space="preserve">2021; Nadler &amp; Schär, 2020) structure.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the four-contribution structure stated in</w:t>
      </w:r>
      <w:r>
        <w:t xml:space="preserve"> </w:t>
      </w:r>
      <w:r>
        <w:t xml:space="preserve">§1.1 maps to the methodology in §3 and the results in §4.</w:t>
      </w:r>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40-protocol sample (Supplementary File S6 contains</w:t>
      </w:r>
      <w:r>
        <w:t xml:space="preserve"> </w:t>
      </w:r>
      <w:r>
        <w:t xml:space="preserve">the address-by-address documentation), but the generalizable typology</w:t>
      </w:r>
      <w:r>
        <w:t xml:space="preserve"> </w:t>
      </w:r>
      <w:r>
        <w:t xml:space="preserve">that future replication and extension work can apply uniformly.</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t xml:space="preserve">Across the five classes, this paper applies 133 PCA exclusions across</w:t>
      </w:r>
      <w:r>
        <w:t xml:space="preserve"> </w:t>
      </w:r>
      <w:r>
        <w:t xml:space="preserve">38 protocols (Supplementary File S6 and the supplementary exclusions</w:t>
      </w:r>
      <w:r>
        <w:t xml:space="preserve"> </w:t>
      </w:r>
      <w:r>
        <w:t xml:space="preserve">log dataset). The generalizable methodological</w:t>
      </w:r>
      <w:r>
        <w:t xml:space="preserve"> </w:t>
      </w:r>
      <w:r>
        <w:t xml:space="preserve">contribution: any future cross-protocol governance HHI analysis should</w:t>
      </w:r>
      <w:r>
        <w:t xml:space="preserve"> </w:t>
      </w:r>
      <w:r>
        <w:t xml:space="preserve">apply the five-class PCA exclusion uniformly before reporting holding</w:t>
      </w:r>
      <w:r>
        <w:t xml:space="preserve"> </w:t>
      </w:r>
      <w:r>
        <w:t xml:space="preserve">concentration metrics. The specific addresses depend on the protocol</w:t>
      </w:r>
      <w:r>
        <w:t xml:space="preserve"> </w:t>
      </w:r>
      <w:r>
        <w:t xml:space="preserve">sample; the methodology is sample-independent.</w:t>
      </w:r>
    </w:p>
    <w:bookmarkEnd w:id="42"/>
    <w:bookmarkEnd w:id="43"/>
    <w:bookmarkStart w:id="78"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 S6</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4.4;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0.096 (Jupiter).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0.018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2.10.10),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0.053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w:t>
      </w:r>
      <w:r>
        <w:t xml:space="preserve"> </w:t>
      </w:r>
      <w:r>
        <w:t xml:space="preserve">(</w:t>
      </w:r>
      <w:hyperlink r:id="rId33">
        <w:r>
          <w:rPr>
            <w:rStyle w:val="Hyperlink"/>
          </w:rPr>
          <w:t xml:space="preserve">Supplementary File S6</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0.05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w:t>
      </w:r>
    </w:p>
    <w:bookmarkEnd w:id="56"/>
    <w:bookmarkStart w:id="67"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thirteen protocols. Nine</w:t>
      </w:r>
      <w:r>
        <w:t xml:space="preserve"> </w:t>
      </w:r>
      <w:r>
        <w:t xml:space="preserve">protocols amplify, with ratios from 1.6x (DRIFT) to 9.9x (Compound) and</w:t>
      </w:r>
      <w:r>
        <w:t xml:space="preserve"> </w:t>
      </w:r>
      <w:r>
        <w:t xml:space="preserve">a mean of approximately 4.9x. Four protocols disperse voting power below</w:t>
      </w:r>
      <w:r>
        <w:t xml:space="preserve"> </w:t>
      </w:r>
      <w:r>
        <w:t xml:space="preserve">the holding baseline: ENS (0.45x), GMX (0.87x), HNT (0.35x to 0.53x),</w:t>
      </w:r>
      <w:r>
        <w:t xml:space="preserve"> </w:t>
      </w:r>
      <w:r>
        <w:t xml:space="preserve">and JUP (0.057x).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w:t>
      </w:r>
    </w:p>
    <w:p>
      <w:pPr>
        <w:pStyle w:val="BodyText"/>
      </w:pPr>
      <w:r>
        <w:t xml:space="preserve">Amplification varies by sector composition rather than by sector</w:t>
      </w:r>
      <w:r>
        <w:t xml:space="preserve"> </w:t>
      </w:r>
      <w:r>
        <w:t xml:space="preserve">membership. Within DeFi, the range spans 1.6x (DRIFT) to 9.9x (Compound);</w:t>
      </w:r>
      <w:r>
        <w:t xml:space="preserve"> </w:t>
      </w:r>
      <w:r>
        <w:t xml:space="preserve">DePIN spans 3.8x (WeatherXM) to 9.1x (DIMO); infrastructure spans 3.1x</w:t>
      </w:r>
      <w:r>
        <w:t xml:space="preserve"> </w:t>
      </w:r>
      <w:r>
        <w:t xml:space="preserve">(Arbitrum) to 3.6x (Optimism). The four dispersion exceptions are</w:t>
      </w:r>
      <w:r>
        <w:t xml:space="preserve"> </w:t>
      </w:r>
      <w:r>
        <w:t xml:space="preserve">discussed individually in §4.5.1 (ENS), §4.5.1.1 (GMX), and §4.5.4</w:t>
      </w:r>
      <w:r>
        <w:t xml:space="preserve"> </w:t>
      </w:r>
      <w:r>
        <w:t xml:space="preserve">(HNT and JUP under within-Solana heterogeneity).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per DRIFT cycle source memo).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0.057x ratio is the most-extreme</w:t>
      </w:r>
      <w:r>
        <w:t xml:space="preserve"> </w:t>
      </w:r>
      <w:r>
        <w:t xml:space="preserve">dispersion outlier in the cross-section.</w:t>
      </w:r>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ten Tally- and Snapshot-sourced protocols,</w:t>
      </w:r>
      <w:r>
        <w:rPr>
          <w:i/>
          <w:iCs/>
        </w:rPr>
        <w:t xml:space="preserve"> </w:t>
      </w:r>
      <w:r>
        <w:rPr>
          <w:i/>
          <w:iCs/>
        </w:rPr>
        <w:t xml:space="preserve">sorted by amplification ratio. Reading the figure: the ratio label at</w:t>
      </w:r>
      <w:r>
        <w:rPr>
          <w:i/>
          <w:iCs/>
        </w:rPr>
        <w:t xml:space="preserve"> </w:t>
      </w:r>
      <w:r>
        <w:rPr>
          <w:i/>
          <w:iCs/>
        </w:rPr>
        <w:t xml:space="preserve">the right of each pair gives voting HHI divided by holding HHI; ratios</w:t>
      </w:r>
      <w:r>
        <w:rPr>
          <w:i/>
          <w:iCs/>
        </w:rPr>
        <w:t xml:space="preserve"> </w:t>
      </w:r>
      <w:r>
        <w:rPr>
          <w:i/>
          <w:iCs/>
        </w:rPr>
        <w:t xml:space="preserve">above 1.0 indicate delegation amplifies concentration (the upper bar</w:t>
      </w:r>
      <w:r>
        <w:rPr>
          <w:i/>
          <w:iCs/>
        </w:rPr>
        <w:t xml:space="preserve"> </w:t>
      </w:r>
      <w:r>
        <w:rPr>
          <w:i/>
          <w:iCs/>
        </w:rPr>
        <w:t xml:space="preserve">is longer than the lower bar; green annotation), ratios below 1.0</w:t>
      </w:r>
      <w:r>
        <w:rPr>
          <w:i/>
          <w:iCs/>
        </w:rPr>
        <w:t xml:space="preserve"> </w:t>
      </w:r>
      <w:r>
        <w:rPr>
          <w:i/>
          <w:iCs/>
        </w:rPr>
        <w:t xml:space="preserve">indicate delegation distributes it (red annotation). Eight of ten</w:t>
      </w:r>
      <w:r>
        <w:rPr>
          <w:i/>
          <w:iCs/>
        </w:rPr>
        <w:t xml:space="preserve"> </w:t>
      </w:r>
      <w:r>
        <w:rPr>
          <w:i/>
          <w:iCs/>
        </w:rPr>
        <w:t xml:space="preserve">EVM/EVM-like protocols sampled show amplification, with ratios ranging from 2.7x</w:t>
      </w:r>
      <w:r>
        <w:rPr>
          <w:i/>
          <w:iCs/>
        </w:rPr>
        <w:t xml:space="preserve"> </w:t>
      </w:r>
      <w:r>
        <w:rPr>
          <w:i/>
          <w:iCs/>
        </w:rPr>
        <w:t xml:space="preserve">(Uniswap) to 9.9x (Compound); two protocols (ENS at 0.45x and GMX at</w:t>
      </w:r>
      <w:r>
        <w:rPr>
          <w:i/>
          <w:iCs/>
        </w:rPr>
        <w:t xml:space="preserve"> </w:t>
      </w:r>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r>
        <w:rPr>
          <w:i/>
          <w:iCs/>
        </w:rPr>
        <w:t xml:space="preserve"> </w:t>
      </w:r>
      <w:r>
        <w:rPr>
          <w:i/>
          <w:iCs/>
        </w:rPr>
        <w:t xml:space="preserve">Snapshot rows aggregate unique voters across all proposals in the 12-month rolling</w:t>
      </w:r>
      <w:r>
        <w:rPr>
          <w:i/>
          <w:iCs/>
        </w:rPr>
        <w:t xml:space="preserve"> </w:t>
      </w:r>
      <w:r>
        <w:rPr>
          <w:i/>
          <w:iCs/>
        </w:rPr>
        <w:t xml:space="preserve">window 2025-05-22 to 2026-05-22; Tally rows reflect top-1000 delegate</w:t>
      </w:r>
      <w:r>
        <w:rPr>
          <w:i/>
          <w:iCs/>
        </w:rPr>
        <w:t xml:space="preserve"> </w:t>
      </w:r>
      <w:r>
        <w:rPr>
          <w:i/>
          <w:iCs/>
        </w:rPr>
        <w:t xml:space="preserve">samples per protocol.</w:t>
      </w:r>
    </w:p>
    <w:p>
      <w:pPr>
        <w:pStyle w:val="BodyText"/>
      </w:pPr>
      <w:r>
        <w:t xml:space="preserve">Seven DeFi protocols sampled show varying delegation outcomes: JUP</w:t>
      </w:r>
      <w:r>
        <w:t xml:space="preserve"> </w:t>
      </w:r>
      <w:r>
        <w:t xml:space="preserve">(0.057x,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(1.6x, mild amplifier and the</w:t>
      </w:r>
      <w:r>
        <w:t xml:space="preserve"> </w:t>
      </w:r>
      <w:r>
        <w:t xml:space="preserve">lowest amplifier in the cross-section; Solana VSR-lockup-weighted per</w:t>
      </w:r>
      <w:r>
        <w:t xml:space="preserve"> </w:t>
      </w:r>
      <w:r>
        <w:t xml:space="preserve">Section 4.5.4), Uniswap (2.7x), Aave (4.4x), Lido</w:t>
      </w:r>
      <w:r>
        <w:t xml:space="preserve"> </w:t>
      </w:r>
      <w:r>
        <w:t xml:space="preserve">(6.3x), and Compound (9.9x; the highest in the</w:t>
      </w:r>
      <w:r>
        <w:t xml:space="preserve"> </w:t>
      </w:r>
      <w:r>
        <w:t xml:space="preserve">cross-protocol sample).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universal direction</w:t>
      </w:r>
      <w:r>
        <w:t xml:space="preserve"> </w:t>
      </w:r>
      <w:r>
        <w:t xml:space="preserve">of effect.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w:t>
      </w:r>
      <w:r>
        <w:t xml:space="preserve"> </w:t>
      </w:r>
      <w:r>
        <w:t xml:space="preserve">3.9; Bybit and Binance custody addresses excluded as Class 5 CEX</w:t>
      </w:r>
      <w:r>
        <w:t xml:space="preserve"> </w:t>
      </w:r>
      <w:r>
        <w:t xml:space="preserve">custody), Lido’s amplification ratio is the most extreme in the</w:t>
      </w:r>
      <w:r>
        <w:t xml:space="preserve"> </w:t>
      </w:r>
      <w:r>
        <w:t xml:space="preserve">sample, and the direction (concentration above stake) is consistent</w:t>
      </w:r>
      <w:r>
        <w:t xml:space="preserve"> </w:t>
      </w:r>
      <w:r>
        <w:t xml:space="preserve">with the predominant-amplification pattern documented across nine of thirteen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thirteen protocols across DeFi (Compound,</w:t>
      </w:r>
      <w:r>
        <w:t xml:space="preserve"> </w:t>
      </w:r>
      <w:r>
        <w:t xml:space="preserve">Aave, Uniswap, GMX, Lido), DePIN (DIMO, WeatherXM), and infrastructure</w:t>
      </w:r>
      <w:r>
        <w:t xml:space="preserve"> </w:t>
      </w:r>
      <w:r>
        <w:t xml:space="preserve">(Optimism, Arbitrum, ENS). Amplification factors range from 1.6x (DRIFT)</w:t>
      </w:r>
      <w:r>
        <w:t xml:space="preserve"> </w:t>
      </w:r>
      <w:r>
        <w:t xml:space="preserve">to 9.9x (Compound) across the nine amplifying protocols; ENS at 0.45x; GMX at 0.87x; HNT at 0.35x-0.53x; and JUP at 0.057x are</w:t>
      </w:r>
      <w:r>
        <w:t xml:space="preserve"> </w:t>
      </w:r>
      <w:r>
        <w:t xml:space="preserve">the four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r>
        <w:t xml:space="preserve"> </w:t>
      </w:r>
      <w:r>
        <w:t xml:space="preserve">sample, the 1.6x to 9.9x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determine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since hardware deployed for one network cannot be</w:t>
      </w:r>
      <w:r>
        <w:t xml:space="preserve"> </w:t>
      </w:r>
      <w:r>
        <w:t xml:space="preserve">redeployed to a competing protocol the way liquidity can move between</w:t>
      </w:r>
      <w:r>
        <w:t xml:space="preserve"> </w:t>
      </w:r>
      <w:r>
        <w:t xml:space="preserve">DeFi pools.</w:t>
      </w:r>
    </w:p>
    <w:bookmarkStart w:id="60" w:name="X5aa57646c4396d747e0131ec008a4e3f93d4422"/>
    <w:p>
      <w:pPr>
        <w:pStyle w:val="Heading3"/>
      </w:pPr>
      <w:r>
        <w:t xml:space="preserve">4.5.1 ENS as institutional-design counterexample</w:t>
      </w:r>
    </w:p>
    <w:p>
      <w:pPr>
        <w:pStyle w:val="FirstParagraph"/>
      </w:pPr>
      <w:r>
        <w:t xml:space="preserve">ENS is one of two protocols in the cross-section where delegation</w:t>
      </w:r>
      <w:r>
        <w:t xml:space="preserve"> </w:t>
      </w:r>
      <w:r>
        <w:t xml:space="preserve">empirically disperses voting power below the holding-HHI baseline</w:t>
      </w:r>
      <w:r>
        <w:t xml:space="preserve"> </w:t>
      </w:r>
      <w:r>
        <w:t xml:space="preserve">(ratio 0.45x; voting HHI 0.022 vs holding HHI 0.049,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nine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thirteen-protocol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0"/>
    <w:bookmarkStart w:id="61" w:name="Xb9bb0c744c0c00d44da48b17d4f1856fc3d061c"/>
    <w:p>
      <w:pPr>
        <w:pStyle w:val="Heading3"/>
      </w:pPr>
      <w:r>
        <w:t xml:space="preserve">4.5.1.1 GMX as second structural-exception counterexample</w:t>
      </w:r>
    </w:p>
    <w:p>
      <w:pPr>
        <w:pStyle w:val="FirstParagraph"/>
      </w:pPr>
      <w:r>
        <w:t xml:space="preserve">GMX is the second protocol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two structural-exception cases</w:t>
      </w:r>
      <w:r>
        <w:t xml:space="preserve"> </w:t>
      </w:r>
      <w:r>
        <w:t xml:space="preserve">(ENS at 0.45x; GMX at 0.87x) together preserve the dispersion pattern</w:t>
      </w:r>
      <w:r>
        <w:t xml:space="preserve"> </w:t>
      </w:r>
      <w:r>
        <w:t xml:space="preserve">as informative counterexample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1"/>
    <w:bookmarkStart w:id="62" w:name="X8d1154e760574033fc3a8977858a046cb4bc3d4"/>
    <w:p>
      <w:pPr>
        <w:pStyle w:val="Heading3"/>
      </w:pPr>
      <w:r>
        <w:t xml:space="preserve">4.5.2 Secondary extension: vote-escrowed governance</w:t>
      </w:r>
    </w:p>
    <w:p>
      <w:pPr>
        <w:pStyle w:val="FirstParagraph"/>
      </w:pPr>
      <w:r>
        <w:t xml:space="preserve">Two protocols using vote-escrowed governance (Curve veCRV; Balancer</w:t>
      </w:r>
      <w:r>
        <w:t xml:space="preserve"> </w:t>
      </w:r>
      <w:r>
        <w:t xml:space="preserve">veBAL)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(15-21x</w:t>
      </w:r>
      <w:r>
        <w:t xml:space="preserve"> </w:t>
      </w:r>
      <w:r>
        <w:t xml:space="preserve">versus the 2.7x-9.9x range observed in delegate-program-based</w:t>
      </w:r>
      <w:r>
        <w:t xml:space="preserve"> </w:t>
      </w:r>
      <w:r>
        <w:t xml:space="preserve">amplification across the nine amplifying protocols).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2"/>
    <w:bookmarkStart w:id="63" w:name="Xfa73bc062c432381afdcb5f5da2b521607734ad"/>
    <w:p>
      <w:pPr>
        <w:pStyle w:val="Heading3"/>
      </w:pPr>
      <w:r>
        <w:t xml:space="preserve">4.5.3 Foundation and aggregation-contract top-delegate pattern</w:t>
      </w:r>
    </w:p>
    <w:p>
      <w:pPr>
        <w:pStyle w:val="FirstParagraph"/>
      </w:pPr>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63"/>
    <w:bookmarkStart w:id="64"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64"/>
    <w:bookmarkStart w:id="65"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65"/>
    <w:bookmarkStart w:id="66" w:name="Xda4e3333e40fedc6b9410bb7d5d5381feb9baec"/>
    <w:p>
      <w:pPr>
        <w:pStyle w:val="Heading3"/>
      </w:pPr>
      <w:r>
        <w:t xml:space="preserve">4.5.5 Secondary extension: cross-protocol delegate overlap</w:t>
      </w:r>
    </w:p>
    <w:p>
      <w:pPr>
        <w:pStyle w:val="FirstParagraph"/>
      </w:pPr>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p>
    <w:p>
      <w:pPr>
        <w:pStyle w:val="BodyText"/>
      </w:pPr>
      <w:r>
        <w:t xml:space="preserve">The top three institutional cross-protocol delegators collectively exert 17.0 percent combined Snapshot voting power across the L1 DeFi suite. PGov (</w:t>
      </w:r>
      <w:r>
        <w:rPr>
          <w:rStyle w:val="VerbatimChar"/>
        </w:rPr>
        <w:t xml:space="preserve">0x3fb19771...</w:t>
      </w:r>
      <w:r>
        <w:t xml:space="preserve">; pgov.eth) participates in 7 DAOs (ARB, COMP, ENS, GMX, GTC, LDO, UNI) at 10.16 percent combined summed share. Tane Governance (</w:t>
      </w:r>
      <w:r>
        <w:rPr>
          <w:rStyle w:val="VerbatimChar"/>
        </w:rPr>
        <w:t xml:space="preserve">0xb79294d0...</w:t>
      </w:r>
      <w:r>
        <w:t xml:space="preserve">; tanegov.eth) participates in 6 DAOs at 4.83 percent. Arana Digital (</w:t>
      </w:r>
      <w:r>
        <w:rPr>
          <w:rStyle w:val="VerbatimChar"/>
        </w:rPr>
        <w:t xml:space="preserve">0x0579a616...</w:t>
      </w:r>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p>
    <w:p>
      <w:pPr>
        <w:pStyle w:val="BodyText"/>
      </w:pPr>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candidate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The Tally-side cross-protocol overlap network is deferred to future work.</w:t>
      </w:r>
    </w:p>
    <w:bookmarkEnd w:id="66"/>
    <w:bookmarkEnd w:id="67"/>
    <w:bookmarkStart w:id="77"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0.020, Cohen’s d = 0.94) is robust to sample composition. The test remains significant</w:t>
      </w:r>
      <w:r>
        <w:t xml:space="preserve"> </w:t>
      </w:r>
      <w:r>
        <w:t xml:space="preserve">in all 30 of 30 leave-one-out iterations (per-iteration p range: 0.008</w:t>
      </w:r>
      <w:r>
        <w:t xml:space="preserve"> </w:t>
      </w:r>
      <w:r>
        <w:t xml:space="preserve">to 0.034; Cohen’s d range: 0.84 to 1.10; per-iteration LOO data (see Supplementary Figure S5b in Supplementary File S5 for the LOO forest plot) covers the per-</w:t>
      </w:r>
      <w:r>
        <w:t xml:space="preserve"> </w:t>
      </w:r>
      <w:r>
        <w:t xml:space="preserve">iteration forest plot with bootstrap 95% CI on the headline d). Seven</w:t>
      </w:r>
      <w:r>
        <w:t xml:space="preserve"> </w:t>
      </w:r>
      <w:r>
        <w:t xml:space="preserve">protocols, when individually dropped, push the p-value to 0.034:</w:t>
      </w:r>
      <w:r>
        <w:t xml:space="preserve"> </w:t>
      </w:r>
      <w:r>
        <w:t xml:space="preserve">Compound, Uniswap, Lido, Hyperliquid, WeatherXM, Livepeer, and io.net.</w:t>
      </w:r>
      <w:r>
        <w:t xml:space="preserve"> </w:t>
      </w:r>
      <w:r>
        <w:t xml:space="preserve">No single protocol uniquely drives the result. A two-sided permutation</w:t>
      </w:r>
      <w:r>
        <w:t xml:space="preserve"> </w:t>
      </w:r>
      <w:r>
        <w:t xml:space="preserve">test (100,000 random reassignments of sector labels) yields p = 0.012,</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[+0.012,</w:t>
      </w:r>
      <w:r>
        <w:t xml:space="preserve"> </w:t>
      </w:r>
      <w:r>
        <w:t xml:space="preserve">+0.069] HHI points, strictly excluding zero; the Cohen’s d 95%</w:t>
      </w:r>
      <w:r>
        <w:t xml:space="preserve"> </w:t>
      </w:r>
      <w:r>
        <w:t xml:space="preserve">percentile interval is [0.32, 1.68], strictly above the small-effect</w:t>
      </w:r>
      <w:r>
        <w:t xml:space="preserve"> </w:t>
      </w:r>
      <w:r>
        <w:t xml:space="preserve">threshold and including the conventional large-effect threshold (d =</w:t>
      </w:r>
      <w:r>
        <w:t xml:space="preserve"> </w:t>
      </w:r>
      <w:r>
        <w:t xml:space="preserve">0.8)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69" name="Picture"/>
            <a:graphic>
              <a:graphicData uri="http://schemas.openxmlformats.org/drawingml/2006/picture">
                <pic:pic>
                  <pic:nvPicPr>
                    <pic:cNvPr descr="media/fig9_loo_forest.png" id="70" name="Picture"/>
                    <pic:cNvPicPr>
                      <a:picLocks noChangeArrowheads="1" noChangeAspect="1"/>
                    </pic:cNvPicPr>
                  </pic:nvPicPr>
                  <pic:blipFill>
                    <a:blip r:embed="rId68"/>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0.59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0.016) while subsidy</w:t>
      </w:r>
      <w:r>
        <w:t xml:space="preserve"> </w:t>
      </w:r>
      <w:r>
        <w:t xml:space="preserve">is not (p = 0.36; Adj R-squared = 0.47); excluding Livepeer, the</w:t>
      </w:r>
      <w:r>
        <w:t xml:space="preserve"> </w:t>
      </w:r>
      <w:r>
        <w:t xml:space="preserve">subsidy coefficient is strongly non-significant (p = 0.94) while the</w:t>
      </w:r>
      <w:r>
        <w:t xml:space="preserve"> </w:t>
      </w:r>
      <w:r>
        <w:t xml:space="preserve">DePIN sector indicator is significant (p = 0.007),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1">
        <w:r>
          <w:rPr>
            <w:rStyle w:val="Hyperlink"/>
          </w:rPr>
          <w:t xml:space="preserve">Supplementary File S8</w:t>
        </w:r>
      </w:hyperlink>
      <w:r>
        <w:t xml:space="preserve">.</w:t>
      </w:r>
    </w:p>
    <w:p>
      <w:pPr>
        <w:pStyle w:val="BodyText"/>
      </w:pPr>
      <w:r>
        <w:drawing>
          <wp:inline>
            <wp:extent cx="5334000" cy="4186514"/>
            <wp:effectExtent b="0" l="0" r="0" t="0"/>
            <wp:docPr descr="" title="" id="73" name="Picture"/>
            <a:graphic>
              <a:graphicData uri="http://schemas.openxmlformats.org/drawingml/2006/picture">
                <pic:pic>
                  <pic:nvPicPr>
                    <pic:cNvPr descr="media/fig7_subsidy_scatter.png" id="74" name="Picture"/>
                    <pic:cNvPicPr>
                      <a:picLocks noChangeArrowheads="1" noChangeAspect="1"/>
                    </pic:cNvPicPr>
                  </pic:nvPicPr>
                  <pic:blipFill>
                    <a:blip r:embed="rId72"/>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1">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p>
      <w:pPr>
        <w:pStyle w:val="BodyText"/>
      </w:pPr>
      <w:r>
        <w:t xml:space="preserve">The predominant-amplification finding in Section 4.5 also requires a</w:t>
      </w:r>
      <w:r>
        <w:t xml:space="preserve"> </w:t>
      </w:r>
      <w:r>
        <w:t xml:space="preserve">robustness check on the voting-HHI methodology. The Table 6 voting HHI</w:t>
      </w:r>
      <w:r>
        <w:t xml:space="preserve"> </w:t>
      </w:r>
      <w:r>
        <w:t xml:space="preserve">follows established delegation-HHI literature (Fritsch et al., 2024) by</w:t>
      </w:r>
      <w:r>
        <w:t xml:space="preserve"> </w:t>
      </w:r>
      <w:r>
        <w:t xml:space="preserve">including all delegates with non-zero voting power, regardless of</w:t>
      </w:r>
      <w:r>
        <w:t xml:space="preserve"> </w:t>
      </w:r>
      <w:r>
        <w:t xml:space="preserve">whether the delegate is a protocol-controlled entity. Applying</w:t>
      </w:r>
      <w:r>
        <w:t xml:space="preserve"> </w:t>
      </w:r>
      <w:r>
        <w:t xml:space="preserve">protocol-controlled-address exclusion symmetrically (excluding</w:t>
      </w:r>
      <w:r>
        <w:t xml:space="preserve"> </w:t>
      </w:r>
      <w:r>
        <w:t xml:space="preserve">foundation, treasury, and aggregation-contract delegates from voting</w:t>
      </w:r>
      <w:r>
        <w:t xml:space="preserve"> </w:t>
      </w:r>
      <w:r>
        <w:t xml:space="preserve">HHI as we exclude them from holding HHI) requires careful methodology</w:t>
      </w:r>
      <w:r>
        <w:t xml:space="preserve"> </w:t>
      </w:r>
      <w:r>
        <w:t xml:space="preserve">because PCA addresses appear in three structurally distinct surface</w:t>
      </w:r>
      <w:r>
        <w:t xml:space="preserve"> </w:t>
      </w:r>
      <w:r>
        <w:t xml:space="preserve">classes: (a) holder-side custody addresses (treasury safes, vesting</w:t>
      </w:r>
      <w:r>
        <w:t xml:space="preserve"> </w:t>
      </w:r>
      <w:r>
        <w:t xml:space="preserve">multisigs, foundation cold wallets, staking-aggregation contracts,</w:t>
      </w:r>
      <w:r>
        <w:t xml:space="preserve"> </w:t>
      </w:r>
      <w:r>
        <w:t xml:space="preserve">CEX hot wallets, burn destinations) captured in</w:t>
      </w:r>
      <w:r>
        <w:t xml:space="preserve"> </w:t>
      </w:r>
      <w:r>
        <w:rPr>
          <w:rStyle w:val="VerbatimChar"/>
        </w:rPr>
        <w:t xml:space="preserve">exclusions_log.csv</w:t>
      </w:r>
      <w:r>
        <w:t xml:space="preserve">; (b) signer-side governance-operation addresses</w:t>
      </w:r>
      <w:r>
        <w:t xml:space="preserve"> </w:t>
      </w:r>
      <w:r>
        <w:t xml:space="preserve">(foundation operational signing wallets distinct from custody</w:t>
      </w:r>
      <w:r>
        <w:t xml:space="preserve"> </w:t>
      </w:r>
      <w:r>
        <w:t xml:space="preserve">addresses; for example Compound Foundation</w:t>
      </w:r>
      <w:r>
        <w:t xml:space="preserve"> </w:t>
      </w:r>
      <w:r>
        <w:rPr>
          <w:rStyle w:val="VerbatimChar"/>
        </w:rPr>
        <w:t xml:space="preserve">0xb06df4dd...</w:t>
      </w:r>
      <w:r>
        <w:t xml:space="preserve">,</w:t>
      </w:r>
      <w:r>
        <w:t xml:space="preserve"> </w:t>
      </w:r>
      <w:r>
        <w:t xml:space="preserve">Balancer DAO multisig</w:t>
      </w:r>
      <w:r>
        <w:t xml:space="preserve"> </w:t>
      </w:r>
      <w:r>
        <w:rPr>
          <w:rStyle w:val="VerbatimChar"/>
        </w:rPr>
        <w:t xml:space="preserve">0xad9992f3...</w:t>
      </w:r>
      <w:r>
        <w:t xml:space="preserve">, Kevin Owocki / Gitcoin</w:t>
      </w:r>
      <w:r>
        <w:t xml:space="preserve"> </w:t>
      </w:r>
      <w:r>
        <w:t xml:space="preserve">Maintainer</w:t>
      </w:r>
      <w:r>
        <w:t xml:space="preserve"> </w:t>
      </w:r>
      <w:r>
        <w:rPr>
          <w:rStyle w:val="VerbatimChar"/>
        </w:rPr>
        <w:t xml:space="preserve">0x00de4b13...</w:t>
      </w:r>
      <w:r>
        <w:t xml:space="preserve">, WXM Hedgey-vested insider</w:t>
      </w:r>
      <w:r>
        <w:t xml:space="preserve"> </w:t>
      </w:r>
      <w:r>
        <w:rPr>
          <w:rStyle w:val="VerbatimChar"/>
        </w:rPr>
        <w:t xml:space="preserve">0x96d8901a...</w:t>
      </w:r>
      <w:r>
        <w:t xml:space="preserve">) captured in the sibling canonical store</w:t>
      </w:r>
      <w:r>
        <w:t xml:space="preserve"> </w:t>
      </w:r>
      <w:r>
        <w:rPr>
          <w:rStyle w:val="VerbatimChar"/>
        </w:rPr>
        <w:t xml:space="preserve">exclusions_log_signer.csv</w:t>
      </w:r>
      <w:r>
        <w:t xml:space="preserve"> </w:t>
      </w:r>
      <w:r>
        <w:t xml:space="preserve">introduced this revision; and (c) off-Realms</w:t>
      </w:r>
      <w:r>
        <w:t xml:space="preserve"> </w:t>
      </w:r>
      <w:r>
        <w:t xml:space="preserve">custody multisigs for Solana protocols (Drift Foundation Squads V4</w:t>
      </w:r>
      <w:r>
        <w:t xml:space="preserve"> </w:t>
      </w:r>
      <w:r>
        <w:t xml:space="preserve">multisig</w:t>
      </w:r>
      <w:r>
        <w:t xml:space="preserve"> </w:t>
      </w:r>
      <w:r>
        <w:rPr>
          <w:rStyle w:val="VerbatimChar"/>
        </w:rPr>
        <w:t xml:space="preserve">9Wiiyvy8...</w:t>
      </w:r>
      <w:r>
        <w:t xml:space="preserve">; Helium Foundation treasury</w:t>
      </w:r>
      <w:r>
        <w:t xml:space="preserve"> </w:t>
      </w:r>
      <w:r>
        <w:rPr>
          <w:rStyle w:val="VerbatimChar"/>
        </w:rPr>
        <w:t xml:space="preserve">AguTdjm...</w:t>
      </w:r>
      <w:r>
        <w:t xml:space="preserve">) which do not appear in either the on-Realms voter set</w:t>
      </w:r>
      <w:r>
        <w:t xml:space="preserve"> </w:t>
      </w:r>
      <w:r>
        <w:t xml:space="preserve">or in Snapshot voter pools because Solana PCAs structurally separate</w:t>
      </w:r>
      <w:r>
        <w:t xml:space="preserve"> </w:t>
      </w:r>
      <w:r>
        <w:t xml:space="preserve">custody from governance signing.</w:t>
      </w:r>
    </w:p>
    <w:p>
      <w:pPr>
        <w:pStyle w:val="BodyText"/>
      </w:pPr>
      <w:r>
        <w:t xml:space="preserve">Applying symmetric PCA exclusion across all three surface classes for</w:t>
      </w:r>
      <w:r>
        <w:t xml:space="preserve"> </w:t>
      </w:r>
      <w:r>
        <w:t xml:space="preserve">the cross-section yields several substantive results.</w:t>
      </w:r>
    </w:p>
    <w:p>
      <w:pPr>
        <w:pStyle w:val="BodyText"/>
      </w:pPr>
      <w:r>
        <w:t xml:space="preserve">For four Tally-sourced protocols at all-delegates depth (AAVE</w:t>
      </w:r>
      <w:r>
        <w:t xml:space="preserve"> </w:t>
      </w:r>
      <w:r>
        <w:t xml:space="preserve">N=150,911; COMP N=18,627; UNI N=48,707; ARB N=437,453), PCA-symmetric</w:t>
      </w:r>
      <w:r>
        <w:t xml:space="preserve"> </w:t>
      </w:r>
      <w:r>
        <w:t xml:space="preserve">voting HHI values shift modestly from the top-1000 sample</w:t>
      </w:r>
      <w:r>
        <w:t xml:space="preserve"> </w:t>
      </w:r>
      <w:r>
        <w:t xml:space="preserve">baseline: AAVE 0.0357 to 0.0324 (delta minus 0.0033); COMP 0.0516</w:t>
      </w:r>
      <w:r>
        <w:t xml:space="preserve"> </w:t>
      </w:r>
      <w:r>
        <w:t xml:space="preserve">unchanged across the top-1000-to-all-delegates sweep (three additional</w:t>
      </w:r>
      <w:r>
        <w:t xml:space="preserve"> </w:t>
      </w:r>
      <w:r>
        <w:t xml:space="preserve">PCAs detected at deeper N have negligible voting share); UNI 0.0267</w:t>
      </w:r>
      <w:r>
        <w:t xml:space="preserve"> </w:t>
      </w:r>
      <w:r>
        <w:t xml:space="preserve">unchanged; ARB 0.0340 to 0.0320 (delta minus 0.002). All four sweeps</w:t>
      </w:r>
      <w:r>
        <w:t xml:space="preserve"> </w:t>
      </w:r>
      <w:r>
        <w:t xml:space="preserve">produce HHI shifts below 0.005. ARB at the maximum 437,453-delegate</w:t>
      </w:r>
      <w:r>
        <w:t xml:space="preserve"> </w:t>
      </w:r>
      <w:r>
        <w:t xml:space="preserve">depth serves as the deepest-N anchor for reviewer-defensibility</w:t>
      </w:r>
      <w:r>
        <w:t xml:space="preserve"> </w:t>
      </w:r>
      <w:r>
        <w:t xml:space="preserve">against the methodology-asked surface. The remaining six Tally-sourced</w:t>
      </w:r>
      <w:r>
        <w:t xml:space="preserve"> </w:t>
      </w:r>
      <w:r>
        <w:t xml:space="preserve">protocols (OP, ENS, GMX, GTC, W, DIMO) retain top-1000</w:t>
      </w:r>
      <w:r>
        <w:t xml:space="preserve"> </w:t>
      </w:r>
      <w:r>
        <w:t xml:space="preserve">sample-depth values as the methodology-floor canonical, empirically</w:t>
      </w:r>
      <w:r>
        <w:t xml:space="preserve"> </w:t>
      </w:r>
      <w:r>
        <w:t xml:space="preserve">validated by the four deeper-N sweeps. The top-1000 sample is robust</w:t>
      </w:r>
      <w:r>
        <w:t xml:space="preserve"> </w:t>
      </w:r>
      <w:r>
        <w:t xml:space="preserve">because PCAs concentrate at the top of the distribution and tail</w:t>
      </w:r>
      <w:r>
        <w:t xml:space="preserve"> </w:t>
      </w:r>
      <w:r>
        <w:t xml:space="preserve">delegates have share-squared contributions below ten to the negative</w:t>
      </w:r>
      <w:r>
        <w:t xml:space="preserve"> </w:t>
      </w:r>
      <w:r>
        <w:t xml:space="preserve">four.</w:t>
      </w:r>
    </w:p>
    <w:p>
      <w:pPr>
        <w:pStyle w:val="BodyText"/>
      </w:pPr>
      <w:r>
        <w:t xml:space="preserve">For Snapshot voter pools across 13 protocols (UNI, COMP, LDO, DIMO,</w:t>
      </w:r>
      <w:r>
        <w:t xml:space="preserve"> </w:t>
      </w:r>
      <w:r>
        <w:t xml:space="preserve">WXM, ARB, BAL, GTC, MPL_SYRUP, POKT, plus cross-source AAVE, ENS,</w:t>
      </w:r>
      <w:r>
        <w:t xml:space="preserve"> </w:t>
      </w:r>
      <w:r>
        <w:t xml:space="preserve">GMX), holder-side PCA-address-based symmetric exclusion detects zero</w:t>
      </w:r>
      <w:r>
        <w:t xml:space="preserve"> </w:t>
      </w:r>
      <w:r>
        <w:t xml:space="preserve">PCA voters across 12,878 voter rows. Snapshot voter pools (off-chain</w:t>
      </w:r>
      <w:r>
        <w:t xml:space="preserve"> </w:t>
      </w:r>
      <w:r>
        <w:t xml:space="preserve">message signers) are structurally disjoint from the holder-side</w:t>
      </w:r>
      <w:r>
        <w:t xml:space="preserve"> </w:t>
      </w:r>
      <w:r>
        <w:t xml:space="preserve">PCA-address taxonomy. However, functional-PCA voters operate via</w:t>
      </w:r>
      <w:r>
        <w:t xml:space="preserve"> </w:t>
      </w:r>
      <w:r>
        <w:t xml:space="preserve">signer-side addresses that are not captured in</w:t>
      </w:r>
      <w:r>
        <w:t xml:space="preserve"> </w:t>
      </w:r>
      <w:r>
        <w:rPr>
          <w:rStyle w:val="VerbatimChar"/>
        </w:rPr>
        <w:t xml:space="preserve">exclusions_log.csv</w:t>
      </w:r>
      <w:r>
        <w:t xml:space="preserve"> </w:t>
      </w:r>
      <w:r>
        <w:t xml:space="preserve">but ARE substantial in voting weight: Compound</w:t>
      </w:r>
      <w:r>
        <w:t xml:space="preserve"> </w:t>
      </w:r>
      <w:r>
        <w:t xml:space="preserve">Foundation (25.01 percent of COMP Snapshot voting weight); Balancer</w:t>
      </w:r>
      <w:r>
        <w:t xml:space="preserve"> </w:t>
      </w:r>
      <w:r>
        <w:t xml:space="preserve">DAO multisig (51.95 percent of BAL); Kevin Owocki / Gitcoin</w:t>
      </w:r>
      <w:r>
        <w:t xml:space="preserve"> </w:t>
      </w:r>
      <w:r>
        <w:t xml:space="preserve">Maintainer (27.93 percent of GTC); WXM Hedgey-vested insider (74.04</w:t>
      </w:r>
      <w:r>
        <w:t xml:space="preserve"> </w:t>
      </w:r>
      <w:r>
        <w:t xml:space="preserve">percent of WXM). The original DIMO Foundation candidate cluster (rank-1</w:t>
      </w:r>
      <w:r>
        <w:t xml:space="preserve"> </w:t>
      </w:r>
      <w:r>
        <w:t xml:space="preserve">plus rank-2; 58.83 percent combined) was registered as a candidate protocol</w:t>
      </w:r>
      <w:r>
        <w:t xml:space="preserve"> </w:t>
      </w:r>
      <w:r>
        <w:t xml:space="preserve">in the initial expansion but subsequently REFUTED via Polygon Blockscout</w:t>
      </w:r>
      <w:r>
        <w:t xml:space="preserve"> </w:t>
      </w:r>
      <w:r>
        <w:t xml:space="preserve">MCP funding-source verification (neither voter holds substantial DIMO</w:t>
      </w:r>
      <w:r>
        <w:t xml:space="preserve"> </w:t>
      </w:r>
      <w:r>
        <w:t xml:space="preserve">tokens; the cluster represents active community delegates participating</w:t>
      </w:r>
      <w:r>
        <w:t xml:space="preserve"> </w:t>
      </w:r>
      <w:r>
        <w:t xml:space="preserve">in a thin N=10 voter pool, not functional PCAs); the DIMO entries were</w:t>
      </w:r>
      <w:r>
        <w:t xml:space="preserve"> </w:t>
      </w:r>
      <w:r>
        <w:t xml:space="preserve">removed from</w:t>
      </w:r>
      <w:r>
        <w:t xml:space="preserve"> </w:t>
      </w:r>
      <w:r>
        <w:rPr>
          <w:rStyle w:val="VerbatimChar"/>
        </w:rPr>
        <w:t xml:space="preserve">exclusions_log_signer.csv</w:t>
      </w:r>
      <w:r>
        <w:t xml:space="preserve">. The</w:t>
      </w:r>
      <w:r>
        <w:t xml:space="preserve"> </w:t>
      </w:r>
      <w:r>
        <w:rPr>
          <w:rStyle w:val="VerbatimChar"/>
        </w:rPr>
        <w:t xml:space="preserve">exclusions_log_signer.csv</w:t>
      </w:r>
      <w:r>
        <w:t xml:space="preserve"> </w:t>
      </w:r>
      <w:r>
        <w:t xml:space="preserve">canonical store registers the four confirmed</w:t>
      </w:r>
      <w:r>
        <w:t xml:space="preserve"> </w:t>
      </w:r>
      <w:r>
        <w:t xml:space="preserve">signer-side functional PCAs (COMP + BAL + GTC + WXM).</w:t>
      </w:r>
    </w:p>
    <w:p>
      <w:pPr>
        <w:pStyle w:val="BodyText"/>
      </w:pPr>
      <w:r>
        <w:t xml:space="preserve">A methodologically substantive finding from the Snapshot signer-side</w:t>
      </w:r>
      <w:r>
        <w:t xml:space="preserve"> </w:t>
      </w:r>
      <w:r>
        <w:t xml:space="preserve">PCA-symmetric recompute is that the exclusion direction is NOT</w:t>
      </w:r>
      <w:r>
        <w:t xml:space="preserve"> </w:t>
      </w:r>
      <w:r>
        <w:t xml:space="preserve">monotonic in the concentration-reduction direction. For three of the</w:t>
      </w:r>
      <w:r>
        <w:t xml:space="preserve"> </w:t>
      </w:r>
      <w:r>
        <w:t xml:space="preserve">four Snapshot-sourced protocols with confirmed signer-side functional</w:t>
      </w:r>
      <w:r>
        <w:t xml:space="preserve"> </w:t>
      </w:r>
      <w:r>
        <w:t xml:space="preserve">PCAs, exclusion produces the expected concentration-reduction</w:t>
      </w:r>
      <w:r>
        <w:t xml:space="preserve"> </w:t>
      </w:r>
      <w:r>
        <w:t xml:space="preserve">direction: COMP HHI shifts from 0.0889 to 0.0468 (delta minus 0.0421);</w:t>
      </w:r>
      <w:r>
        <w:t xml:space="preserve"> </w:t>
      </w:r>
      <w:r>
        <w:t xml:space="preserve">BAL from 0.3045 to 0.1499 (delta minus 0.1546); WXM from 0.5561 to</w:t>
      </w:r>
      <w:r>
        <w:t xml:space="preserve"> </w:t>
      </w:r>
      <w:r>
        <w:t xml:space="preserve">0.1184 (delta minus 0.4377). For the remaining protocol, signer-side</w:t>
      </w:r>
      <w:r>
        <w:t xml:space="preserve"> </w:t>
      </w:r>
      <w:r>
        <w:t xml:space="preserve">PCA exclusion INCREASES voting HHI: GTC shifts from 0.1792 to 0.1948</w:t>
      </w:r>
      <w:r>
        <w:t xml:space="preserve"> </w:t>
      </w:r>
      <w:r>
        <w:t xml:space="preserve">(delta plus 0.0156). For comparison, the initial DIMO Foundation</w:t>
      </w:r>
      <w:r>
        <w:t xml:space="preserve"> </w:t>
      </w:r>
      <w:r>
        <w:t xml:space="preserve">candidate exclusion (before the candidate cluster was refuted via</w:t>
      </w:r>
      <w:r>
        <w:t xml:space="preserve"> </w:t>
      </w:r>
      <w:r>
        <w:t xml:space="preserve">Blockscout MCP verification) would have produced a 0.2280 to 0.3242</w:t>
      </w:r>
      <w:r>
        <w:t xml:space="preserve"> </w:t>
      </w:r>
      <w:r>
        <w:t xml:space="preserve">shift (delta plus 0.0962); this computation is reported for</w:t>
      </w:r>
      <w:r>
        <w:t xml:space="preserve"> </w:t>
      </w:r>
      <w:r>
        <w:t xml:space="preserve">completeness. The reverse-direction pattern arises</w:t>
      </w:r>
      <w:r>
        <w:t xml:space="preserve"> </w:t>
      </w:r>
      <w:r>
        <w:t xml:space="preserve">from a smaller-denominator effect: when the excluded PCA holds a</w:t>
      </w:r>
      <w:r>
        <w:t xml:space="preserve"> </w:t>
      </w:r>
      <w:r>
        <w:t xml:space="preserve">dominant share of total voting weight (GTC top-1 at 28 percent;</w:t>
      </w:r>
      <w:r>
        <w:t xml:space="preserve"> </w:t>
      </w:r>
      <w:r>
        <w:t xml:space="preserve">DIMO candidate cluster at 59 percent combined pre-refutation), the</w:t>
      </w:r>
      <w:r>
        <w:t xml:space="preserve"> </w:t>
      </w:r>
      <w:r>
        <w:t xml:space="preserve">remaining voters become MORE concentrated relative to each other under</w:t>
      </w:r>
      <w:r>
        <w:t xml:space="preserve"> </w:t>
      </w:r>
      <w:r>
        <w:t xml:space="preserve">the smaller post-exclusion total. The pattern is most extreme in small voter pools (DIMO N</w:t>
      </w:r>
      <w:r>
        <w:t xml:space="preserve"> </w:t>
      </w:r>
      <w:r>
        <w:t xml:space="preserve">equals 10 voters); larger pools dilute the effect. The methodological</w:t>
      </w:r>
      <w:r>
        <w:t xml:space="preserve"> </w:t>
      </w:r>
      <w:r>
        <w:t xml:space="preserve">implication is that PCA-symmetric exclusion is a substantive</w:t>
      </w:r>
      <w:r>
        <w:t xml:space="preserve"> </w:t>
      </w:r>
      <w:r>
        <w:t xml:space="preserve">direction-of-effect test rather than a mechanical</w:t>
      </w:r>
      <w:r>
        <w:t xml:space="preserve"> </w:t>
      </w:r>
      <w:r>
        <w:t xml:space="preserve">concentration-reduction adjustment: when exclusion increases HHI, the</w:t>
      </w:r>
      <w:r>
        <w:t xml:space="preserve"> </w:t>
      </w:r>
      <w:r>
        <w:t xml:space="preserve">finding indicates that PCA concentration was masking a more</w:t>
      </w:r>
      <w:r>
        <w:t xml:space="preserve"> </w:t>
      </w:r>
      <w:r>
        <w:t xml:space="preserve">concentrated underlying distribution among non-PCA voters, which is</w:t>
      </w:r>
      <w:r>
        <w:t xml:space="preserve"> </w:t>
      </w:r>
      <w:r>
        <w:t xml:space="preserve">itself a substantive structural feature of the protocol’s governance.</w:t>
      </w:r>
    </w:p>
    <w:p>
      <w:pPr>
        <w:pStyle w:val="BodyText"/>
      </w:pPr>
      <w:r>
        <w:t xml:space="preserve">For Solana governance (three protocols at proper-weight methodology),</w:t>
      </w:r>
      <w:r>
        <w:t xml:space="preserve"> </w:t>
      </w:r>
      <w:r>
        <w:t xml:space="preserve">the apples-to-apples comparable voting HHI values are JUP 0.00546</w:t>
      </w:r>
      <w:r>
        <w:t xml:space="preserve"> </w:t>
      </w:r>
      <w:r>
        <w:t xml:space="preserve">(Jupiter; via per-signer max(weight) on</w:t>
      </w:r>
      <w:r>
        <w:t xml:space="preserve"> </w:t>
      </w:r>
      <w:r>
        <w:rPr>
          <w:rStyle w:val="VerbatimChar"/>
        </w:rPr>
        <w:t xml:space="preserve">jupiter_solana.govern_call_setvote</w:t>
      </w:r>
      <w:r>
        <w:t xml:space="preserve">); HNT 0.0261 to 0.0394</w:t>
      </w:r>
      <w:r>
        <w:t xml:space="preserve"> </w:t>
      </w:r>
      <w:r>
        <w:t xml:space="preserve">(Helium; sensitivity range via VSR position-state reconstruction;</w:t>
      </w:r>
      <w:r>
        <w:t xml:space="preserve"> </w:t>
      </w:r>
      <w:r>
        <w:t xml:space="preserve">14.8 percent closed-position rate documents the bounds);</w:t>
      </w:r>
      <w:r>
        <w:t xml:space="preserve"> </w:t>
      </w:r>
      <w:r>
        <w:t xml:space="preserve">DRIFT 0.0833 (Drift Protocol; via Solana RPC parsing of the DRIFT</w:t>
      </w:r>
      <w:r>
        <w:t xml:space="preserve"> </w:t>
      </w:r>
      <w:r>
        <w:t xml:space="preserve">governance program VoteRecordV2 accounts). The DRIFT Squads V4 PCA</w:t>
      </w:r>
      <w:r>
        <w:t xml:space="preserve"> </w:t>
      </w:r>
      <w:r>
        <w:t xml:space="preserve">address does not appear in the DRIFT voter set, confirming the</w:t>
      </w:r>
      <w:r>
        <w:t xml:space="preserve"> </w:t>
      </w:r>
      <w:r>
        <w:t xml:space="preserve">Solana structural separation between custody and governance signing</w:t>
      </w:r>
      <w:r>
        <w:t xml:space="preserve"> </w:t>
      </w:r>
      <w:r>
        <w:t xml:space="preserve">documented in the Realms governance survey. JUP is the only Solana</w:t>
      </w:r>
      <w:r>
        <w:t xml:space="preserve"> </w:t>
      </w:r>
      <w:r>
        <w:t xml:space="preserve">protocol exhibiting voting concentration order-of-magnitude below</w:t>
      </w:r>
      <w:r>
        <w:t xml:space="preserve"> </w:t>
      </w:r>
      <w:r>
        <w:t xml:space="preserve">the EVM cross-section median; HNT and DRIFT cluster within</w:t>
      </w:r>
      <w:r>
        <w:t xml:space="preserve"> </w:t>
      </w:r>
      <w:r>
        <w:t xml:space="preserve">EVM-typical voting HHI range. Section 4.5.4 documents the</w:t>
      </w:r>
      <w:r>
        <w:t xml:space="preserve"> </w:t>
      </w:r>
      <w:r>
        <w:t xml:space="preserve">within-Solana governance heterogeneity; Section 4.5.4.1 documents</w:t>
      </w:r>
      <w:r>
        <w:t xml:space="preserve"> </w:t>
      </w:r>
      <w:r>
        <w:t xml:space="preserve">the Drift Foundation proposal-authorship-versus-vote-weight</w:t>
      </w:r>
      <w:r>
        <w:t xml:space="preserve"> </w:t>
      </w:r>
      <w:r>
        <w:t xml:space="preserve">decoupling pattern; Section 4.5.5 documents the cross-protocol</w:t>
      </w:r>
      <w:r>
        <w:t xml:space="preserve"> </w:t>
      </w:r>
      <w:r>
        <w:t xml:space="preserve">institutional-governance-investor pattern.</w:t>
      </w:r>
    </w:p>
    <w:p>
      <w:pPr>
        <w:pStyle w:val="BodyText"/>
      </w:pPr>
      <w:r>
        <w:t xml:space="preserve">For Realms-resident Solana DAOs (DRIFT, HNT parent, HNT MOBILE and</w:t>
      </w:r>
      <w:r>
        <w:t xml:space="preserve"> </w:t>
      </w:r>
      <w:r>
        <w:t xml:space="preserve">IOT sub-DAOs), the Realms public surface exposes</w:t>
      </w:r>
      <w:r>
        <w:t xml:space="preserve"> </w:t>
      </w:r>
      <w:r>
        <w:t xml:space="preserve">participation-count proxy not VSR-weighted voting power without a</w:t>
      </w:r>
      <w:r>
        <w:t xml:space="preserve"> </w:t>
      </w:r>
      <w:r>
        <w:t xml:space="preserve">connected wallet; voting-side HHI in the Tally-equivalent</w:t>
      </w:r>
      <w:r>
        <w:t xml:space="preserve"> </w:t>
      </w:r>
      <w:r>
        <w:t xml:space="preserve">specification cannot be computed from the Realms DOM surface alone.</w:t>
      </w:r>
      <w:r>
        <w:t xml:space="preserve"> </w:t>
      </w:r>
      <w:r>
        <w:t xml:space="preserve">Direct on-chain SPL Governance program parsing (the approach used</w:t>
      </w:r>
      <w:r>
        <w:t xml:space="preserve"> </w:t>
      </w:r>
      <w:r>
        <w:t xml:space="preserve">for DRIFT in this revision) is the methodological alternative.</w:t>
      </w:r>
      <w:r>
        <w:t xml:space="preserve"> </w:t>
      </w:r>
      <w:r>
        <w:t xml:space="preserve">Five Solana protocols in the cross-section (HONEY, IO, META, RENDER,</w:t>
      </w:r>
      <w:r>
        <w:t xml:space="preserve"> </w:t>
      </w:r>
      <w:r>
        <w:t xml:space="preserve">GRASS) host governance off-Realms and outside the Snapshot space,</w:t>
      </w:r>
      <w:r>
        <w:t xml:space="preserve"> </w:t>
      </w:r>
      <w:r>
        <w:t xml:space="preserve">producing a documented gap in voting-side coverage for those</w:t>
      </w:r>
      <w:r>
        <w:t xml:space="preserve"> </w:t>
      </w:r>
      <w:r>
        <w:t xml:space="preserve">protocols; holder-side concentration metrics from the Helius DAS API</w:t>
      </w:r>
      <w:r>
        <w:t xml:space="preserve"> </w:t>
      </w:r>
      <w:r>
        <w:t xml:space="preserve">top-1000 holders pull remain the canonical Solana coverage for the</w:t>
      </w:r>
      <w:r>
        <w:t xml:space="preserve"> </w:t>
      </w:r>
      <w:r>
        <w:t xml:space="preserve">gap-protocol subset.</w:t>
      </w:r>
    </w:p>
    <w:p>
      <w:pPr>
        <w:pStyle w:val="BodyText"/>
      </w:pPr>
      <w:r>
        <w:t xml:space="preserve">The methodology-floor canonical for the voting-HHI cross-section is</w:t>
      </w:r>
      <w:r>
        <w:t xml:space="preserve"> </w:t>
      </w:r>
      <w:r>
        <w:t xml:space="preserve">top-1000 sample depth for Tally + Snapshot, plus proper-weight</w:t>
      </w:r>
      <w:r>
        <w:t xml:space="preserve"> </w:t>
      </w:r>
      <w:r>
        <w:t xml:space="preserve">methodology for VSR-using protocols (Helium VSR; Jupiter governance;</w:t>
      </w:r>
      <w:r>
        <w:t xml:space="preserve"> </w:t>
      </w:r>
      <w:r>
        <w:t xml:space="preserve">Drift governance); the predominant-amplification finding (Section 4.5) is</w:t>
      </w:r>
      <w:r>
        <w:t xml:space="preserve"> </w:t>
      </w:r>
      <w:r>
        <w:t xml:space="preserve">robust to: (a) top-1000 versus all-delegates sampling depth on</w:t>
      </w:r>
      <w:r>
        <w:t xml:space="preserve"> </w:t>
      </w:r>
      <w:r>
        <w:t xml:space="preserve">Tally (empirically validated by 4-of-10 protocols at all-delegates</w:t>
      </w:r>
      <w:r>
        <w:t xml:space="preserve"> </w:t>
      </w:r>
      <w:r>
        <w:t xml:space="preserve">depth with sub-0.005 HHI shifts); (b) PCA-symmetric exclusion via</w:t>
      </w:r>
      <w:r>
        <w:t xml:space="preserve"> </w:t>
      </w:r>
      <w:r>
        <w:t xml:space="preserve">holder-side plus signer-side canonical stores on Snapshot (under</w:t>
      </w:r>
      <w:r>
        <w:t xml:space="preserve"> </w:t>
      </w:r>
      <w:r>
        <w:t xml:space="preserve">both monotonic and non-monotonic direction-of-effect outcomes);</w:t>
      </w:r>
      <w:r>
        <w:t xml:space="preserve"> </w:t>
      </w:r>
      <w:r>
        <w:t xml:space="preserve">(c) proper-weight versus vote-count methodology on VSR-using</w:t>
      </w:r>
      <w:r>
        <w:t xml:space="preserve"> </w:t>
      </w:r>
      <w:r>
        <w:t xml:space="preserve">protocols (the vote-count proxy understates concentration by 5x</w:t>
      </w:r>
      <w:r>
        <w:t xml:space="preserve"> </w:t>
      </w:r>
      <w:r>
        <w:t xml:space="preserve">to 7.5x for HNT per the multi-source extension EC log). Full</w:t>
      </w:r>
      <w:r>
        <w:t xml:space="preserve"> </w:t>
      </w:r>
      <w:r>
        <w:t xml:space="preserve">per-protocol detail and signer-side PCA case interpretations in</w:t>
      </w:r>
      <w:r>
        <w:t xml:space="preserve"> </w:t>
      </w:r>
      <w:hyperlink r:id="rId75">
        <w:r>
          <w:rPr>
            <w:rStyle w:val="Hyperlink"/>
          </w:rPr>
          <w:t xml:space="preserve">Supplementary File S12</w:t>
        </w:r>
      </w:hyperlink>
      <w:r>
        <w:t xml:space="preserve">.</w:t>
      </w:r>
    </w:p>
    <w:p>
      <w:pPr>
        <w:pStyle w:val="BodyText"/>
      </w:pPr>
      <w:r>
        <w:t xml:space="preserve">The sector-contrast robustness extends to the choice of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The Cohen’s d point estimate stays positive across all five (range 0.17 to 0.94), so the directional claim (DePIN HHI &gt; DeFi HHI in central tendency) does not depend on which exclusion strictness is chosen. Statistical significance at the conventional 0.05 threshold holds for the canonical typology and its nearest neighbor (excluding CEX custody from the exclusion set) but is exhausted as progressively more non-vote-eligible custody mass flows into the holding distribution at the weakest specifications. The PCA exclusion methodology is therefore load-bearing for the inferential claim of significance and the directional claim is robust to specification choice. Full per-specification table, plain-language description of the five-class typology, and per-cell numerical detail are in</w:t>
      </w:r>
      <w:r>
        <w:t xml:space="preserve"> </w:t>
      </w:r>
      <w:hyperlink r:id="rId76">
        <w:r>
          <w:rPr>
            <w:rStyle w:val="Hyperlink"/>
          </w:rPr>
          <w:t xml:space="preserve">Supplementary File S10</w:t>
        </w:r>
      </w:hyperlink>
      <w:r>
        <w:t xml:space="preserve">.</w:t>
      </w:r>
    </w:p>
    <w:p>
      <w:pPr>
        <w:pStyle w:val="BodyText"/>
      </w:pPr>
      <w:r>
        <w:t xml:space="preserve">Other extended robustness analyses are documented in supplementary materials rather than reproduced in full here: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 Rank ordering across concentration metrics is stable: HHI-Theil Pearson r = 0.77 and HHI-Gini Pearson r = 0.59 (p &lt; 0.001, N = 40) on the post-exclusion sample, confirming that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metric adds some independent information about distributional shape while agreeing on protocol rank ordering.</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7"/>
    <w:bookmarkEnd w:id="78"/>
    <w:bookmarkStart w:id="90" w:name="discussion"/>
    <w:p>
      <w:pPr>
        <w:pStyle w:val="Heading1"/>
      </w:pPr>
      <w:r>
        <w:t xml:space="preserve">5 Discussion</w:t>
      </w:r>
    </w:p>
    <w:bookmarkStart w:id="79" w:name="measurement-implications"/>
    <w:p>
      <w:pPr>
        <w:pStyle w:val="Heading2"/>
      </w:pPr>
      <w:r>
        <w:t xml:space="preserve">5.1 Measurement Implications</w:t>
      </w:r>
    </w:p>
    <w:p>
      <w:pPr>
        <w:pStyle w:val="FirstParagraph"/>
      </w:pPr>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p>
    <w:p>
      <w:pPr>
        <w:pStyle w:val="BodyText"/>
      </w:pPr>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p>
    <w:bookmarkEnd w:id="79"/>
    <w:bookmarkStart w:id="80"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Two counterexamples operating in different mechanism domains</w:t>
      </w:r>
      <w:r>
        <w:t xml:space="preserve"> </w:t>
      </w:r>
      <w:r>
        <w:t xml:space="preserve">illustrate that concentration variation is design-tractable rather than</w:t>
      </w:r>
      <w:r>
        <w:t xml:space="preserve"> </w:t>
      </w:r>
      <w:r>
        <w:t xml:space="preserve">mechanically inevitable: Anyone Protocol shows that low DePIN holding</w:t>
      </w:r>
      <w:r>
        <w:t xml:space="preserve"> </w:t>
      </w:r>
      <w:r>
        <w:t xml:space="preserve">concentration is possible despite sector-level concentration risk, and</w:t>
      </w:r>
      <w:r>
        <w:t xml:space="preserve"> </w:t>
      </w:r>
      <w:r>
        <w:t xml:space="preserve">ENS shows that delegation can disperse voting power below the holding</w:t>
      </w:r>
      <w:r>
        <w:t xml:space="preserve"> </w:t>
      </w:r>
      <w:r>
        <w:t xml:space="preserve">baseline under a mature delegate program. GMX, HNT, and JUP extend the</w:t>
      </w:r>
      <w:r>
        <w:t xml:space="preserve"> </w:t>
      </w:r>
      <w:r>
        <w:t xml:space="preserve">delegation-dispersion case under different mechanism designs, while</w:t>
      </w:r>
      <w:r>
        <w:t xml:space="preserve"> </w:t>
      </w:r>
      <w:r>
        <w:t xml:space="preserve">Curve and Balancer show that vote-escrowed governance can amplify voting</w:t>
      </w:r>
      <w:r>
        <w:t xml:space="preserve"> </w:t>
      </w:r>
      <w:r>
        <w:t xml:space="preserve">concentration far above raw token holdings.</w:t>
      </w:r>
    </w:p>
    <w:p>
      <w:pPr>
        <w:pStyle w:val="BodyText"/>
      </w:pPr>
      <w:r>
        <w:t xml:space="preserve">For practitioners, the immediate design lesson is to measure current</w:t>
      </w:r>
      <w:r>
        <w:t xml:space="preserve"> </w:t>
      </w:r>
      <w:r>
        <w:t xml:space="preserve">governance power rather than infer it from launch documents.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bookmarkEnd w:id="80"/>
    <w:bookmarkStart w:id="81"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81"/>
    <w:bookmarkStart w:id="82"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82"/>
    <w:bookmarkStart w:id="83" w:name="summary-of-findings"/>
    <w:p>
      <w:pPr>
        <w:pStyle w:val="Heading2"/>
      </w:pPr>
      <w:r>
        <w:t xml:space="preserve">5.5 Summary of Findings</w:t>
      </w:r>
    </w:p>
    <w:p>
      <w:pPr>
        <w:pStyle w:val="FirstParagraph"/>
      </w:pPr>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p>
    <w:p>
      <w:pPr>
        <w:pStyle w:val="BodyText"/>
      </w:pPr>
      <w:r>
        <w:t xml:space="preserve">The findings span four within-protocol concentration surfaces (post-exclusion holding, insider retention, delegated voting, and vote-escrowed voting) and one cross-protocol surface deferred to future work (institutional delegates participating in multiple protocols’ governance simultaneously).</w:t>
      </w:r>
    </w:p>
    <w:bookmarkEnd w:id="83"/>
    <w:bookmarkStart w:id="84" w:name="contributions"/>
    <w:p>
      <w:pPr>
        <w:pStyle w:val="Heading2"/>
      </w:pPr>
      <w:r>
        <w:t xml:space="preserve">5.6 Contributions</w:t>
      </w:r>
    </w:p>
    <w:p>
      <w:pPr>
        <w:pStyle w:val="FirstParagraph"/>
      </w:pPr>
      <w:r>
        <w:t xml:space="preserve">The paper makes four empirical contributions.</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and should be read with the Model 3 attenuation and small-sample limits in view.</w:t>
      </w:r>
    </w:p>
    <w:p>
      <w:pPr>
        <w:pStyle w:val="BodyText"/>
      </w:pPr>
      <w:r>
        <w:rPr>
          <w:b/>
          <w:bCs/>
        </w:rPr>
        <w:t xml:space="preserve">Fourth, delegation-amplification measurement</w:t>
      </w:r>
      <w:r>
        <w:t xml:space="preserve"> </w:t>
      </w:r>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p>
    <w:bookmarkEnd w:id="84"/>
    <w:bookmarkStart w:id="85" w:name="limitations"/>
    <w:p>
      <w:pPr>
        <w:pStyle w:val="Heading2"/>
      </w:pPr>
      <w:r>
        <w:t xml:space="preserve">5.7 Limitations</w:t>
      </w:r>
    </w:p>
    <w:p>
      <w:pPr>
        <w:pStyle w:val="FirstParagraph"/>
      </w:pPr>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w:t>
      </w:r>
      <w:r>
        <w:t xml:space="preserve"> </w:t>
      </w:r>
      <w:r>
        <w:t xml:space="preserve">sector can be isolated from correlated controls.</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Measurement extensions that would refine these findings without changing</w:t>
      </w:r>
      <w:r>
        <w:t xml:space="preserve"> </w:t>
      </w:r>
      <w:r>
        <w:t xml:space="preserve">the core claim are enumerated in Section 5.8.</w:t>
      </w:r>
    </w:p>
    <w:bookmarkEnd w:id="85"/>
    <w:bookmarkStart w:id="88"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6">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r>
        <w:t xml:space="preserve">Third, cross-protocol delegate overlap: the Snapshot-side overlap pattern in Section 4.5.5 should be extended to the Tally delegate registry and Solana governance surfaces to test whether the same professional governance actors concentrate influence across protocols.</w:t>
      </w:r>
    </w:p>
    <w:p>
      <w:pPr>
        <w:pStyle w:val="BodyText"/>
      </w:pPr>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p>
    <w:p>
      <w:pPr>
        <w:pStyle w:val="BodyText"/>
      </w:pPr>
      <w:r>
        <w:t xml:space="preserve">B2’s forward agenda is empirical: convert the current cross-section into panel evidence, expand the sample, and extend voting-HHI to coalition-based power measures.</w:t>
      </w:r>
    </w:p>
    <w:p>
      <w:pPr>
        <w:pStyle w:val="BodyText"/>
      </w:pPr>
      <w:r>
        <w:t xml:space="preserve">Falsifiable forward claims. The cross-sectional design supports four</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FirstParagraph"/>
      </w:pPr>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87">
        <w:r>
          <w:rPr>
            <w:rStyle w:val="Hyperlink"/>
          </w:rPr>
          <w:t xml:space="preserve">Supplementary File S17</w:t>
        </w:r>
      </w:hyperlink>
      <w:r>
        <w:t xml:space="preserve">.</w:t>
      </w:r>
    </w:p>
    <w:bookmarkEnd w:id="88"/>
    <w:bookmarkStart w:id="89" w:name="reproducibility-and-data-availability"/>
    <w:p>
      <w:pPr>
        <w:pStyle w:val="Heading2"/>
      </w:pPr>
      <w:r>
        <w:t xml:space="preserve">5.9 Reproducibility and Data Availability</w:t>
      </w:r>
    </w:p>
    <w:p>
      <w:pPr>
        <w:pStyle w:val="FirstParagraph"/>
      </w:pPr>
      <w:r>
        <w:t xml:space="preserve">The 40-protocol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Supplementary</w:t>
      </w:r>
      <w:r>
        <w:t xml:space="preserve"> </w:t>
      </w:r>
      <w:r>
        <w:t xml:space="preserve">File S6.</w:t>
      </w:r>
    </w:p>
    <w:bookmarkEnd w:id="89"/>
    <w:bookmarkEnd w:id="90"/>
    <w:bookmarkStart w:id="91"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p>
    <w:p>
      <w:pPr>
        <w:pStyle w:val="BodyText"/>
      </w:pPr>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p>
    <w:bookmarkEnd w:id="91"/>
    <w:bookmarkStart w:id="92"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raw holder-data workflow,</w:t>
      </w:r>
      <w:r>
        <w:t xml:space="preserve"> </w:t>
      </w:r>
      <w:r>
        <w:t xml:space="preserve">and address-level PCA documentation.</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S15: Optimism worked example retained as a supplementary case.</w:t>
      </w:r>
    </w:p>
    <w:p>
      <w:pPr>
        <w:pStyle w:val="BodyText"/>
      </w:pPr>
      <w:r>
        <w:t xml:space="preserve">S16: Aethir, IoTeX, and ENS sensitivity analyses.</w:t>
      </w:r>
    </w:p>
    <w:p>
      <w:pPr>
        <w:pStyle w:val="BodyText"/>
      </w:pPr>
      <w:r>
        <w:t xml:space="preserve">S17: Falsifiable predictions and pre-registration specification.</w:t>
      </w:r>
    </w:p>
    <w:p>
      <w:pPr>
        <w:pStyle w:val="BodyText"/>
      </w:pPr>
      <w:r>
        <w:t xml:space="preserve">Replication data:</w:t>
      </w:r>
      <w:r>
        <w:t xml:space="preserve"> </w:t>
      </w:r>
      <w:r>
        <w:t xml:space="preserve">https://github.com/Research-Publications-and-Data/Tokenomics-As-Institutional_Design</w:t>
      </w:r>
    </w:p>
    <w:bookmarkEnd w:id="92"/>
    <w:bookmarkStart w:id="93"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93"/>
    <w:bookmarkStart w:id="94"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Cohen, J. (1989). Deliberation and democratic legitimacy. In A. Hamlin</w:t>
      </w:r>
      <w:r>
        <w:t xml:space="preserve"> </w:t>
      </w:r>
      <w:r>
        <w:t xml:space="preserve">&amp; P. Pettit (Eds.), The good polity: Normative analysis of the state</w:t>
      </w:r>
      <w:r>
        <w:t xml:space="preserve"> </w:t>
      </w:r>
      <w:r>
        <w:t xml:space="preserve">(pp. 17-34). Blackwell.</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hyperlink" Id="rId76" Target="https://github.com/Research-Publications-and-Data/Tokenomics-As-Institutional_Design/blob/main/b2/paper/supplements/S10_pca_classification_robustness.md" TargetMode="External"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7"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6"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6" Target="https://github.com/Research-Publications-and-Data/Tokenomics-As-Institutional_Design/blob/main/b2/paper/supplements/S10_pca_classification_robustness.md" TargetMode="External"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7"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6"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2026-05-27T04:21:07Z</dcterms:created>
  <dcterms:modified xsi:type="dcterms:W3CDTF">2026-05-27T04:21:07Z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