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9"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4"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second, structurally-distinct evidence path converges on the cross-protocol CEX-mediated concentration pattern at the Substrate validator-set layer. On Polkadot (Nominated Proof-of-Stake; standard holder-HHI returns 0.0017 mechanically by Phragmen-equalization design and is not the analytical surface where concentration manifests), a five-axis operator-attribution methodology combining Subscan Identity Pallet + Web3 Foundation Thousand Validators Programme registry + Layer-2 funding-source clustering + Polkawatch display-name matching + direct Polkawatch DDP API access lifts cumulative attribution from 16 percent of bonded stake (Identity Pallet baseline) to 53 percent (300 of 600 validators attributed) and surfaces Binance at 15 validators (3.72 percent of bonded stake), Coinbase at 12 validators, and EXNESS at 6 validators (the latter two invisible to all four on-chain attribution axes; operational accounts funded via relay-mixing patterns). Combined CEX-validator footprint is at least 27 validators across the Polkadot active set, a 69 percent increase in counted CEX presence relative to on-chain-only verification. The Polkadot evidence demonstrates that the EVM universal CEX-sweep pattern is not EVM-specific: cross-protocol CEX-mediated concentration generalizes to Substrate NPoS chains under appropriate methodology adaptation. Sister-finding: TAO (Bittensor) exhibits validator-network-layer concentration patterns analogous to Polkadot, suggesting the substrate-native L1+DePIN class warrants methodology adaptation as a coherent class rather than ad-hoc per-protocol treatment. Full multi-axis methodology + per-axis attribution decomposition + 47 percent structural attribution ceiling discussion + per-operator stake breakdown + operator-infrastructure-axis candidate (Hetzner / AWS / colocation / self-hosted classification surfaced via Polkawatch LastNetwork field) in</w:t>
      </w:r>
      <w:r>
        <w:t xml:space="preserve"> </w:t>
      </w:r>
      <w:hyperlink r:id="rId69">
        <w:r>
          <w:rPr>
            <w:rStyle w:val="Hyperlink"/>
          </w:rPr>
          <w:t xml:space="preserve">Supplementary File S16 DOT addendum</w:t>
        </w:r>
      </w:hyperlink>
      <w:r>
        <w:t xml:space="preserve">,</w:t>
      </w:r>
      <w:r>
        <w:t xml:space="preserve"> </w:t>
      </w:r>
      <w:hyperlink r:id="rId70">
        <w:r>
          <w:rPr>
            <w:rStyle w:val="Hyperlink"/>
          </w:rPr>
          <w:t xml:space="preserve">Supplementary File S19 verification execution</w:t>
        </w:r>
      </w:hyperlink>
      <w:r>
        <w:t xml:space="preserve">,</w:t>
      </w:r>
      <w:r>
        <w:t xml:space="preserve"> </w:t>
      </w:r>
      <w:hyperlink r:id="rId71">
        <w:r>
          <w:rPr>
            <w:rStyle w:val="Hyperlink"/>
          </w:rPr>
          <w:t xml:space="preserve">Polkawatch synthesis</w:t>
        </w:r>
      </w:hyperlink>
      <w:r>
        <w:t xml:space="preserve">,</w:t>
      </w:r>
      <w:r>
        <w:t xml:space="preserve"> </w:t>
      </w:r>
      <w:hyperlink r:id="rId72">
        <w:r>
          <w:rPr>
            <w:rStyle w:val="Hyperlink"/>
          </w:rPr>
          <w:t xml:space="preserve">Polkawatch API discovery</w:t>
        </w:r>
      </w:hyperlink>
      <w:r>
        <w:t xml:space="preserve">, and</w:t>
      </w:r>
      <w:r>
        <w:t xml:space="preserve"> </w:t>
      </w:r>
      <w:hyperlink r:id="rId73">
        <w:r>
          <w:rPr>
            <w:rStyle w:val="Hyperlink"/>
          </w:rPr>
          <w:t xml:space="preserve">Subscan refresh finding</w:t>
        </w:r>
      </w:hyperlink>
      <w:r>
        <w:t xml:space="preserve">; Section 5.7 documents the cross-architecture attribution-coverage asymmetry as a methodological limitation.</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An initial cross-protocol Solana candidate-address verification (Sim API balance + token-portfolio analysis on 7 candidate addresses; 6 classified as CEX hot wallet and 1 as institutional investor) is reported in</w:t>
      </w:r>
      <w:r>
        <w:t xml:space="preserve"> </w:t>
      </w:r>
      <w:hyperlink r:id="rId67">
        <w:r>
          <w:rPr>
            <w:rStyle w:val="Hyperlink"/>
          </w:rPr>
          <w:t xml:space="preserve">Supplementary File S13</w:t>
        </w:r>
      </w:hyperlink>
      <w:r>
        <w:t xml:space="preserve">.</w:t>
      </w:r>
    </w:p>
    <w:bookmarkEnd w:id="74"/>
    <w:bookmarkEnd w:id="75"/>
    <w:bookmarkStart w:id="88"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7"/>
    <w:bookmarkEnd w:id="88"/>
    <w:bookmarkEnd w:id="89"/>
    <w:bookmarkStart w:id="101" w:name="discussion"/>
    <w:p>
      <w:pPr>
        <w:pStyle w:val="Heading1"/>
      </w:pPr>
      <w:r>
        <w:t xml:space="preserve">5 Discussion</w:t>
      </w:r>
    </w:p>
    <w:bookmarkStart w:id="90"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90"/>
    <w:bookmarkStart w:id="91"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1"/>
    <w:bookmarkStart w:id="92"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2"/>
    <w:bookmarkStart w:id="93"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3"/>
    <w:bookmarkStart w:id="94"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4"/>
    <w:bookmarkStart w:id="95"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5"/>
    <w:bookmarkStart w:id="96" w:name="limitations"/>
    <w:p>
      <w:pPr>
        <w:pStyle w:val="Heading2"/>
      </w:pPr>
      <w:r>
        <w:t xml:space="preserve">5.7 Limitations</w:t>
      </w:r>
    </w:p>
    <w:p>
      <w:pPr>
        <w:pStyle w:val="FirstParagraph"/>
      </w:pPr>
      <w:r>
        <w:t xml:space="preserve">The evidence reported here carries three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S17 (85.7 percent monotonic-decay), but a full 40-protocol monthly panel remains future work (Section 5.8). Second, the 40-protocol cross-section is large enough for descriptive comparison but small for fully specified multivariate regression; Model 3 has only 35 observations, and a 45-protocol extended sample is reported in Supplementary File S16 with the multivariate regression on the extended sample pending revenue and treasury covariate extraction for the 5 added protocols (Section 5.8). Third,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in Section 4.5.5 are therefore reported as lower bounds for Substrate NPoS protocols; the same is not true for the EVM and Solana CEX-overlap findings, which use near-complete-coverage attribution data.</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6"/>
    <w:bookmarkStart w:id="99" w:name="future-research"/>
    <w:p>
      <w:pPr>
        <w:pStyle w:val="Heading2"/>
      </w:pPr>
      <w:r>
        <w:t xml:space="preserve">5.8 Future Research</w:t>
      </w:r>
    </w:p>
    <w:p>
      <w:pPr>
        <w:pStyle w:val="FirstParagraph"/>
      </w:pPr>
      <w:r>
        <w:t xml:space="preserve">Four research directions have highest priority. First, longitudinal governance tracking: monthly snapshots of HHI and Gini across the full 40-protocol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7">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8">
        <w:r>
          <w:rPr>
            <w:rStyle w:val="Hyperlink"/>
          </w:rPr>
          <w:t xml:space="preserve">Supplementary File S17</w:t>
        </w:r>
      </w:hyperlink>
      <w:r>
        <w:t xml:space="preserve">) returns 85.7 percent monotonic-decay; both are consistent with the cross-sectional allocation null reported in Section 4.4. Full 40-protocol monthly extraction is the natural extension.</w:t>
      </w:r>
    </w:p>
    <w:p>
      <w:pPr>
        <w:pStyle w:val="BodyText"/>
      </w:pPr>
      <w:r>
        <w:t xml:space="preserve">Second, sample expansion: the current 40-protocol cross-section supports descriptive analysis; an extended 45-protocol sample (FXS, SNX, GNO, TAO, DOT added with PCA classification + holder distributions + top-N values;</w:t>
      </w:r>
      <w:r>
        <w:t xml:space="preserve"> </w:t>
      </w:r>
      <w:hyperlink r:id="rId69">
        <w:r>
          <w:rPr>
            <w:rStyle w:val="Hyperlink"/>
          </w:rPr>
          <w:t xml:space="preserve">Supplementary File S16</w:t>
        </w:r>
      </w:hyperlink>
      <w:r>
        <w:t xml:space="preserve">) provides infrastructure for the multivariate regression on the extended sample, pending revenue and treasury covariate extraction for the 5 added protocols. Further expansion to N = 50-60 would enable the panel and event-study analyses currently specified as replication-ready designs.</w:t>
      </w:r>
    </w:p>
    <w:p>
      <w:pPr>
        <w:pStyle w:val="BodyText"/>
      </w:pPr>
      <w:r>
        <w:t xml:space="preserve">Third, cross-protocol delegate overlap extension: Section 4.5.5 documents the pattern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The forward empirical agenda is to convert the current cross-section into panel evidence, complete the sample expansion to N = 50-60 with multivariate regression on the extended sample, extend cross-protocol delegate overlap to Solana governance surfaces, and evaluate operator-infrastructure as candidate sixth axis.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8">
        <w:r>
          <w:rPr>
            <w:rStyle w:val="Hyperlink"/>
          </w:rPr>
          <w:t xml:space="preserve">Supplementary File S17</w:t>
        </w:r>
      </w:hyperlink>
      <w:r>
        <w:t xml:space="preserve">.</w:t>
      </w:r>
    </w:p>
    <w:bookmarkEnd w:id="99"/>
    <w:bookmarkStart w:id="100"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100"/>
    <w:bookmarkEnd w:id="101"/>
    <w:bookmarkStart w:id="102"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2"/>
    <w:bookmarkStart w:id="103"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3"/>
    <w:bookmarkStart w:id="104"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4"/>
    <w:bookmarkStart w:id="105"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2026-05-27T10:06:39Z</dcterms:created>
  <dcterms:modified xsi:type="dcterms:W3CDTF">2026-05-27T10:06:39Z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