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4.png" ContentType="image/png"/>
  <Override PartName="/word/media/rId92.png" ContentType="image/png"/>
  <Override PartName="/word/media/rId88.png" ContentType="image/png"/>
  <Override PartName="/word/media/rId107.png" ContentType="image/png"/>
  <Override PartName="/word/media/rId84.png" ContentType="image/png"/>
  <Override PartName="/word/media/rId101.png" ContentType="image/png"/>
  <Override PartName="/word/media/rId64.png" ContentType="image/png"/>
  <Override PartName="/word/media/rId57.png" ContentType="image/png"/>
  <Override PartName="/word/media/rId51.png" ContentType="image/png"/>
  <Override PartName="/word/media/image1.png" ContentType="image/png"/>
  <Override PartName="/word/media/image2.png" ContentType="image/png"/>
  <Override PartName="/word/media/image3.png" ContentType="image/png"/>
  <Override PartName="/word/media/exhibit_initial_allocation.png" ContentType="image/png"/>
  <Override PartName="/word/media/exhibit_delegation_adjusted.png" ContentType="image/png"/>
  <Override PartName="/word/media/exhibit_concentration_participation.png" ContentType="image/png"/>
  <Override PartName="/word/media/exhibit_sector_comparison.png" ContentType="image/png"/>
  <Override PartName="/word/media/exhibit_subsidy_vs_hhi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ins w:id="10002" w:author="R2 Revision" w:date="2026-05-19T00:00:00Z">
        <w:pPr>
          <w:pStyle w:val="FirstParagraph"/>
        </w:pPr>
        <w:r>
          <w:rPr>
            <w:b/>
            <w:bCs/>
          </w:rPr>
          <w:t xml:space="preserve">Governance Concentration Beyond Token Allocation: An Institutional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Design Analysis of DePIN and DeFi</w:t>
        </w:r>
      </w:ins>
    </w:p>
    <w:p>
      <w:ins w:id="10003" w:author="R2 Revision" w:date="2026-05-19T00:00:00Z">
        <w:pPr>
          <w:pStyle w:val="BodyText"/>
        </w:pPr>
        <w:r>
          <w:t xml:space="preserve">Zach Zukowski</w:t>
        </w:r>
      </w:ins>
    </w:p>
    <w:p>
      <w:ins w:id="10004" w:author="R2 Revision" w:date="2026-05-19T00:00:00Z">
        <w:pPr>
          <w:pStyle w:val="BodyText"/>
        </w:pPr>
        <w:r>
          <w:t xml:space="preserve">Tokenization Systems</w:t>
        </w:r>
      </w:ins>
    </w:p>
    <w:p>
      <w:ins w:id="10005" w:author="R2 Revision" w:date="2026-05-19T00:00:00Z">
        <w:pPr>
          <w:pStyle w:val="BodyText"/>
        </w:pPr>
        <w:r>
          <w:t xml:space="preserve">zach@tokenization.systems</w:t>
        </w:r>
      </w:ins>
    </w:p>
    <w:p>
      <w:ins w:id="10006" w:author="R2 Revision" w:date="2026-05-19T00:00:00Z">
        <w:pPr>
          <w:pStyle w:val="BodyText"/>
        </w:pPr>
        <w:r>
          <w:t xml:space="preserve">ORCID: 0009-0006-3642-2450</w:t>
        </w:r>
      </w:ins>
    </w:p>
    <w:p>
      <w:ins w:id="10007" w:author="R2 Revision" w:date="2026-05-19T00:00:00Z">
        <w:pPr>
          <w:pStyle w:val="BodyText"/>
        </w:pPr>
        <w:r>
          <w:t xml:space="preserve">April 2026</w:t>
        </w:r>
      </w:ins>
    </w:p>
    <w:bookmarkStart w:id="26" w:name="abstract"/>
    <w:p>
      <w:ins w:id="10008" w:author="R2 Revision" w:date="2026-05-19T00:00:00Z">
        <w:pPr>
          <w:pStyle w:val="Heading1"/>
        </w:pPr>
        <w:r>
          <w:t xml:space="preserve">Abstract</w:t>
        </w:r>
      </w:ins>
    </w:p>
    <w:p>
      <w:ins w:id="10009" w:author="R2 Revision" w:date="2026-05-19T00:00:00Z">
        <w:pPr>
          <w:pStyle w:val="FirstParagraph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A 40-protocol cross-section spanning Decentralized</w:t>
        </w:r>
        <w:r>
          <w:t xml:space="preserve"> </w:t>
        </w:r>
        <w:r>
          <w:t xml:space="preserve">Physical Infrastructure Networks (DePIN; tokenized networks that</w:t>
        </w:r>
        <w:r>
          <w:t xml:space="preserve"> </w:t>
        </w:r>
        <w:r>
          <w:t xml:space="preserve">coordinate physical hardware), DeFi (decentralized finance),</w:t>
        </w:r>
        <w:r>
          <w:t xml:space="preserve"> </w:t>
        </w:r>
        <w:r>
          <w:t xml:space="preserve">infrastructure, and social token categories documents that team and</w:t>
        </w:r>
        <w:r>
          <w:t xml:space="preserve"> </w:t>
        </w:r>
        <w:r>
          <w:t xml:space="preserve">investor allocation at launch is uninformative about post-distribution</w:t>
        </w:r>
        <w:r>
          <w:t xml:space="preserve"> </w:t>
        </w:r>
        <w:r>
          <w:t xml:space="preserve">governance concentration (Pearson r = 0.04, p = 0.84, N = 37; a weak</w:t>
        </w:r>
        <w:r>
          <w:t xml:space="preserve"> </w:t>
        </w:r>
        <w:r>
          <w:t xml:space="preserve">association indistinguishable from zero): protocols with generous</w:t>
        </w:r>
        <w:r>
          <w:t xml:space="preserve"> </w:t>
        </w:r>
        <w:r>
          <w:t xml:space="preserve">community distributions exhibit concentration patterns similar to those</w:t>
        </w:r>
        <w:r>
          <w:t xml:space="preserve"> </w:t>
        </w:r>
        <w:r>
          <w:t xml:space="preserve">with heavy insider allocations. Hyperliquid (zero venture capital, 31%</w:t>
        </w:r>
        <w:r>
          <w:t xml:space="preserve"> </w:t>
        </w:r>
        <w:r>
          <w:t xml:space="preserve">community airdrop) shows the lowest DeFi-subsample Herfindahl-Hirschman</w:t>
        </w:r>
        <w:r>
          <w:t xml:space="preserve"> </w:t>
        </w:r>
        <w:r>
          <w:t xml:space="preserve">Index (HHI; a concentration measure that sums the squared ownership</w:t>
        </w:r>
        <w:r>
          <w:t xml:space="preserve"> </w:t>
        </w:r>
        <w:r>
          <w:t xml:space="preserve">shares of all holders, scaled to range from 0 for perfectly dispersed</w:t>
        </w:r>
        <w:r>
          <w:t xml:space="preserve"> </w:t>
        </w:r>
        <w:r>
          <w:t xml:space="preserve">ownership to 1 when a single holder controls everything; the U.S.</w:t>
        </w:r>
        <w:r>
          <w:t xml:space="preserve"> </w:t>
        </w:r>
        <w:r>
          <w:t xml:space="preserve">antitrust threshold for</w:t>
        </w:r>
        <w:r>
          <w:t xml:space="preserve"> </w:t>
        </w:r>
        <w:r>
          <w:t xml:space="preserve">“high concentration”</w:t>
        </w:r>
        <w:r>
          <w:t xml:space="preserve"> </w:t>
        </w:r>
        <w:r>
          <w:t xml:space="preserve">is 0.25) of 0.005, but</w:t>
        </w:r>
        <w:r>
          <w:t xml:space="preserve"> </w:t>
        </w:r>
        <w:r>
          <w:t xml:space="preserve">the broader null holds across allocation designs. Evidence is</w:t>
        </w:r>
        <w:r>
          <w:t xml:space="preserve"> </w:t>
        </w:r>
        <w:r>
          <w:t xml:space="preserve">consistent with post-distribution market dynamics shaping concentration</w:t>
        </w:r>
        <w:r>
          <w:t xml:space="preserve"> </w:t>
        </w:r>
        <w:r>
          <w:t xml:space="preserve">more than initial structural design.</w:t>
        </w:r>
      </w:ins>
    </w:p>
    <w:p>
      <w:ins w:id="10010" w:author="R2 Revision" w:date="2026-05-19T00:00:00Z">
        <w:pPr>
          <w:pStyle w:val="BodyText"/>
        </w:pPr>
        <w:r>
          <w:t xml:space="preserve">Four supporting findings sharpen the picture. First, protocols with</w:t>
        </w:r>
        <w:r>
          <w:t xml:space="preserve"> </w:t>
        </w:r>
        <w:r>
          <w:t xml:space="preserve">more insider wallets in their top-holder sets exhibit higher</w:t>
        </w:r>
        <w:r>
          <w:t xml:space="preserve"> </w:t>
        </w:r>
        <w:r>
          <w:t xml:space="preserve">concentration among non-insider holders (Spearman rho = 0.54, p =</w:t>
        </w:r>
        <w:r>
          <w:t xml:space="preserve"> </w:t>
        </w:r>
        <w:r>
          <w:t xml:space="preserve">0.001, N = 34; a strong rank-order association): insider-heavy</w:t>
        </w:r>
        <w:r>
          <w:t xml:space="preserve"> </w:t>
        </w:r>
        <w:r>
          <w:t xml:space="preserve">protocols develop concentrated governance ecosystems, not merely</w:t>
        </w:r>
        <w:r>
          <w:t xml:space="preserve"> </w:t>
        </w:r>
        <w:r>
          <w:t xml:space="preserve">concentrated insider positions. Second, sector membership predicts</w:t>
        </w:r>
        <w:r>
          <w:t xml:space="preserve"> </w:t>
        </w:r>
        <w:r>
          <w:t xml:space="preserve">concentration: DePIN exceeds DeFi (Mann-Whitney p = 0.018, Cohen’s d = 0.98, a large effect by Cohen’s conventional thresholds), and the</w:t>
        </w:r>
        <w:r>
          <w:t xml:space="preserve"> </w:t>
        </w:r>
        <w:r>
          <w:t xml:space="preserve">effect is robust under nested OLS specifications adding protocol age,</w:t>
        </w:r>
        <w:r>
          <w:t xml:space="preserve"> </w:t>
        </w:r>
        <w:r>
          <w:t xml:space="preserve">log fully diluted valuation (FDV; the market capitalization a</w:t>
        </w:r>
        <w:r>
          <w:t xml:space="preserve"> </w:t>
        </w:r>
        <w:r>
          <w:t xml:space="preserve">protocol would have if all currently-allocated tokens were in</w:t>
        </w:r>
        <w:r>
          <w:t xml:space="preserve"> </w:t>
        </w:r>
        <w:r>
          <w:t xml:space="preserve">circulation), and initial insider allocation as successive controls</w:t>
        </w:r>
        <w:r>
          <w:t xml:space="preserve"> </w:t>
        </w:r>
        <w:r>
          <w:t xml:space="preserve">(sector coefficient p &lt; 0.05 in Models 1 and 2; in Model 3 with the</w:t>
        </w:r>
        <w:r>
          <w:t xml:space="preserve"> </w:t>
        </w:r>
        <w:r>
          <w:t xml:space="preserve">full control set the coefficient is positive and similar in magnitude</w:t>
        </w:r>
        <w:r>
          <w:t xml:space="preserve"> </w:t>
        </w:r>
        <w:r>
          <w:t xml:space="preserve">but falls just above the threshold at p = 0.078;</w:t>
        </w:r>
        <w:r>
          <w:t xml:space="preserve"> </w:t>
        </w:r>
        <w:r>
          <w:t xml:space="preserve">adjusted R² 0.15 to 0.19; Table 6). Third, on-chain subsidy intensity</w:t>
        </w:r>
        <w:r>
          <w:t xml:space="preserve"> </w:t>
        </w:r>
        <w:r>
          <w:t xml:space="preserve">(the ratio of token emissions to protocol revenue) correlates with</w:t>
        </w:r>
        <w:r>
          <w:t xml:space="preserve"> </w:t>
        </w:r>
        <w:r>
          <w:t xml:space="preserve">concentration in levels (r = 0.57, p = 0.008, N = 20) but entirely</w:t>
        </w:r>
        <w:r>
          <w:t xml:space="preserve"> </w:t>
        </w:r>
        <w:r>
          <w:t xml:space="preserve">through Livepeer (88.5x subsidy, meaning 88 dollars in emissions for</w:t>
        </w:r>
        <w:r>
          <w:t xml:space="preserve"> </w:t>
        </w:r>
        <w:r>
          <w:t xml:space="preserve">every dollar of revenue); excluding Livepeer yields r = 0.11, p =</w:t>
        </w:r>
        <w:r>
          <w:t xml:space="preserve"> </w:t>
        </w:r>
        <w:r>
          <w:t xml:space="preserve">0.65. Fourth, delegation concentrates governance power above the</w:t>
        </w:r>
        <w:r>
          <w:t xml:space="preserve"> </w:t>
        </w:r>
        <w:r>
          <w:t xml:space="preserve">level measured from token holdings in nine of ten protocols sampled</w:t>
        </w:r>
        <w:r>
          <w:t xml:space="preserve"> </w:t>
        </w:r>
        <w:r>
          <w:t xml:space="preserve">(voting-power HHI exceeds holding HHI by factors of 1.2 to 11.4</w:t>
        </w:r>
        <w:r>
          <w:t xml:space="preserve"> </w:t>
        </w:r>
        <w:r>
          <w:t xml:space="preserve">times), with one structural exception (ENS at 0.39x reflects a mature</w:t>
        </w:r>
        <w:r>
          <w:t xml:space="preserve"> </w:t>
        </w:r>
        <w:r>
          <w:t xml:space="preserve">delegate program where holders systematically delegate to a broad</w:t>
        </w:r>
        <w:r>
          <w:t xml:space="preserve"> </w:t>
        </w:r>
        <w:r>
          <w:t xml:space="preserve">community-delegate set rather than self-delegating or delegating to</w:t>
        </w:r>
        <w:r>
          <w:t xml:space="preserve"> </w:t>
        </w:r>
        <w:r>
          <w:t xml:space="preserve">whales). Two further vote-escrowed protocols (Curve and Balancer;</w:t>
        </w:r>
        <w:r>
          <w:t xml:space="preserve"> </w:t>
        </w:r>
        <w:r>
          <w:t xml:space="preserve">governance systems where token holders lock their tokens for a fixed</w:t>
        </w:r>
        <w:r>
          <w:t xml:space="preserve"> </w:t>
        </w:r>
        <w:r>
          <w:t xml:space="preserve">duration in exchange for voting power weighted by lock duration) show</w:t>
        </w:r>
        <w:r>
          <w:t xml:space="preserve"> </w:t>
        </w:r>
        <w:r>
          <w:t xml:space="preserve">extreme amplification (15 and 21 times) under lock-duration weighting,</w:t>
        </w:r>
        <w:r>
          <w:t xml:space="preserve"> </w:t>
        </w:r>
        <w:r>
          <w:t xml:space="preserve">forming a distinct class. Variation in amplification across the</w:t>
        </w:r>
        <w:r>
          <w:t xml:space="preserve"> </w:t>
        </w:r>
        <w:r>
          <w:t xml:space="preserve">non-vote-escrowed sample is not predicted by sector or governance</w:t>
        </w:r>
        <w:r>
          <w:t xml:space="preserve"> </w:t>
        </w:r>
        <w:r>
          <w:t xml:space="preserve">venue (Tally, where votes are recorded as on-chain transactions,</w:t>
        </w:r>
        <w:r>
          <w:t xml:space="preserve"> </w:t>
        </w:r>
        <w:r>
          <w:t xml:space="preserve">versus Snapshot, where signed off-chain messages aggregate voting</w:t>
        </w:r>
        <w:r>
          <w:t xml:space="preserve"> </w:t>
        </w:r>
        <w:r>
          <w:t xml:space="preserve">power), consistent with institutional design at the delegate-program</w:t>
        </w:r>
        <w:r>
          <w:t xml:space="preserve"> </w:t>
        </w:r>
        <w:r>
          <w:t xml:space="preserve">level governing both the direction and magnitude of delegation’s</w:t>
        </w:r>
        <w:r>
          <w:t xml:space="preserve"> </w:t>
        </w:r>
        <w:r>
          <w:t xml:space="preserve">effect on voting concentration.</w:t>
        </w:r>
      </w:ins>
    </w:p>
    <w:p>
      <w:ins w:id="10011" w:author="R2 Revision" w:date="2026-05-19T00:00:00Z">
        <w:pPr>
          <w:pStyle w:val="BodyText"/>
        </w:pPr>
        <w:r>
          <w:t xml:space="preserve">A measurement distinction underlies these findings. Token inequality</w:t>
        </w:r>
        <w:r>
          <w:t xml:space="preserve"> </w:t>
        </w:r>
        <w:r>
          <w:t xml:space="preserve">(Gini coefficient; a single number summarizing how unevenly tokens are</w:t>
        </w:r>
        <w:r>
          <w:t xml:space="preserve"> </w:t>
        </w:r>
        <w:r>
          <w:t xml:space="preserve">distributed across all holders, ranging from 0 for perfect equality</w:t>
        </w:r>
        <w:r>
          <w:t xml:space="preserve"> </w:t>
        </w:r>
        <w:r>
          <w:t xml:space="preserve">to 1 for one-holder-owns-everything) and governance concentration</w:t>
        </w:r>
        <w:r>
          <w:t xml:space="preserve"> </w:t>
        </w:r>
        <w:r>
          <w:t xml:space="preserve">(HHI; weighted toward the top of the distribution because it squares</w:t>
        </w:r>
        <w:r>
          <w:t xml:space="preserve"> </w:t>
        </w:r>
        <w:r>
          <w:t xml:space="preserve">each holder’s share) capture distinct properties of the same holder</w:t>
        </w:r>
        <w:r>
          <w:t xml:space="preserve"> </w:t>
        </w:r>
        <w:r>
          <w:t xml:space="preserve">set. Inequality is severe in every protocol (Gini 0.52 to 0.99,</w:t>
        </w:r>
        <w:r>
          <w:t xml:space="preserve"> </w:t>
        </w:r>
        <w:r>
          <w:t xml:space="preserve">indicating substantial dispersion across the holder distribution),</w:t>
        </w:r>
        <w:r>
          <w:t xml:space="preserve"> </w:t>
        </w:r>
        <w:r>
          <w:t xml:space="preserve">while concentration varies across two orders of magnitude (HHI 0.005</w:t>
        </w:r>
        <w:r>
          <w:t xml:space="preserve"> </w:t>
        </w:r>
        <w:r>
          <w:t xml:space="preserve">to 0.199, ranging from highly distributed governance to concentrated</w:t>
        </w:r>
        <w:r>
          <w:t xml:space="preserve"> </w:t>
        </w:r>
        <w:r>
          <w:t xml:space="preserve">oligopoly territory); the moderate correlation (r = 0.51) confirms</w:t>
        </w:r>
        <w:r>
          <w:t xml:space="preserve"> </w:t>
        </w:r>
        <w:r>
          <w:t xml:space="preserve">that inequality metrics cannot substitute for direct concentration</w:t>
        </w:r>
        <w:r>
          <w:t xml:space="preserve"> </w:t>
        </w:r>
        <w:r>
          <w:t xml:space="preserve">measurement.</w:t>
        </w:r>
      </w:ins>
    </w:p>
    <w:p>
      <w:ins w:id="10012" w:author="R2 Revision" w:date="2026-05-19T00:00:00Z">
        <w:pPr>
          <w:pStyle w:val="BodyText"/>
        </w:pPr>
        <w:r>
          <w:rPr>
            <w:b/>
            <w:bCs/>
          </w:rPr>
          <w:t xml:space="preserve">JEL Codes:</w:t>
        </w:r>
        <w:r>
          <w:t xml:space="preserve"> </w:t>
        </w:r>
        <w:r>
          <w:t xml:space="preserve">C21 (Cross-Sectional Models), D02 (Institutions: Design,</w:t>
        </w:r>
        <w:r>
          <w:t xml:space="preserve"> </w:t>
        </w:r>
        <w:r>
          <w:t xml:space="preserve">Formation, Operations), D23 (Organizational Behavior; Transaction Costs;</w:t>
        </w:r>
        <w:r>
          <w:t xml:space="preserve"> </w:t>
        </w:r>
        <w:r>
          <w:t xml:space="preserve">Property Rights), D47 (Market Design), D63 (Equity, Justice,</w:t>
        </w:r>
        <w:r>
          <w:t xml:space="preserve"> </w:t>
        </w:r>
        <w:r>
          <w:t xml:space="preserve">Inequality), D71 (Social Choice; Clubs; Committees), D72 (Political</w:t>
        </w:r>
        <w:r>
          <w:t xml:space="preserve"> </w:t>
        </w:r>
        <w:r>
          <w:t xml:space="preserve">Processes), D74 (Conflict; Conflict Resolution; Alliances; Revolutions),</w:t>
        </w:r>
        <w:r>
          <w:t xml:space="preserve"> </w:t>
        </w:r>
        <w:r>
          <w:t xml:space="preserve">G30 (Corporate Finance and Governance: General), G34 (Mergers;</w:t>
        </w:r>
        <w:r>
          <w:t xml:space="preserve"> </w:t>
        </w:r>
        <w:r>
          <w:t xml:space="preserve">Acquisitions; Restructuring; Corporate Governance), L22 (Firm</w:t>
        </w:r>
        <w:r>
          <w:t xml:space="preserve"> </w:t>
        </w:r>
        <w:r>
          <w:t xml:space="preserve">Organization and Market Structure), O33 (Technological Change: Choices</w:t>
        </w:r>
        <w:r>
          <w:t xml:space="preserve"> </w:t>
        </w:r>
        <w:r>
          <w:t xml:space="preserve">and Consequences; Diffusion Processes), P48 (Political Economy; Legal</w:t>
        </w:r>
        <w:r>
          <w:t xml:space="preserve"> </w:t>
        </w:r>
        <w:r>
          <w:t xml:space="preserve">Institutions; Property Rights)</w:t>
        </w:r>
      </w:ins>
    </w:p>
    <w:p>
      <w:ins w:id="10013" w:author="R2 Revision" w:date="2026-05-19T00:00:00Z">
        <w:pPr>
          <w:pStyle w:val="BodyText"/>
        </w:pPr>
        <w:r>
          <w:rPr>
            <w:b/>
            <w:bCs/>
          </w:rPr>
          <w:t xml:space="preserve">Keywords:</w:t>
        </w:r>
        <w:r>
          <w:t xml:space="preserve"> </w:t>
        </w:r>
        <w:r>
          <w:t xml:space="preserve">tokenomics, institutional design, governance</w:t>
        </w:r>
        <w:r>
          <w:t xml:space="preserve"> </w:t>
        </w:r>
        <w:r>
          <w:t xml:space="preserve">concentration, DAO governance, DePIN, delegation amplification,</w:t>
        </w:r>
        <w:r>
          <w:t xml:space="preserve"> </w:t>
        </w:r>
        <w:r>
          <w:t xml:space="preserve">Herfindahl-Hirschman Index, Pettit contestability, Rawlsian fairness,</w:t>
        </w:r>
        <w:r>
          <w:t xml:space="preserve"> </w:t>
        </w:r>
        <w:r>
          <w:t xml:space="preserve">Ostromian polycentricity, Hayekian knowledge-use, Kantian publicity,</w:t>
        </w:r>
        <w:r>
          <w:t xml:space="preserve"> </w:t>
        </w:r>
        <w:r>
          <w:t xml:space="preserve">five-lens framework, political philosophy of tokenomics, principal-agent</w:t>
        </w:r>
        <w:r>
          <w:t xml:space="preserve"> </w:t>
        </w:r>
        <w:r>
          <w:t xml:space="preserve">problem in delegated voting, burn-rule exclusion, protocol-controlled</w:t>
        </w:r>
        <w:r>
          <w:t xml:space="preserve"> </w:t>
        </w:r>
        <w:r>
          <w:t xml:space="preserve">address methodology, polycentric governance, blockchain governance,</w:t>
        </w:r>
        <w:r>
          <w:t xml:space="preserve"> </w:t>
        </w:r>
        <w:r>
          <w:t xml:space="preserve">voting power concentration, veCRV, governance HHI</w:t>
        </w:r>
      </w:ins>
    </w:p>
    <w:bookmarkEnd w:id="26"/>
    <w:bookmarkStart w:id="35" w:name="introduction"/>
    <w:p>
      <w:ins w:id="10014" w:author="R2 Revision" w:date="2026-05-19T00:00:00Z">
        <w:pPr>
          <w:pStyle w:val="Heading1"/>
        </w:pPr>
        <w:r>
          <w:t xml:space="preserve">1 Introduction</w:t>
        </w:r>
      </w:ins>
    </w:p>
    <w:bookmarkStart w:id="27" w:name="motivation"/>
    <w:p>
      <w:ins w:id="10015" w:author="R2 Revision" w:date="2026-05-19T00:00:00Z">
        <w:pPr>
          <w:pStyle w:val="Heading2"/>
        </w:pPr>
        <w:r>
          <w:t xml:space="preserve">1.1 Motivation</w:t>
        </w:r>
      </w:ins>
    </w:p>
    <w:p>
      <w:ins w:id="10016" w:author="R2 Revision" w:date="2026-05-19T00:00:00Z">
        <w:pPr>
          <w:pStyle w:val="FirstParagraph"/>
        </w:pPr>
        <w:r>
          <w:t xml:space="preserve">ENS, the Ethereum Name Service, runs a delegate program in which token</w:t>
        </w:r>
        <w:r>
          <w:t xml:space="preserve"> </w:t>
        </w:r>
        <w:r>
          <w:t xml:space="preserve">holders systematically delegate their votes to roughly 100 active</w:t>
        </w:r>
        <w:r>
          <w:t xml:space="preserve"> </w:t>
        </w:r>
        <w:r>
          <w:t xml:space="preserve">community delegates; the resulting voting-power distribution is more</w:t>
        </w:r>
        <w:r>
          <w:t xml:space="preserve"> </w:t>
        </w:r>
        <w:r>
          <w:t xml:space="preserve">dispersed than the underlying token holding distribution (amplification</w:t>
        </w:r>
        <w:r>
          <w:t xml:space="preserve"> </w:t>
        </w:r>
        <w:r>
          <w:t xml:space="preserve">ratio 0.39x, meaning voting concentration is 39% of holding</w:t>
        </w:r>
        <w:r>
          <w:t xml:space="preserve"> </w:t>
        </w:r>
        <w:r>
          <w:t xml:space="preserve">concentration; Section 3.5.1). DIMO, a vehicle-data DePIN protocol,</w:t>
        </w:r>
        <w:r>
          <w:t xml:space="preserve"> </w:t>
        </w:r>
        <w:r>
          <w:t xml:space="preserve">runs governance through a Snapshot off-chain voting space with ten</w:t>
        </w:r>
        <w:r>
          <w:t xml:space="preserve"> </w:t>
        </w:r>
        <w:r>
          <w:t xml:space="preserve">active voters in the most recent twelve months; its voting-power</w:t>
        </w:r>
        <w:r>
          <w:t xml:space="preserve"> </w:t>
        </w:r>
        <w:r>
          <w:t xml:space="preserve">distribution is 9.1 times more concentrated than its token holdings</w:t>
        </w:r>
        <w:r>
          <w:t xml:space="preserve"> </w:t>
        </w:r>
        <w:r>
          <w:t xml:space="preserve">(Section 3.5). Across the ten-protocol governance sample, the magnitude</w:t>
        </w:r>
        <w:r>
          <w:t xml:space="preserve"> </w:t>
        </w:r>
        <w:r>
          <w:t xml:space="preserve">of delegation amplification varies from 1.2 to 11.4 times above the</w:t>
        </w:r>
        <w:r>
          <w:t xml:space="preserve"> </w:t>
        </w:r>
        <w:r>
          <w:t xml:space="preserve">holding baseline, with one structural exception (ENS). The</w:t>
        </w:r>
        <w:r>
          <w:t xml:space="preserve"> </w:t>
        </w:r>
        <w:r>
          <w:t xml:space="preserve">cross-protocol variation is not predicted by sector membership or</w:t>
        </w:r>
        <w:r>
          <w:t xml:space="preserve"> </w:t>
        </w:r>
        <w:r>
          <w:t xml:space="preserve">governance venue but by institutional design choices at the</w:t>
        </w:r>
        <w:r>
          <w:t xml:space="preserve"> </w:t>
        </w:r>
        <w:r>
          <w:t xml:space="preserve">delegate-program level: whether the protocol funds many community</w:t>
        </w:r>
        <w:r>
          <w:t xml:space="preserve"> </w:t>
        </w:r>
        <w:r>
          <w:t xml:space="preserve">delegates, how voting power flows from holders to delegates, and what</w:t>
        </w:r>
        <w:r>
          <w:t xml:space="preserve"> </w:t>
        </w:r>
        <w:r>
          <w:t xml:space="preserve">incentives shape delegate participation (Section 3.5, Section 4.1).</w:t>
        </w:r>
      </w:ins>
    </w:p>
    <w:p>
      <w:ins w:id="10017" w:author="R2 Revision" w:date="2026-05-19T00:00:00Z">
        <w:pPr>
          <w:pStyle w:val="BodyText"/>
        </w:pPr>
        <w:r>
          <w:t xml:space="preserve">Three protocols with near-identical subsidy ratios (DIMO, Aethir, Aave)</w:t>
        </w:r>
        <w:r>
          <w:t xml:space="preserve"> </w:t>
        </w:r>
        <w:r>
          <w:t xml:space="preserve">exhibit governance HHI spanning 0.013 to 0.087: financial</w:t>
        </w:r>
        <w:r>
          <w:t xml:space="preserve"> </w:t>
        </w:r>
        <w:r>
          <w:t xml:space="preserve">sustainability is neither necessary nor sufficient for governance</w:t>
        </w:r>
        <w:r>
          <w:t xml:space="preserve"> </w:t>
        </w:r>
        <w:r>
          <w:t xml:space="preserve">decentralization (Section 3.4). Governance concentration is a</w:t>
        </w:r>
        <w:r>
          <w:t xml:space="preserve"> </w:t>
        </w:r>
        <w:r>
          <w:t xml:space="preserve">secondary market outcome, shaped by post-distribution trading and</w:t>
        </w:r>
        <w:r>
          <w:t xml:space="preserve"> </w:t>
        </w:r>
        <w:r>
          <w:t xml:space="preserve">accumulation dynamics that neither allocation design nor protocol</w:t>
        </w:r>
        <w:r>
          <w:t xml:space="preserve"> </w:t>
        </w:r>
        <w:r>
          <w:t xml:space="preserve">financial characteristics predict.</w:t>
        </w:r>
      </w:ins>
    </w:p>
    <w:p>
      <w:ins w:id="10018" w:author="R2 Revision" w:date="2026-05-19T00:00:00Z">
        <w:pPr>
          <w:pStyle w:val="BodyText"/>
        </w:pPr>
        <w:r>
          <w:t xml:space="preserve">Token-based governance is the default coordination mechanism for</w:t>
        </w:r>
        <w:r>
          <w:t xml:space="preserve"> </w:t>
        </w:r>
        <w:r>
          <w:t xml:space="preserve">billions of dollars in decentralized physical infrastructure (DePIN) and</w:t>
        </w:r>
        <w:r>
          <w:t xml:space="preserve"> </w:t>
        </w:r>
        <w:r>
          <w:t xml:space="preserve">decentralized finance (DeFi). But what determines whether governance</w:t>
        </w:r>
        <w:r>
          <w:t xml:space="preserve"> </w:t>
        </w:r>
        <w:r>
          <w:t xml:space="preserve">power concentrates or distributes? Three candidate explanations dominate</w:t>
        </w:r>
        <w:r>
          <w:t xml:space="preserve"> </w:t>
        </w:r>
        <w:r>
          <w:t xml:space="preserve">practitioner discourse: insider token allocation concentrates power;</w:t>
        </w:r>
        <w:r>
          <w:t xml:space="preserve"> </w:t>
        </w:r>
        <w:r>
          <w:t xml:space="preserve">subsidy dependence (high token emissions relative to revenue) entrenches</w:t>
        </w:r>
        <w:r>
          <w:t xml:space="preserve"> </w:t>
        </w:r>
        <w:r>
          <w:t xml:space="preserve">early holders; and younger protocols have not yet had time to</w:t>
        </w:r>
        <w:r>
          <w:t xml:space="preserve"> </w:t>
        </w:r>
        <w:r>
          <w:t xml:space="preserve">decentralize. This paper tests all three.</w:t>
        </w:r>
      </w:ins>
    </w:p>
    <w:p>
      <w:ins w:id="10019" w:author="R2 Revision" w:date="2026-05-19T00:00:00Z">
        <w:pPr>
          <w:pStyle w:val="BodyText"/>
        </w:pPr>
        <w:r>
          <w:t xml:space="preserve">We construct a 40-protocol governance concentration dataset spanning</w:t>
        </w:r>
        <w:r>
          <w:t xml:space="preserve"> </w:t>
        </w:r>
        <w:r>
          <w:t xml:space="preserve">DePIN and DeFi, develop a Blockscout-verified (a blockchain contract</w:t>
        </w:r>
        <w:r>
          <w:t xml:space="preserve"> </w:t>
        </w:r>
        <w:r>
          <w:t xml:space="preserve">verification tool) exclusion methodology to remove 126</w:t>
        </w:r>
        <w:r>
          <w:t xml:space="preserve"> </w:t>
        </w:r>
        <w:r>
          <w:t xml:space="preserve">protocol-controlled addresses (PCAs; addresses that appear on holder</w:t>
        </w:r>
        <w:r>
          <w:t xml:space="preserve"> </w:t>
        </w:r>
        <w:r>
          <w:t xml:space="preserve">lists but structurally cannot vote, including staking contracts that</w:t>
        </w:r>
        <w:r>
          <w:t xml:space="preserve"> </w:t>
        </w:r>
        <w:r>
          <w:t xml:space="preserve">hold tokens on behalf of stakers, exchange custodians that custody</w:t>
        </w:r>
        <w:r>
          <w:t xml:space="preserve"> </w:t>
        </w:r>
        <w:r>
          <w:t xml:space="preserve">customer deposits, vesting locks that release tokens to insiders over</w:t>
        </w:r>
        <w:r>
          <w:t xml:space="preserve"> </w:t>
        </w:r>
        <w:r>
          <w:t xml:space="preserve">time, and protocol treasuries) from HHI computation, and test every available</w:t>
        </w:r>
        <w:r>
          <w:t xml:space="preserve"> </w:t>
        </w:r>
        <w:r>
          <w:t xml:space="preserve">cross-sectional predictor of concentration using both parametric and</w:t>
        </w:r>
        <w:r>
          <w:t xml:space="preserve"> </w:t>
        </w:r>
        <w:r>
          <w:t xml:space="preserve">rank-based methods.</w:t>
        </w:r>
      </w:ins>
    </w:p>
    <w:p>
      <w:ins w:id="10020" w:author="R2 Revision" w:date="2026-05-19T00:00:00Z">
        <w:pPr>
          <w:pStyle w:val="BodyText"/>
        </w:pPr>
        <w:r>
          <w:t xml:space="preserve">Four findings emerge. First, naive token holder lists include addresses</w:t>
        </w:r>
        <w:r>
          <w:t xml:space="preserve"> </w:t>
        </w:r>
        <w:r>
          <w:t xml:space="preserve">that cannot vote: staking contracts, exchange custodians, vesting locks,</w:t>
        </w:r>
        <w:r>
          <w:t xml:space="preserve"> </w:t>
        </w:r>
        <w:r>
          <w:t xml:space="preserve">and protocol treasuries. Across 38 protocols, 126 such addresses were</w:t>
        </w:r>
        <w:r>
          <w:t xml:space="preserve"> </w:t>
        </w:r>
        <w:r>
          <w:t xml:space="preserve">included in prior concentration measurements, inflating affected</w:t>
        </w:r>
        <w:r>
          <w:t xml:space="preserve"> </w:t>
        </w:r>
        <w:r>
          <w:t xml:space="preserve">protocols’ HHI by up to 7x. Second, current insider wallet retention</w:t>
        </w:r>
        <w:r>
          <w:t xml:space="preserve"> </w:t>
        </w:r>
        <w:r>
          <w:t xml:space="preserve">predicts governance concentration (Spearman rho = 0.48, p = 0.003, N =</w:t>
        </w:r>
        <w:r>
          <w:t xml:space="preserve"> </w:t>
        </w:r>
        <w:r>
          <w:t xml:space="preserve">37), while initial allocation design does not (Section 3.4). Third,</w:t>
        </w:r>
        <w:r>
          <w:t xml:space="preserve"> </w:t>
        </w:r>
        <w:r>
          <w:t xml:space="preserve">DePIN governance concentration is higher than DeFi after exclusion</w:t>
        </w:r>
        <w:r>
          <w:t xml:space="preserve"> </w:t>
        </w:r>
        <w:r>
          <w:t xml:space="preserve">correction (Mann-Whitney p = 0.018, Cohen’s d = 0.98), and the finding</w:t>
        </w:r>
        <w:r>
          <w:t xml:space="preserve"> </w:t>
        </w:r>
        <w:r>
          <w:t xml:space="preserve">is robust to single-protocol exclusion (significant in all 30 of 30</w:t>
        </w:r>
        <w:r>
          <w:t xml:space="preserve"> </w:t>
        </w:r>
        <w:r>
          <w:t xml:space="preserve">leave-one-out iterations). Fourth, delegation concentrates governance power in nine of ten</w:t>
        </w:r>
        <w:r>
          <w:t xml:space="preserve"> </w:t>
        </w:r>
        <w:r>
          <w:t xml:space="preserve">protocols sampled, with amplification factors of 1.2x (GMX), 2.8x</w:t>
        </w:r>
        <w:r>
          <w:t xml:space="preserve"> </w:t>
        </w:r>
        <w:r>
          <w:t xml:space="preserve">(Uniswap), 3.3x (WeatherXM), 3.6x (Optimism), 4.4x (Arbitrum), 5.7x</w:t>
        </w:r>
        <w:r>
          <w:t xml:space="preserve"> </w:t>
        </w:r>
        <w:r>
          <w:t xml:space="preserve">(Compound), 5.9x (Aave), 9.1x (DIMO), and 11.4x (Lido). One protocol</w:t>
        </w:r>
        <w:r>
          <w:t xml:space="preserve"> </w:t>
        </w:r>
        <w:r>
          <w:t xml:space="preserve">(ENS) shows delegation-mediated dispersion at ratio 0.39x, reflecting</w:t>
        </w:r>
        <w:r>
          <w:t xml:space="preserve"> </w:t>
        </w:r>
        <w:r>
          <w:t xml:space="preserve">a mature delegate program where holders systematically delegate to a</w:t>
        </w:r>
        <w:r>
          <w:t xml:space="preserve"> </w:t>
        </w:r>
        <w:r>
          <w:t xml:space="preserve">broader community-delegate set. Two further protocols (Uniswap,</w:t>
        </w:r>
        <w:r>
          <w:t xml:space="preserve"> </w:t>
        </w:r>
        <w:r>
          <w:t xml:space="preserve">Optimism) would appear to show dispersion if holding HHI were measured</w:t>
        </w:r>
        <w:r>
          <w:t xml:space="preserve"> </w:t>
        </w:r>
        <w:r>
          <w:t xml:space="preserve">without excluding addresses that cannot vote (burn wallets, foundation</w:t>
        </w:r>
        <w:r>
          <w:t xml:space="preserve"> </w:t>
        </w:r>
        <w:r>
          <w:t xml:space="preserve">treasuries); under the consistent exclusion methodology applied</w:t>
        </w:r>
        <w:r>
          <w:t xml:space="preserve"> </w:t>
        </w:r>
        <w:r>
          <w:t xml:space="preserve">throughout this paper, both protocols join the amplification pattern. Curve and Balancer (vote-escrowed governance via veCRV and</w:t>
        </w:r>
        <w:r>
          <w:t xml:space="preserve"> </w:t>
        </w:r>
        <w:r>
          <w:t xml:space="preserve">veBAL) show extreme amplification (15x and 21x) reflecting lock-duration</w:t>
        </w:r>
        <w:r>
          <w:t xml:space="preserve"> </w:t>
        </w:r>
        <w:r>
          <w:t xml:space="preserve">weighting and form a distinct class discussed in Section 4.1.</w:t>
        </w:r>
        <w:r>
          <w:t xml:space="preserve"> </w:t>
        </w:r>
        <w:r>
          <w:t xml:space="preserve">Institutional design within each delegate program governs both whether</w:t>
        </w:r>
        <w:r>
          <w:t xml:space="preserve"> </w:t>
        </w:r>
        <w:r>
          <w:t xml:space="preserve">delegation concentrates power and how strongly.</w:t>
        </w:r>
      </w:ins>
    </w:p>
    <w:p>
      <w:ins w:id="10021" w:author="R2 Revision" w:date="2026-05-19T00:00:00Z">
        <w:pPr>
          <w:pStyle w:val="BodyText"/>
        </w:pPr>
        <w:r>
          <w:t xml:space="preserve">Beyond the four empirical findings, the framework itself contributes a</w:t>
        </w:r>
        <w:r>
          <w:t xml:space="preserve"> </w:t>
        </w:r>
        <w:r>
          <w:t xml:space="preserve">two-layer methodological structure (Section 2.10.1) distinguishing the</w:t>
        </w:r>
        <w:r>
          <w:t xml:space="preserve"> </w:t>
        </w:r>
        <w:r>
          <w:t xml:space="preserve">philosophical goal-state Layer 1 (what the tradition aims to secure;</w:t>
        </w:r>
        <w:r>
          <w:t xml:space="preserve"> </w:t>
        </w:r>
        <w:r>
          <w:t xml:space="preserve">e.g., non-domination for Pettit, fairness for Rawls) from the</w:t>
        </w:r>
        <w:r>
          <w:t xml:space="preserve"> </w:t>
        </w:r>
        <w:r>
          <w:t xml:space="preserve">operational mechanism Layer 2 (what is observable in protocol design</w:t>
        </w:r>
        <w:r>
          <w:t xml:space="preserve"> </w:t>
        </w:r>
        <w:r>
          <w:t xml:space="preserve">and scored in Table 1; e.g., appeals and veto rights as operational</w:t>
        </w:r>
        <w:r>
          <w:t xml:space="preserve"> </w:t>
        </w:r>
        <w:r>
          <w:t xml:space="preserve">measures of contestability). The two-layer structure prevents the</w:t>
        </w:r>
        <w:r>
          <w:t xml:space="preserve"> </w:t>
        </w:r>
        <w:r>
          <w:t xml:space="preserve">common conflation of goal with mechanism that recurs across existing</w:t>
        </w:r>
        <w:r>
          <w:t xml:space="preserve"> </w:t>
        </w:r>
        <w:r>
          <w:t xml:space="preserve">DAO-governance assessment frameworks (Section 4.5). The PCA exclusion</w:t>
        </w:r>
        <w:r>
          <w:t xml:space="preserve"> </w:t>
        </w:r>
        <w:r>
          <w:t xml:space="preserve">methodology applied across the cross-section also generalizes via the</w:t>
        </w:r>
        <w:r>
          <w:t xml:space="preserve"> </w:t>
        </w:r>
        <w:r>
          <w:t xml:space="preserve">five-class typology codified in Section 2.10.10 (Class 1 burn</w:t>
        </w:r>
        <w:r>
          <w:t xml:space="preserve"> </w:t>
        </w:r>
        <w:r>
          <w:t xml:space="preserve">destinations; Class 2 foundation and treasury custody; Class 3</w:t>
        </w:r>
        <w:r>
          <w:t xml:space="preserve"> </w:t>
        </w:r>
        <w:r>
          <w:t xml:space="preserve">staking-aggregation contracts; Class 4 bridge custody and migration</w:t>
        </w:r>
        <w:r>
          <w:t xml:space="preserve"> </w:t>
        </w:r>
        <w:r>
          <w:t xml:space="preserve">addresses; Class 5 centralized exchange custody), supporting uniform</w:t>
        </w:r>
        <w:r>
          <w:t xml:space="preserve"> </w:t>
        </w:r>
        <w:r>
          <w:t xml:space="preserve">replication and extension to other token-governance datasets.</w:t>
        </w:r>
      </w:ins>
    </w:p>
    <w:p>
      <w:ins w:id="10022" w:author="R2 Revision" w:date="2026-05-19T00:00:00Z">
        <w:pPr>
          <w:pStyle w:val="BodyText"/>
        </w:pPr>
        <w:r>
          <w:t xml:space="preserve">Recent scoping work by Alshater (2026) systematically maps the DePIN</w:t>
        </w:r>
        <w:r>
          <w:t xml:space="preserve"> </w:t>
        </w:r>
        <w:r>
          <w:t xml:space="preserve">tokenomics design space, identifying the burn-and-mint equilibrium,</w:t>
        </w:r>
        <w:r>
          <w:t xml:space="preserve"> </w:t>
        </w:r>
        <w:r>
          <w:t xml:space="preserve">governance-calibrated issuance, and provider staking as the dominant</w:t>
        </w:r>
        <w:r>
          <w:t xml:space="preserve"> </w:t>
        </w:r>
        <w:r>
          <w:t xml:space="preserve">economic primitives across leading deployments. Alshater explicitly</w:t>
        </w:r>
        <w:r>
          <w:t xml:space="preserve"> </w:t>
        </w:r>
        <w:r>
          <w:t xml:space="preserve">frames decentralization as a spectrum rather than a binary property,</w:t>
        </w:r>
        <w:r>
          <w:t xml:space="preserve"> </w:t>
        </w:r>
        <w:r>
          <w:t xml:space="preserve">echoing analyses of decentralized governance for cyber-physical systems</w:t>
        </w:r>
        <w:r>
          <w:t xml:space="preserve"> </w:t>
        </w:r>
        <w:r>
          <w:t xml:space="preserve">(Nabben et al., 2024), and identifies the lack of rigorous quantitative</w:t>
        </w:r>
        <w:r>
          <w:t xml:space="preserve"> </w:t>
        </w:r>
        <w:r>
          <w:t xml:space="preserve">empirical work on these models as the field’s most pressing research</w:t>
        </w:r>
        <w:r>
          <w:t xml:space="preserve"> </w:t>
        </w:r>
        <w:r>
          <w:t xml:space="preserve">gap. The cross-sectional measurement reported here responds to that gap,</w:t>
        </w:r>
        <w:r>
          <w:t xml:space="preserve"> </w:t>
        </w:r>
        <w:r>
          <w:t xml:space="preserve">applying Herfindahl-Hirschman Index analysis to forty protocols spanning</w:t>
        </w:r>
        <w:r>
          <w:t xml:space="preserve"> </w:t>
        </w:r>
        <w:r>
          <w:t xml:space="preserve">DePIN and adjacent categories.</w:t>
        </w:r>
      </w:ins>
    </w:p>
    <w:p>
      <w:ins w:id="10023" w:author="R2 Revision" w:date="2026-05-19T00:00:00Z">
        <w:pPr>
          <w:pStyle w:val="BodyText"/>
        </w:pPr>
        <w:r>
          <w:t xml:space="preserve">These results extend the governance concentration literature (Barbereau</w:t>
        </w:r>
        <w:r>
          <w:t xml:space="preserve"> </w:t>
        </w:r>
        <w:r>
          <w:t xml:space="preserve">et al., 2023; Feichtinger et al., 2023; Cong et al., 2025) in three</w:t>
        </w:r>
        <w:r>
          <w:t xml:space="preserve"> </w:t>
        </w:r>
        <w:r>
          <w:t xml:space="preserve">directions: an exclusion methodology that corrects a systematic</w:t>
        </w:r>
        <w:r>
          <w:t xml:space="preserve"> </w:t>
        </w:r>
        <w:r>
          <w:t xml:space="preserve">measurement artifact in prior work, a cross-sector null documenting that</w:t>
        </w:r>
        <w:r>
          <w:t xml:space="preserve"> </w:t>
        </w:r>
        <w:r>
          <w:t xml:space="preserve">neither revenue, subsidy intensity, token maturity, nor initial</w:t>
        </w:r>
        <w:r>
          <w:t xml:space="preserve"> </w:t>
        </w:r>
        <w:r>
          <w:t xml:space="preserve">allocation predicts governance concentration, and a normative framework</w:t>
        </w:r>
        <w:r>
          <w:t xml:space="preserve"> </w:t>
        </w:r>
        <w:r>
          <w:t xml:space="preserve">translating five political-philosophical traditions into observable</w:t>
        </w:r>
        <w:r>
          <w:t xml:space="preserve"> </w:t>
        </w:r>
        <w:r>
          <w:t xml:space="preserve">design criteria for tokenized institutions. To evaluate what</w:t>
        </w:r>
        <w:r>
          <w:t xml:space="preserve"> </w:t>
        </w:r>
        <w:r>
          <w:t xml:space="preserve">concentration means for institutional legitimacy, the framework</w:t>
        </w:r>
        <w:r>
          <w:t xml:space="preserve"> </w:t>
        </w:r>
        <w:r>
          <w:t xml:space="preserve">operationalizes constraints from Kant (publicity), Rawls (floor</w:t>
        </w:r>
        <w:r>
          <w:t xml:space="preserve"> </w:t>
        </w:r>
        <w:r>
          <w:t xml:space="preserve">protection), Pettit (non-domination), Ostrom (polycentricity), and Hayek</w:t>
        </w:r>
        <w:r>
          <w:t xml:space="preserve"> </w:t>
        </w:r>
        <w:r>
          <w:t xml:space="preserve">(dispersed knowledge) through a scoring rubric that other researchers</w:t>
        </w:r>
        <w:r>
          <w:t xml:space="preserve"> </w:t>
        </w:r>
        <w:r>
          <w:t xml:space="preserve">can apply. This paper is part of a research program examining</w:t>
        </w:r>
        <w:r>
          <w:t xml:space="preserve"> </w:t>
        </w:r>
        <w:r>
          <w:t xml:space="preserve">infrastructure-layer design across stablecoin, tokenized asset, and</w:t>
        </w:r>
        <w:r>
          <w:t xml:space="preserve"> </w:t>
        </w:r>
        <w:r>
          <w:t xml:space="preserve">DePIN domains. The program's unifying thesis: regulation and audit</w:t>
        </w:r>
        <w:r>
          <w:t xml:space="preserve"> </w:t>
        </w:r>
        <w:r>
          <w:t xml:space="preserve">should target the operators and control systems that issue, custody, and</w:t>
        </w:r>
        <w:r>
          <w:t xml:space="preserve"> </w:t>
        </w:r>
        <w:r>
          <w:t xml:space="preserve">route tokens, rather than the tokens themselves.</w:t>
        </w:r>
      </w:ins>
    </w:p>
    <w:bookmarkEnd w:id="27"/>
    <w:bookmarkStart w:id="28" w:name="X8810652b8a479864976882e1b5c049212e44fd3"/>
    <w:p>
      <w:ins w:id="10024" w:author="R2 Revision" w:date="2026-05-19T00:00:00Z">
        <w:pPr>
          <w:pStyle w:val="Heading2"/>
        </w:pPr>
        <w:r>
          <w:t xml:space="preserve">1.2 Core Thesis: Tokenomics Is Applied Political Philosophy</w:t>
        </w:r>
      </w:ins>
    </w:p>
    <w:p>
      <w:ins w:id="10025" w:author="R2 Revision" w:date="2026-05-19T00:00:00Z">
        <w:pPr>
          <w:pStyle w:val="FirstParagraph"/>
        </w:pPr>
        <w:r>
          <w:t xml:space="preserve">The central claim:</w:t>
        </w:r>
      </w:ins>
    </w:p>
    <w:p>
      <w:ins w:id="10026" w:author="R2 Revision" w:date="2026-05-19T00:00:00Z">
        <w:pPr>
          <w:pStyle w:val="BodyText"/>
        </w:pPr>
        <w:r>
          <w:rPr>
            <w:b/>
            <w:bCs/>
          </w:rPr>
          <w:t xml:space="preserve">Tokenomics is applied political philosophy: the encoding of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governance, rights, duties, distributive choices, and legitimacy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constraints into a rule system with economic incentives and automated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enforcement.</w:t>
        </w:r>
      </w:ins>
    </w:p>
    <w:p>
      <w:ins w:id="10027" w:author="R2 Revision" w:date="2026-05-19T00:00:00Z">
        <w:pPr>
          <w:pStyle w:val="BodyText"/>
        </w:pPr>
        <w:r>
          <w:t xml:space="preserve">In practical terms: every decision about how tokens are distributed, who</w:t>
        </w:r>
        <w:r>
          <w:t xml:space="preserve"> </w:t>
        </w:r>
        <w:r>
          <w:t xml:space="preserve">can vote, what can be changed, and how violations are punished is</w:t>
        </w:r>
        <w:r>
          <w:t xml:space="preserve"> </w:t>
        </w:r>
        <w:r>
          <w:t xml:space="preserve">simultaneously an economic design choice and a political one.</w:t>
        </w:r>
      </w:ins>
    </w:p>
    <w:p>
      <w:ins w:id="10028" w:author="R2 Revision" w:date="2026-05-19T00:00:00Z">
        <w:pPr>
          <w:pStyle w:val="BodyText"/>
        </w:pPr>
        <w:r>
          <w:t xml:space="preserve">Political philosophy asks:</w:t>
        </w:r>
        <w:r>
          <w:rPr>
            <w:i/>
            <w:iCs/>
          </w:rPr>
          <w:t xml:space="preserve">What makes a rule system just, stable,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worth participating in?</w:t>
        </w:r>
        <w:r>
          <w:t xml:space="preserve"> </w:t>
        </w:r>
        <w:r>
          <w:t xml:space="preserve">Tokenomics asks:</w:t>
        </w:r>
        <w:r>
          <w:t xml:space="preserve"> </w:t>
        </w:r>
        <w:r>
          <w:rPr>
            <w:i/>
            <w:iCs/>
          </w:rPr>
          <w:t xml:space="preserve">What rules and incentives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produce participation, security, sustainability, and coordination under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strategic behavior?</w:t>
        </w:r>
        <w:r>
          <w:t xml:space="preserve"> </w:t>
        </w:r>
        <w:r>
          <w:t xml:space="preserve">In tokenized systems, these questions converge.</w:t>
        </w:r>
        <w:r>
          <w:t xml:space="preserve"> </w:t>
        </w:r>
        <w:r>
          <w:t xml:space="preserve">Economic design choices are simultaneously political choices: they</w:t>
        </w:r>
        <w:r>
          <w:t xml:space="preserve"> </w:t>
        </w:r>
        <w:r>
          <w:t xml:space="preserve">distribute power and resources, shape inclusion or exclusion, and</w:t>
        </w:r>
        <w:r>
          <w:t xml:space="preserve"> </w:t>
        </w:r>
        <w:r>
          <w:t xml:space="preserve">determine whether participants view outcomes as fair and contestable.</w:t>
        </w:r>
      </w:ins>
    </w:p>
    <w:p>
      <w:ins w:id="10029" w:author="R2 Revision" w:date="2026-05-19T00:00:00Z">
        <w:pPr>
          <w:pStyle w:val="BodyText"/>
        </w:pPr>
        <w:r>
          <w:t xml:space="preserve">Philosophical principles function here not as commentary but as</w:t>
        </w:r>
        <w:r>
          <w:t xml:space="preserve"> </w:t>
        </w:r>
        <w:r>
          <w:t xml:space="preserve">specification: constraints and requirements that token mechanisms should</w:t>
        </w:r>
        <w:r>
          <w:t xml:space="preserve"> </w:t>
        </w:r>
        <w:r>
          <w:t xml:space="preserve">satisfy. It draws particularly on:</w:t>
        </w:r>
      </w:ins>
    </w:p>
    <w:p>
      <w:ins w:id="10030" w:author="R2 Revision" w:date="2026-05-19T00:00:00Z">
        <w:pPr>
          <w:pStyle w:val="BodyText"/>
        </w:pPr>
        <w:r>
          <w:rPr>
            <w:b/>
            <w:bCs/>
          </w:rPr>
          <w:t xml:space="preserve">Kantian publicity and right</w:t>
        </w:r>
        <w:r>
          <w:t xml:space="preserve"> </w:t>
        </w:r>
        <w:r>
          <w:t xml:space="preserve">(rules must be publicly avowable;</w:t>
        </w:r>
        <w:r>
          <w:t xml:space="preserve"> </w:t>
        </w:r>
        <w:r>
          <w:t xml:space="preserve">enforcement must respect due process and non-arbitrary coercion),</w:t>
        </w:r>
      </w:ins>
    </w:p>
    <w:p>
      <w:ins w:id="10031" w:author="R2 Revision" w:date="2026-05-19T00:00:00Z">
        <w:pPr>
          <w:pStyle w:val="BodyText"/>
        </w:pPr>
        <w:r>
          <w:rPr>
            <w:b/>
            <w:bCs/>
          </w:rPr>
          <w:t xml:space="preserve">Rawlsian legitimacy and floor protection</w:t>
        </w:r>
        <w:r>
          <w:t xml:space="preserve"> </w:t>
        </w:r>
        <w:r>
          <w:t xml:space="preserve">(rules should be defensible</w:t>
        </w:r>
        <w:r>
          <w:t xml:space="preserve"> </w:t>
        </w:r>
        <w:r>
          <w:t xml:space="preserve">under public reason; distribution should not sacrifice the least</w:t>
        </w:r>
        <w:r>
          <w:t xml:space="preserve"> </w:t>
        </w:r>
        <w:r>
          <w:t xml:space="preserve">advantaged),</w:t>
        </w:r>
      </w:ins>
    </w:p>
    <w:p>
      <w:ins w:id="10032" w:author="R2 Revision" w:date="2026-05-19T00:00:00Z">
        <w:pPr>
          <w:pStyle w:val="BodyText"/>
        </w:pPr>
        <w:r>
          <w:rPr>
            <w:b/>
            <w:bCs/>
          </w:rPr>
          <w:t xml:space="preserve">Republican non-domination</w:t>
        </w:r>
        <w:r>
          <w:t xml:space="preserve"> </w:t>
        </w:r>
        <w:r>
          <w:t xml:space="preserve">(participants should not be vulnerable to</w:t>
        </w:r>
        <w:r>
          <w:t xml:space="preserve"> </w:t>
        </w:r>
        <w:r>
          <w:t xml:space="preserve">arbitrary interference; contestability is essential),</w:t>
        </w:r>
      </w:ins>
    </w:p>
    <w:p>
      <w:ins w:id="10033" w:author="R2 Revision" w:date="2026-05-19T00:00:00Z">
        <w:pPr>
          <w:pStyle w:val="BodyText"/>
        </w:pPr>
        <w:r>
          <w:rPr>
            <w:b/>
            <w:bCs/>
          </w:rPr>
          <w:t xml:space="preserve">Ostromian polycentric governance</w:t>
        </w:r>
        <w:r>
          <w:t xml:space="preserve"> </w:t>
        </w:r>
        <w:r>
          <w:t xml:space="preserve">(multiple centers of rule-making</w:t>
        </w:r>
        <w:r>
          <w:t xml:space="preserve"> </w:t>
        </w:r>
        <w:r>
          <w:t xml:space="preserve">and monitoring improve robustness in complex commons),</w:t>
        </w:r>
      </w:ins>
    </w:p>
    <w:p>
      <w:ins w:id="10034" w:author="R2 Revision" w:date="2026-05-19T00:00:00Z">
        <w:pPr>
          <w:pStyle w:val="BodyText"/>
        </w:pPr>
        <w:r>
          <w:rPr>
            <w:b/>
            <w:bCs/>
          </w:rPr>
          <w:t xml:space="preserve">Hayekian dispersed knowledge</w:t>
        </w:r>
        <w:r>
          <w:t xml:space="preserve"> </w:t>
        </w:r>
        <w:r>
          <w:t xml:space="preserve">(local signals and edge decision-making</w:t>
        </w:r>
        <w:r>
          <w:t xml:space="preserve"> </w:t>
        </w:r>
        <w:r>
          <w:t xml:space="preserve">outperform centralized tuning in heterogeneous environments),</w:t>
        </w:r>
      </w:ins>
    </w:p>
    <w:p>
      <w:ins w:id="10035" w:author="R2 Revision" w:date="2026-05-19T00:00:00Z">
        <w:pPr>
          <w:pStyle w:val="BodyText"/>
        </w:pPr>
        <w:r>
          <w:rPr>
            <w:b/>
            <w:bCs/>
          </w:rPr>
          <w:t xml:space="preserve">Capabilities and information ethics</w:t>
        </w:r>
        <w:r>
          <w:t xml:space="preserve"> </w:t>
        </w:r>
        <w:r>
          <w:t xml:space="preserve">(success includes social</w:t>
        </w:r>
        <w:r>
          <w:t xml:space="preserve"> </w:t>
        </w:r>
        <w:r>
          <w:t xml:space="preserve">opportunity and privacy-preserving participation, not only token price</w:t>
        </w:r>
        <w:r>
          <w:t xml:space="preserve"> </w:t>
        </w:r>
        <w:r>
          <w:t xml:space="preserve">and growth).</w:t>
        </w:r>
      </w:ins>
    </w:p>
    <w:p>
      <w:ins w:id="10036" w:author="R2 Revision" w:date="2026-05-19T00:00:00Z">
        <w:pPr>
          <w:pStyle w:val="BodyText"/>
        </w:pPr>
        <w:r>
          <w:t xml:space="preserve">The resulting framework is explicitly cross-disciplinary: it aims to</w:t>
        </w:r>
        <w:r>
          <w:t xml:space="preserve"> </w:t>
        </w:r>
        <w:r>
          <w:t xml:space="preserve">speak simultaneously to political philosophy, economics/public policy,</w:t>
        </w:r>
        <w:r>
          <w:t xml:space="preserve"> </w:t>
        </w:r>
        <w:r>
          <w:t xml:space="preserve">computer science/security, law, and Science and Technology Studies</w:t>
        </w:r>
        <w:r>
          <w:t xml:space="preserve"> </w:t>
        </w:r>
        <w:r>
          <w:t xml:space="preserve">(STS).</w:t>
        </w:r>
      </w:ins>
    </w:p>
    <w:bookmarkEnd w:id="28"/>
    <w:bookmarkStart w:id="29" w:name="research-questions"/>
    <w:p>
      <w:ins w:id="10037" w:author="R2 Revision" w:date="2026-05-19T00:00:00Z">
        <w:pPr>
          <w:pStyle w:val="Heading2"/>
        </w:pPr>
        <w:r>
          <w:t xml:space="preserve">1.3 Research Questions</w:t>
        </w:r>
      </w:ins>
    </w:p>
    <w:p>
      <w:ins w:id="10038" w:author="R2 Revision" w:date="2026-05-19T00:00:00Z">
        <w:pPr>
          <w:pStyle w:val="FirstParagraph"/>
        </w:pPr>
        <w:r>
          <w:t xml:space="preserve">Three research questions guide the analysis:</w:t>
        </w:r>
      </w:ins>
    </w:p>
    <w:p>
      <w:ins w:id="10039" w:author="R2 Revision" w:date="2026-05-19T00:00:00Z">
        <w:pPr>
          <w:pStyle w:val="BodyText"/>
        </w:pPr>
        <w:r>
          <w:t xml:space="preserve">RQ1: Can normative political philosophy be systematically translated</w:t>
        </w:r>
        <w:r>
          <w:t xml:space="preserve"> </w:t>
        </w:r>
        <w:r>
          <w:t xml:space="preserve">into evaluable design criteria for tokenized institutions? If so, what</w:t>
        </w:r>
        <w:r>
          <w:t xml:space="preserve"> </w:t>
        </w:r>
        <w:r>
          <w:t xml:space="preserve">does the resulting framework reveal about the legitimacy properties of</w:t>
        </w:r>
        <w:r>
          <w:t xml:space="preserve"> </w:t>
        </w:r>
        <w:r>
          <w:t xml:space="preserve">existing protocols?</w:t>
        </w:r>
      </w:ins>
    </w:p>
    <w:p>
      <w:ins w:id="10040" w:author="R2 Revision" w:date="2026-05-19T00:00:00Z">
        <w:pPr>
          <w:pStyle w:val="BodyText"/>
        </w:pPr>
        <w:r>
          <w:t xml:space="preserve">RQ2: What does the distribution of governance tokens reveal about</w:t>
        </w:r>
        <w:r>
          <w:t xml:space="preserve"> </w:t>
        </w:r>
        <w:r>
          <w:t xml:space="preserve">concentration of power in tokenized institutions, and how do DePIN</w:t>
        </w:r>
        <w:r>
          <w:t xml:space="preserve"> </w:t>
        </w:r>
        <w:r>
          <w:t xml:space="preserve">protocols compare to established DeFi governance systems?</w:t>
        </w:r>
      </w:ins>
    </w:p>
    <w:p>
      <w:ins w:id="10041" w:author="R2 Revision" w:date="2026-05-19T00:00:00Z">
        <w:pPr>
          <w:pStyle w:val="BodyText"/>
        </w:pPr>
        <w:r>
          <w:t xml:space="preserve">RQ3: What design hypotheses emerge from the normative framework, and</w:t>
        </w:r>
        <w:r>
          <w:t xml:space="preserve"> </w:t>
        </w:r>
        <w:r>
          <w:t xml:space="preserve">which are supported by the governance concentration evidence?</w:t>
        </w:r>
        <w:r>
          <w:t xml:space="preserve"> </w:t>
        </w:r>
        <w:r>
          <w:t xml:space="preserve">Longitudinal case evidence on Helium's fiscal sustainability and demand</w:t>
        </w:r>
        <w:r>
          <w:t xml:space="preserve"> </w:t>
        </w:r>
        <w:r>
          <w:t xml:space="preserve">concentration is developed in a separate study (Zukowski, 2026a).</w:t>
        </w:r>
      </w:ins>
    </w:p>
    <w:bookmarkEnd w:id="29"/>
    <w:bookmarkStart w:id="33" w:name="scope-assumptions-and-limitations"/>
    <w:p>
      <w:ins w:id="10042" w:author="R2 Revision" w:date="2026-05-19T00:00:00Z">
        <w:pPr>
          <w:pStyle w:val="Heading2"/>
        </w:pPr>
        <w:r>
          <w:t xml:space="preserve">1.4 Scope, Assumptions, and Limitations</w:t>
        </w:r>
      </w:ins>
    </w:p>
    <w:bookmarkStart w:id="30" w:name="scope"/>
    <w:p>
      <w:ins w:id="10043" w:author="R2 Revision" w:date="2026-05-19T00:00:00Z">
        <w:pPr>
          <w:pStyle w:val="Heading3"/>
        </w:pPr>
        <w:r>
          <w:t xml:space="preserve">1.4.1 Scope</w:t>
        </w:r>
      </w:ins>
    </w:p>
    <w:p>
      <w:ins w:id="10044" w:author="R2 Revision" w:date="2026-05-19T00:00:00Z">
        <w:pPr>
          <w:pStyle w:val="FirstParagraph"/>
        </w:pPr>
        <w:r>
          <w:t xml:space="preserve">The empirical analysis focuses on tokenized systems between 2017 and</w:t>
        </w:r>
        <w:r>
          <w:t xml:space="preserve"> </w:t>
        </w:r>
        <w:r>
          <w:t xml:space="preserve">2025 across DeFi, infrastructure protocols, DAOs, and DePIN networks.</w:t>
        </w:r>
        <w:r>
          <w:t xml:space="preserve"> </w:t>
        </w:r>
        <w:r>
          <w:t xml:space="preserve">The core analytic target is</w:t>
        </w:r>
        <w:r>
          <w:t xml:space="preserve"> </w:t>
        </w:r>
        <w:r>
          <w:rPr>
            <w:b/>
            <w:bCs/>
          </w:rPr>
          <w:t xml:space="preserve">institutional design quality</w:t>
        </w:r>
        <w:r>
          <w:t xml:space="preserve"> </w:t>
        </w:r>
        <w:r>
          <w:t xml:space="preserve">rather than</w:t>
        </w:r>
        <w:r>
          <w:t xml:space="preserve"> </w:t>
        </w:r>
        <w:r>
          <w:t xml:space="preserve">short-term market performance.</w:t>
        </w:r>
      </w:ins>
    </w:p>
    <w:bookmarkEnd w:id="30"/>
    <w:bookmarkStart w:id="31" w:name="assumptions"/>
    <w:p>
      <w:ins w:id="10045" w:author="R2 Revision" w:date="2026-05-19T00:00:00Z">
        <w:pPr>
          <w:pStyle w:val="Heading3"/>
        </w:pPr>
        <w:r>
          <w:t xml:space="preserve">1.4.2 Assumptions</w:t>
        </w:r>
      </w:ins>
    </w:p>
    <w:p>
      <w:ins w:id="10046" w:author="R2 Revision" w:date="2026-05-19T00:00:00Z">
        <w:pPr>
          <w:pStyle w:val="FirstParagraph"/>
        </w:pPr>
        <w:r>
          <w:rPr>
            <w:b/>
            <w:bCs/>
          </w:rPr>
          <w:t xml:space="preserve">Participants are strategic</w:t>
        </w:r>
        <w:r>
          <w:t xml:space="preserve">; incentives and governance rules shape</w:t>
        </w:r>
        <w:r>
          <w:t xml:space="preserve"> </w:t>
        </w:r>
        <w:r>
          <w:t xml:space="preserve">behavior.</w:t>
        </w:r>
      </w:ins>
    </w:p>
    <w:p>
      <w:ins w:id="10047" w:author="R2 Revision" w:date="2026-05-19T00:00:00Z">
        <w:pPr>
          <w:pStyle w:val="BodyText"/>
        </w:pPr>
        <w:r>
          <w:rPr>
            <w:b/>
            <w:bCs/>
          </w:rPr>
          <w:t xml:space="preserve">Legitimacy affects participation</w:t>
        </w:r>
        <w:r>
          <w:t xml:space="preserve"> </w:t>
        </w:r>
        <w:r>
          <w:t xml:space="preserve">persistence and willingness to</w:t>
        </w:r>
        <w:r>
          <w:t xml:space="preserve"> </w:t>
        </w:r>
        <w:r>
          <w:t xml:space="preserve">invest in long-run cooperation.</w:t>
        </w:r>
      </w:ins>
    </w:p>
    <w:p>
      <w:ins w:id="10048" w:author="R2 Revision" w:date="2026-05-19T00:00:00Z">
        <w:pPr>
          <w:pStyle w:val="BodyText"/>
        </w:pPr>
        <w:r>
          <w:rPr>
            <w:b/>
            <w:bCs/>
          </w:rPr>
          <w:t xml:space="preserve">Public rule systems</w:t>
        </w:r>
        <w:r>
          <w:t xml:space="preserve"> </w:t>
        </w:r>
        <w:r>
          <w:t xml:space="preserve">can be observed and scored with acceptable</w:t>
        </w:r>
        <w:r>
          <w:t xml:space="preserve"> </w:t>
        </w:r>
        <w:r>
          <w:t xml:space="preserve">reliability using well-defined rubrics.</w:t>
        </w:r>
      </w:ins>
    </w:p>
    <w:bookmarkEnd w:id="31"/>
    <w:bookmarkStart w:id="32" w:name="Xd22c6611e91d7705ff0f5cf511ffa88216a6e9c"/>
    <w:p>
      <w:ins w:id="10049" w:author="R2 Revision" w:date="2026-05-19T00:00:00Z">
        <w:pPr>
          <w:pStyle w:val="Heading3"/>
        </w:pPr>
        <w:r>
          <w:t xml:space="preserve">1.4.3 Limitations (preview; full discussion in Section 4.8)</w:t>
        </w:r>
      </w:ins>
    </w:p>
    <w:p>
      <w:ins w:id="10050" w:author="R2 Revision" w:date="2026-05-19T00:00:00Z">
        <w:pPr>
          <w:pStyle w:val="FirstParagraph"/>
        </w:pPr>
        <w:r>
          <w:t xml:space="preserve">Three classes of limitation are previewed here so the reader can</w:t>
        </w:r>
        <w:r>
          <w:t xml:space="preserve"> </w:t>
        </w:r>
        <w:r>
          <w:t xml:space="preserve">calibrate the inferential scope before encountering the empirical</w:t>
        </w:r>
        <w:r>
          <w:t xml:space="preserve"> </w:t>
        </w:r>
        <w:r>
          <w:t xml:space="preserve">results; the detailed discussion appears in Section 4.8.</w:t>
        </w:r>
      </w:ins>
    </w:p>
    <w:p>
      <w:ins w:id="10051" w:author="R2 Revision" w:date="2026-05-19T00:00:00Z">
        <w:pPr>
          <w:pStyle w:val="BodyText"/>
        </w:pPr>
        <w:r>
          <w:t xml:space="preserve">Construct validity: translating philosophical traditions into observable</w:t>
        </w:r>
        <w:r>
          <w:t xml:space="preserve"> </w:t>
        </w:r>
        <w:r>
          <w:t xml:space="preserve">governance features carries inherent simplification risks (Section 4.8</w:t>
        </w:r>
        <w:r>
          <w:t xml:space="preserve"> </w:t>
        </w:r>
        <w:r>
          <w:t xml:space="preserve">operationalization-dependency paragraph).</w:t>
        </w:r>
      </w:ins>
    </w:p>
    <w:p>
      <w:ins w:id="10052" w:author="R2 Revision" w:date="2026-05-19T00:00:00Z">
        <w:pPr>
          <w:pStyle w:val="BodyText"/>
        </w:pPr>
        <w:r>
          <w:t xml:space="preserve">Causal inference scope: the analysis is descriptive. A cross-sectional</w:t>
        </w:r>
        <w:r>
          <w:t xml:space="preserve"> </w:t>
        </w:r>
        <w:r>
          <w:t xml:space="preserve">snapshot measures associations between protocol features and governance</w:t>
        </w:r>
        <w:r>
          <w:t xml:space="preserve"> </w:t>
        </w:r>
        <w:r>
          <w:t xml:space="preserve">concentration at one point in time; it cannot isolate which feature</w:t>
        </w:r>
        <w:r>
          <w:t xml:space="preserve"> </w:t>
        </w:r>
        <w:r>
          <w:t xml:space="preserve">causes which outcome. The correlations reported here are interpreted as</w:t>
        </w:r>
        <w:r>
          <w:t xml:space="preserve"> </w:t>
        </w:r>
        <w:r>
          <w:t xml:space="preserve">associations, not as causal mechanisms (Section 4.8 cross-sectional</w:t>
        </w:r>
        <w:r>
          <w:t xml:space="preserve"> </w:t>
        </w:r>
        <w:r>
          <w:t xml:space="preserve">design paragraph).</w:t>
        </w:r>
      </w:ins>
    </w:p>
    <w:p>
      <w:ins w:id="10053" w:author="R2 Revision" w:date="2026-05-19T00:00:00Z">
        <w:pPr>
          <w:pStyle w:val="BodyText"/>
        </w:pPr>
        <w:r>
          <w:t xml:space="preserve">Data limitations: not all outcomes relevant to institutional legitimacy</w:t>
        </w:r>
        <w:r>
          <w:t xml:space="preserve"> </w:t>
        </w:r>
        <w:r>
          <w:t xml:space="preserve">are observable on-chain; capability and welfare dimensions require</w:t>
        </w:r>
        <w:r>
          <w:t xml:space="preserve"> </w:t>
        </w:r>
        <w:r>
          <w:t xml:space="preserve">complementary data beyond the current analysis (Section 4.8 welfare</w:t>
        </w:r>
        <w:r>
          <w:t xml:space="preserve"> </w:t>
        </w:r>
        <w:r>
          <w:t xml:space="preserve">measurement gap paragraph).</w:t>
        </w:r>
      </w:ins>
    </w:p>
    <w:bookmarkEnd w:id="32"/>
    <w:bookmarkEnd w:id="33"/>
    <w:bookmarkStart w:id="34" w:name="paper-outline"/>
    <w:p>
      <w:ins w:id="10054" w:author="R2 Revision" w:date="2026-05-19T00:00:00Z">
        <w:pPr>
          <w:pStyle w:val="Heading2"/>
        </w:pPr>
        <w:r>
          <w:t xml:space="preserve">1.5 Paper Outline</w:t>
        </w:r>
      </w:ins>
    </w:p>
    <w:p>
      <w:ins w:id="10055" w:author="R2 Revision" w:date="2026-05-19T00:00:00Z">
        <w:pPr>
          <w:pStyle w:val="FirstParagraph"/>
        </w:pPr>
        <w:r>
          <w:t xml:space="preserve">Section 2 develops the theoretical framework and design hypotheses and</w:t>
        </w:r>
        <w:r>
          <w:t xml:space="preserve"> </w:t>
        </w:r>
        <w:r>
          <w:t xml:space="preserve">(in Section 2.10) operationalizes the framework through a scoring rubric</w:t>
        </w:r>
        <w:r>
          <w:t xml:space="preserve"> </w:t>
        </w:r>
        <w:r>
          <w:t xml:space="preserve">and governance concentration cross-section design. Section 3 presents</w:t>
        </w:r>
        <w:r>
          <w:t xml:space="preserve"> </w:t>
        </w:r>
        <w:r>
          <w:t xml:space="preserve">the empirical illustration. Section 4 discusses implications,</w:t>
        </w:r>
        <w:r>
          <w:t xml:space="preserve"> </w:t>
        </w:r>
        <w:r>
          <w:t xml:space="preserve">limitations, and future directions. Supplementary materials provide full</w:t>
        </w:r>
        <w:r>
          <w:t xml:space="preserve"> </w:t>
        </w:r>
        <w:r>
          <w:t xml:space="preserve">metric definitions, research instrument templates, and the</w:t>
        </w:r>
        <w:r>
          <w:t xml:space="preserve"> </w:t>
        </w:r>
        <w:r>
          <w:t xml:space="preserve">replication-ready pipeline specification.</w:t>
        </w:r>
      </w:ins>
    </w:p>
    <w:bookmarkEnd w:id="34"/>
    <w:bookmarkEnd w:id="35"/>
    <w:bookmarkStart w:id="81" w:name="materials-and-methods"/>
    <w:p>
      <w:ins w:id="10056" w:author="R2 Revision" w:date="2026-05-19T00:00:00Z">
        <w:pPr>
          <w:pStyle w:val="Heading1"/>
        </w:pPr>
        <w:r>
          <w:t xml:space="preserve">2 Materials and Methods</w:t>
        </w:r>
      </w:ins>
    </w:p>
    <w:bookmarkStart w:id="36" w:name="Xc38d178964dbbea498c0170a191924f9c22a980"/>
    <w:p>
      <w:ins w:id="10057" w:author="R2 Revision" w:date="2026-05-19T00:00:00Z">
        <w:pPr>
          <w:pStyle w:val="Heading2"/>
        </w:pPr>
        <w:r>
          <w:t xml:space="preserve">2.1 Overview: From</w:t>
        </w:r>
        <w:r>
          <w:t xml:space="preserve"> </w:t>
        </w:r>
        <w:r>
          <w:t xml:space="preserve">“Token Design”</w:t>
        </w:r>
        <w:r>
          <w:t xml:space="preserve"> </w:t>
        </w:r>
        <w:r>
          <w:t xml:space="preserve">to Institutional Design</w:t>
        </w:r>
      </w:ins>
    </w:p>
    <w:p>
      <w:ins w:id="10058" w:author="R2 Revision" w:date="2026-05-19T00:00:00Z">
        <w:pPr>
          <w:pStyle w:val="FirstParagraph"/>
        </w:pPr>
        <w:r>
          <w:t xml:space="preserve">The mainstream discourse around tokenomics often treats it as a subset</w:t>
        </w:r>
        <w:r>
          <w:t xml:space="preserve"> </w:t>
        </w:r>
        <w:r>
          <w:t xml:space="preserve">of product pricing or financial engineering (see Voshmgir, 2020, for a</w:t>
        </w:r>
        <w:r>
          <w:t xml:space="preserve"> </w:t>
        </w:r>
        <w:r>
          <w:t xml:space="preserve">representative treatment), supply curves, vesting schedules, inflation,</w:t>
        </w:r>
        <w:r>
          <w:t xml:space="preserve"> </w:t>
        </w:r>
        <w:r>
          <w:t xml:space="preserve">and speculative demand. However, a growing body of scholarship and</w:t>
        </w:r>
        <w:r>
          <w:t xml:space="preserve"> </w:t>
        </w:r>
        <w:r>
          <w:t xml:space="preserve">technical work suggests a broader interpretation: token systems encode</w:t>
        </w:r>
        <w:r>
          <w:t xml:space="preserve"> </w:t>
        </w:r>
        <w:r>
          <w:t xml:space="preserve">rules of participation, allocate rights and duties, and implement</w:t>
        </w:r>
        <w:r>
          <w:t xml:space="preserve"> </w:t>
        </w:r>
        <w:r>
          <w:t xml:space="preserve">enforcement and dispute resolution through mechanisms that are both</w:t>
        </w:r>
        <w:r>
          <w:t xml:space="preserve"> </w:t>
        </w:r>
        <w:r>
          <w:t xml:space="preserve">transparent and automatically executed by software.</w:t>
        </w:r>
        <w:r>
          <w:br/>
        </w:r>
        <w:r>
          <w:t xml:space="preserve">In this view, tokenomics is not merely an economic optimization problem</w:t>
        </w:r>
        <w:r>
          <w:t xml:space="preserve"> </w:t>
        </w:r>
        <w:r>
          <w:t xml:space="preserve">but an instance of institutional design (and therefore a normative</w:t>
        </w:r>
        <w:r>
          <w:t xml:space="preserve"> </w:t>
        </w:r>
        <w:r>
          <w:t xml:space="preserve">problem) in which governance, legitimacy, and distributive consequences</w:t>
        </w:r>
        <w:r>
          <w:t xml:space="preserve"> </w:t>
        </w:r>
        <w:r>
          <w:t xml:space="preserve">are intrinsic rather than externalities.</w:t>
        </w:r>
      </w:ins>
    </w:p>
    <w:p>
      <w:ins w:id="10059" w:author="R2 Revision" w:date="2026-05-19T00:00:00Z">
        <w:pPr>
          <w:pStyle w:val="BodyText"/>
        </w:pPr>
        <w:r>
          <w:t xml:space="preserve">Token systems function as institutions: rule-governed systems with</w:t>
        </w:r>
        <w:r>
          <w:t xml:space="preserve"> </w:t>
        </w:r>
        <w:r>
          <w:t xml:space="preserve">constitutional constraints, fiscal policy, property-like rights, and</w:t>
        </w:r>
        <w:r>
          <w:t xml:space="preserve"> </w:t>
        </w:r>
        <w:r>
          <w:t xml:space="preserve">enforcement procedures. This framing parallels classic traditions in</w:t>
        </w:r>
        <w:r>
          <w:t xml:space="preserve"> </w:t>
        </w:r>
        <w:r>
          <w:t xml:space="preserve">constitutional political economy (e.g., Buchanan and Tullock (1962)) and</w:t>
        </w:r>
        <w:r>
          <w:t xml:space="preserve"> </w:t>
        </w:r>
        <w:r>
          <w:t xml:space="preserve">commons governance (Ostrom), while also drawing from political</w:t>
        </w:r>
        <w:r>
          <w:t xml:space="preserve"> </w:t>
        </w:r>
        <w:r>
          <w:t xml:space="preserve">philosophy’s theories of legitimacy, justice, and domination. A key</w:t>
        </w:r>
        <w:r>
          <w:t xml:space="preserve"> </w:t>
        </w:r>
        <w:r>
          <w:t xml:space="preserve">theme is that crypto networks differ from Web2 platforms not because</w:t>
        </w:r>
        <w:r>
          <w:t xml:space="preserve"> </w:t>
        </w:r>
        <w:r>
          <w:t xml:space="preserve">they</w:t>
        </w:r>
        <w:r>
          <w:t xml:space="preserve"> </w:t>
        </w:r>
        <w:r>
          <w:t xml:space="preserve">“lack governance,”</w:t>
        </w:r>
        <w:r>
          <w:t xml:space="preserve"> </w:t>
        </w:r>
        <w:r>
          <w:t xml:space="preserve">but because they encode governance into public,</w:t>
        </w:r>
        <w:r>
          <w:t xml:space="preserve"> </w:t>
        </w:r>
        <w:r>
          <w:t xml:space="preserve">inspectable mechanisms and often bind governance to ownership-like</w:t>
        </w:r>
        <w:r>
          <w:t xml:space="preserve"> </w:t>
        </w:r>
        <w:r>
          <w:t xml:space="preserve">tokens.</w:t>
        </w:r>
      </w:ins>
    </w:p>
    <w:bookmarkEnd w:id="36"/>
    <w:bookmarkStart w:id="39" w:name="tokenomics-and-cryptoeconomic-design"/>
    <w:p>
      <w:ins w:id="10060" w:author="R2 Revision" w:date="2026-05-19T00:00:00Z">
        <w:pPr>
          <w:pStyle w:val="Heading2"/>
        </w:pPr>
        <w:r>
          <w:t xml:space="preserve">2.2 Tokenomics and Cryptoeconomic Design</w:t>
        </w:r>
      </w:ins>
    </w:p>
    <w:bookmarkStart w:id="37" w:name="tokenomics-as-a-mechanism-design-problem"/>
    <w:p>
      <w:ins w:id="10061" w:author="R2 Revision" w:date="2026-05-19T00:00:00Z">
        <w:pPr>
          <w:pStyle w:val="Heading3"/>
        </w:pPr>
        <w:r>
          <w:t xml:space="preserve">2.2.1 Tokenomics as a Mechanism Design Problem</w:t>
        </w:r>
      </w:ins>
    </w:p>
    <w:p>
      <w:ins w:id="10062" w:author="R2 Revision" w:date="2026-05-19T00:00:00Z">
        <w:pPr>
          <w:pStyle w:val="FirstParagraph"/>
        </w:pPr>
        <w:r>
          <w:t xml:space="preserve">Tokenomics can be understood as a form of mechanism design (Hurwicz,</w:t>
        </w:r>
        <w:r>
          <w:t xml:space="preserve"> </w:t>
        </w:r>
        <w:r>
          <w:t xml:space="preserve">1973; Myerson, 1981) and, more broadly, as an exercise in institutional</w:t>
        </w:r>
        <w:r>
          <w:t xml:space="preserve"> </w:t>
        </w:r>
        <w:r>
          <w:t xml:space="preserve">invention (Hurwicz, 1987): the</w:t>
        </w:r>
        <w:r>
          <w:t xml:space="preserve"> </w:t>
        </w:r>
        <w:r>
          <w:t xml:space="preserve">“reverse engineering”</w:t>
        </w:r>
        <w:r>
          <w:t xml:space="preserve"> </w:t>
        </w:r>
        <w:r>
          <w:t xml:space="preserve">of game theory in</w:t>
        </w:r>
        <w:r>
          <w:t xml:space="preserve"> </w:t>
        </w:r>
        <w:r>
          <w:t xml:space="preserve">which a designer specifies rules and incentives to induce desired</w:t>
        </w:r>
        <w:r>
          <w:t xml:space="preserve"> </w:t>
        </w:r>
        <w:r>
          <w:t xml:space="preserve">behavior among strategic agents (users, validators, operators, token</w:t>
        </w:r>
        <w:r>
          <w:t xml:space="preserve"> </w:t>
        </w:r>
        <w:r>
          <w:t xml:space="preserve">holders). Token-governance protocols are explicitly invented</w:t>
        </w:r>
        <w:r>
          <w:t xml:space="preserve"> </w:t>
        </w:r>
        <w:r>
          <w:t xml:space="preserve">institutions, designed from whitepaper plus code rather than evolved</w:t>
        </w:r>
        <w:r>
          <w:t xml:space="preserve"> </w:t>
        </w:r>
        <w:r>
          <w:t xml:space="preserve">from social practice, which sharpens the design question Hurwicz 1987</w:t>
        </w:r>
        <w:r>
          <w:t xml:space="preserve"> </w:t>
        </w:r>
        <w:r>
          <w:t xml:space="preserve">poses for invented institutions generally: any implementable mechanism</w:t>
        </w:r>
        <w:r>
          <w:t xml:space="preserve"> </w:t>
        </w:r>
        <w:r>
          <w:t xml:space="preserve">must satisfy incentive compatibility (participants find truthful</w:t>
        </w:r>
        <w:r>
          <w:t xml:space="preserve"> </w:t>
        </w:r>
        <w:r>
          <w:t xml:space="preserve">participation in their interest) and informational feasibility (the</w:t>
        </w:r>
        <w:r>
          <w:t xml:space="preserve"> </w:t>
        </w:r>
        <w:r>
          <w:t xml:space="preserve">mechanism cannot require information no participant possesses).</w:t>
        </w:r>
        <w:r>
          <w:t xml:space="preserve"> </w:t>
        </w:r>
        <w:r>
          <w:t xml:space="preserve">The mechanism design literature provides foundational formal tools for</w:t>
        </w:r>
        <w:r>
          <w:t xml:space="preserve"> </w:t>
        </w:r>
        <w:r>
          <w:t xml:space="preserve">reasoning about incentive compatibility, equilibrium selection, and</w:t>
        </w:r>
        <w:r>
          <w:t xml:space="preserve"> </w:t>
        </w:r>
        <w:r>
          <w:t xml:space="preserve">adverse selection. These tools remain highly relevant when tokenized</w:t>
        </w:r>
        <w:r>
          <w:t xml:space="preserve"> </w:t>
        </w:r>
        <w:r>
          <w:t xml:space="preserve">systems must function under manipulation pressure and incomplete</w:t>
        </w:r>
        <w:r>
          <w:t xml:space="preserve"> </w:t>
        </w:r>
        <w:r>
          <w:t xml:space="preserve">information. The Nobel Prize’s summary of mechanism design theory</w:t>
        </w:r>
        <w:r>
          <w:t xml:space="preserve"> </w:t>
        </w:r>
        <w:r>
          <w:t xml:space="preserve">emphasizes incentive-compatible direct mechanisms and the revelation</w:t>
        </w:r>
        <w:r>
          <w:t xml:space="preserve"> </w:t>
        </w:r>
        <w:r>
          <w:t xml:space="preserve">principle as foundational concepts, offering a bridge between classical</w:t>
        </w:r>
        <w:r>
          <w:t xml:space="preserve"> </w:t>
        </w:r>
        <w:r>
          <w:t xml:space="preserve">economics and modern crypto-economic system design.</w:t>
        </w:r>
      </w:ins>
    </w:p>
    <w:p>
      <w:ins w:id="10063" w:author="R2 Revision" w:date="2026-05-19T00:00:00Z">
        <w:pPr>
          <w:pStyle w:val="BodyText"/>
        </w:pPr>
        <w:r>
          <w:t xml:space="preserve">Token systems, however, often introduce additional constraints absent</w:t>
        </w:r>
        <w:r>
          <w:t xml:space="preserve"> </w:t>
        </w:r>
        <w:r>
          <w:t xml:space="preserve">from classical mechanism design (Roughgarden, 2021) settings: open</w:t>
        </w:r>
        <w:r>
          <w:t xml:space="preserve"> </w:t>
        </w:r>
        <w:r>
          <w:t xml:space="preserve">entry, pseudonymity, composability, and adversarial execution</w:t>
        </w:r>
        <w:r>
          <w:t xml:space="preserve"> </w:t>
        </w:r>
        <w:r>
          <w:t xml:space="preserve">environments. These constraints place a premium on robust incentive</w:t>
        </w:r>
        <w:r>
          <w:t xml:space="preserve"> </w:t>
        </w:r>
        <w:r>
          <w:t xml:space="preserve">design, fraud resistance, and governance structures that can adapt</w:t>
        </w:r>
        <w:r>
          <w:t xml:space="preserve"> </w:t>
        </w:r>
        <w:r>
          <w:t xml:space="preserve">without becoming arbitrary or captured.</w:t>
        </w:r>
      </w:ins>
    </w:p>
    <w:bookmarkEnd w:id="37"/>
    <w:bookmarkStart w:id="38" w:name="X86f41cb1636573d252e5d078383f8d7bed13f37"/>
    <w:p>
      <w:ins w:id="10064" w:author="R2 Revision" w:date="2026-05-19T00:00:00Z">
        <w:pPr>
          <w:pStyle w:val="Heading3"/>
        </w:pPr>
        <w:r>
          <w:t xml:space="preserve">2.2.2 Transaction Fee Mechanisms and</w:t>
        </w:r>
        <w:r>
          <w:t xml:space="preserve"> </w:t>
        </w:r>
        <w:r>
          <w:t xml:space="preserve">“Sinks”</w:t>
        </w:r>
        <w:r>
          <w:t xml:space="preserve"> </w:t>
        </w:r>
        <w:r>
          <w:t xml:space="preserve">as Economic Policy</w:t>
        </w:r>
      </w:ins>
    </w:p>
    <w:p>
      <w:ins w:id="10065" w:author="R2 Revision" w:date="2026-05-19T00:00:00Z">
        <w:pPr>
          <w:pStyle w:val="FirstParagraph"/>
        </w:pPr>
        <w:r>
          <w:t xml:space="preserve">Some of the clearest illustrations of tokenomics-as-policy appear in fee</w:t>
        </w:r>
        <w:r>
          <w:t xml:space="preserve"> </w:t>
        </w:r>
        <w:r>
          <w:t xml:space="preserve">mechanism design. Ethereum’s EIP-1559 (Buterin et al., 2019; an</w:t>
        </w:r>
        <w:r>
          <w:t xml:space="preserve"> </w:t>
        </w:r>
        <w:r>
          <w:t xml:space="preserve">Ethereum Improvement Proposal is a community-authored specification</w:t>
        </w:r>
        <w:r>
          <w:t xml:space="preserve"> </w:t>
        </w:r>
        <w:r>
          <w:t xml:space="preserve">document defining a protocol change for Ethereum, analogous to a</w:t>
        </w:r>
        <w:r>
          <w:t xml:space="preserve"> </w:t>
        </w:r>
        <w:r>
          <w:t xml:space="preserve">constitutional amendment for the system’s economic rules), for</w:t>
        </w:r>
        <w:r>
          <w:t xml:space="preserve"> </w:t>
        </w:r>
        <w:r>
          <w:t xml:space="preserve">instance, introduced a base fee adjusted by network demand and burned</w:t>
        </w:r>
        <w:r>
          <w:t xml:space="preserve"> </w:t>
        </w:r>
        <w:r>
          <w:t xml:space="preserve">rather than paid to miners/validators, creating a direct</w:t>
        </w:r>
        <w:r>
          <w:t xml:space="preserve"> </w:t>
        </w:r>
        <w:r>
          <w:t xml:space="preserve">“sink”</w:t>
        </w:r>
        <w:r>
          <w:t xml:space="preserve"> </w:t>
        </w:r>
        <w:r>
          <w:t xml:space="preserve">(a</w:t>
        </w:r>
        <w:r>
          <w:t xml:space="preserve"> </w:t>
        </w:r>
        <w:r>
          <w:t xml:space="preserve">mechanism that permanently removes tokens from circulation, reducing</w:t>
        </w:r>
        <w:r>
          <w:t xml:space="preserve"> </w:t>
        </w:r>
        <w:r>
          <w:t xml:space="preserve">supply and tying the token’s value to system usage) linked to usage</w:t>
        </w:r>
        <w:r>
          <w:t xml:space="preserve"> </w:t>
        </w:r>
        <w:r>
          <w:t xml:space="preserve">and shaping the economic properties of the asset. Tim</w:t>
        </w:r>
        <w:r>
          <w:t xml:space="preserve"> </w:t>
        </w:r>
        <w:r>
          <w:t xml:space="preserve">Roughgarden’s work on transaction fee mechanism design treats EIP-1559</w:t>
        </w:r>
        <w:r>
          <w:t xml:space="preserve"> </w:t>
        </w:r>
        <w:r>
          <w:t xml:space="preserve">not as marketing but as mechanism engineering: explicitly analyzing</w:t>
        </w:r>
        <w:r>
          <w:t xml:space="preserve"> </w:t>
        </w:r>
        <w:r>
          <w:t xml:space="preserve">goals and trade-offs, including alternative designs such as smoothing</w:t>
        </w:r>
        <w:r>
          <w:t xml:space="preserve"> </w:t>
        </w:r>
        <w:r>
          <w:t xml:space="preserve">and revenue-forwarding.</w:t>
        </w:r>
      </w:ins>
    </w:p>
    <w:p>
      <w:ins w:id="10066" w:author="R2 Revision" w:date="2026-05-19T00:00:00Z">
        <w:pPr>
          <w:pStyle w:val="BodyText"/>
        </w:pPr>
        <w:r>
          <w:t xml:space="preserve">Subsequent research (Roughgarden, 2020) highlights that even</w:t>
        </w:r>
        <w:r>
          <w:t xml:space="preserve"> </w:t>
        </w:r>
        <w:r>
          <w:t xml:space="preserve">well-designed sinks can introduce new strategic behaviors (e.g.,</w:t>
        </w:r>
        <w:r>
          <w:t xml:space="preserve"> </w:t>
        </w:r>
        <w:r>
          <w:t xml:space="preserve">manipulation or minority attacks on base fee dynamics), underscoring</w:t>
        </w:r>
        <w:r>
          <w:t xml:space="preserve"> </w:t>
        </w:r>
        <w:r>
          <w:t xml:space="preserve">that tokenomics is not</w:t>
        </w:r>
        <w:r>
          <w:t xml:space="preserve"> </w:t>
        </w:r>
        <w:r>
          <w:t xml:space="preserve">“set-and-forget”</w:t>
        </w:r>
        <w:r>
          <w:t xml:space="preserve"> </w:t>
        </w:r>
        <w:r>
          <w:t xml:space="preserve">but a governance problem</w:t>
        </w:r>
        <w:r>
          <w:t xml:space="preserve"> </w:t>
        </w:r>
        <w:r>
          <w:t xml:space="preserve">requiring transparency and monitoring.</w:t>
        </w:r>
      </w:ins>
    </w:p>
    <w:p>
      <w:ins w:id="10067" w:author="R2 Revision" w:date="2026-05-19T00:00:00Z">
        <w:pPr>
          <w:pStyle w:val="BodyText"/>
        </w:pPr>
        <w:r>
          <w:t xml:space="preserve">These studies motivate a broader design intuition central to this paper:</w:t>
        </w:r>
        <w:r>
          <w:t xml:space="preserve"> </w:t>
        </w:r>
        <w:r>
          <w:t xml:space="preserve">token mechanics that tie usage to scarcity (through burns, locks,</w:t>
        </w:r>
        <w:r>
          <w:t xml:space="preserve"> </w:t>
        </w:r>
        <w:r>
          <w:t xml:space="preserve">buybacks, or fee routing) represent a form of fiscal policy embedded in</w:t>
        </w:r>
        <w:r>
          <w:t xml:space="preserve"> </w:t>
        </w:r>
        <w:r>
          <w:t xml:space="preserve">code (cf. Werner et al., 2022).</w:t>
        </w:r>
      </w:ins>
    </w:p>
    <w:p>
      <w:ins w:id="10068" w:author="R2 Revision" w:date="2026-05-19T00:00:00Z">
        <w:pPr>
          <w:pStyle w:val="BodyText"/>
        </w:pPr>
        <w:r>
          <w:t xml:space="preserve">The leading formal model of token adoption (Cong, Li, &amp; Wang, 2021)</w:t>
        </w:r>
        <w:r>
          <w:t xml:space="preserve"> </w:t>
        </w:r>
        <w:r>
          <w:t xml:space="preserve">demonstrates that equilibrium token price is determined by aggregating</w:t>
        </w:r>
        <w:r>
          <w:t xml:space="preserve"> </w:t>
        </w:r>
        <w:r>
          <w:t xml:space="preserve">heterogeneous users’ transactional demand rather than by initial supply</w:t>
        </w:r>
        <w:r>
          <w:t xml:space="preserve"> </w:t>
        </w:r>
        <w:r>
          <w:t xml:space="preserve">distribution, implying that post-distribution dynamics dominate</w:t>
        </w:r>
        <w:r>
          <w:t xml:space="preserve"> </w:t>
        </w:r>
        <w:r>
          <w:t xml:space="preserve">design-time allocation choices. This theoretical result anticipates the</w:t>
        </w:r>
        <w:r>
          <w:t xml:space="preserve"> </w:t>
        </w:r>
        <w:r>
          <w:t xml:space="preserve">allocation design null documented in Section 3.4.</w:t>
        </w:r>
      </w:ins>
    </w:p>
    <w:bookmarkEnd w:id="38"/>
    <w:bookmarkEnd w:id="39"/>
    <w:bookmarkStart w:id="40" w:name="X2488cfaf0b9f15c8107296bac2ff0649c6c13b8"/>
    <w:p>
      <w:ins w:id="10069" w:author="R2 Revision" w:date="2026-05-19T00:00:00Z">
        <w:pPr>
          <w:pStyle w:val="Heading2"/>
        </w:pPr>
        <w:r>
          <w:t xml:space="preserve">2.3 Incentives, Liquidity Mining, and the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Debate</w:t>
        </w:r>
      </w:ins>
    </w:p>
    <w:p>
      <w:ins w:id="10070" w:author="R2 Revision" w:date="2026-05-19T00:00:00Z">
        <w:pPr>
          <w:pStyle w:val="FirstParagraph"/>
        </w:pPr>
        <w:r>
          <w:t xml:space="preserve">A major wave of Web3 growth (notably in DeFi) was catalyzed by token</w:t>
        </w:r>
        <w:r>
          <w:t xml:space="preserve"> </w:t>
        </w:r>
        <w:r>
          <w:t xml:space="preserve">distribution mechanisms: initial coin offerings (Howell, Niessner, &amp;</w:t>
        </w:r>
        <w:r>
          <w:t xml:space="preserve"> </w:t>
        </w:r>
        <w:r>
          <w:t xml:space="preserve">Yermack, 2020), liquidity mining (issuing newly-minted tokens to users</w:t>
        </w:r>
        <w:r>
          <w:t xml:space="preserve"> </w:t>
        </w:r>
        <w:r>
          <w:t xml:space="preserve">who deposit assets into a protocol, as a recruitment incentive),</w:t>
        </w:r>
        <w:r>
          <w:t xml:space="preserve"> </w:t>
        </w:r>
        <w:r>
          <w:t xml:space="preserve">staking rewards (Schär, 2021; issuing tokens to participants who lock</w:t>
        </w:r>
        <w:r>
          <w:t xml:space="preserve"> </w:t>
        </w:r>
        <w:r>
          <w:t xml:space="preserve">existing tokens to secure the protocol), and user rebates, designed to</w:t>
        </w:r>
        <w:r>
          <w:t xml:space="preserve"> </w:t>
        </w:r>
        <w:r>
          <w:t xml:space="preserve">bootstrap two-sided markets. A key controversy is whether these</w:t>
        </w:r>
        <w:r>
          <w:t xml:space="preserve"> </w:t>
        </w:r>
        <w:r>
          <w:t xml:space="preserve">incentives generate durable adoption or merely transient participation</w:t>
        </w:r>
        <w:r>
          <w:t xml:space="preserve"> </w:t>
        </w:r>
        <w:r>
          <w:t xml:space="preserve">driven by extrinsic rewards.</w:t>
        </w:r>
      </w:ins>
    </w:p>
    <w:p>
      <w:ins w:id="10071" w:author="R2 Revision" w:date="2026-05-19T00:00:00Z">
        <w:pPr>
          <w:pStyle w:val="BodyText"/>
        </w:pPr>
        <w:r>
          <w:t xml:space="preserve">Empirical and conceptual analyses increasingly emphasize the risk of</w:t>
        </w:r>
        <w:r>
          <w:t xml:space="preserve"> </w:t>
        </w:r>
        <w:r>
          <w:t xml:space="preserve">“mercenary capital”</w:t>
        </w:r>
        <w:r>
          <w:t xml:space="preserve"> </w:t>
        </w:r>
        <w:r>
          <w:t xml:space="preserve">(Schär, 2021): incentives attract liquidity or usage</w:t>
        </w:r>
        <w:r>
          <w:t xml:space="preserve"> </w:t>
        </w:r>
        <w:r>
          <w:t xml:space="preserve">temporarily, but participation exits when emissions decline, leaving</w:t>
        </w:r>
        <w:r>
          <w:t xml:space="preserve"> </w:t>
        </w:r>
        <w:r>
          <w:t xml:space="preserve">weak organic demand. While the quality of evidence varies across</w:t>
        </w:r>
        <w:r>
          <w:t xml:space="preserve"> </w:t>
        </w:r>
        <w:r>
          <w:t xml:space="preserve">sources, the consistent theoretical point is that token incentives can</w:t>
        </w:r>
        <w:r>
          <w:t xml:space="preserve"> </w:t>
        </w:r>
        <w:r>
          <w:t xml:space="preserve">create short-run growth while undermining long-run sustainability unless</w:t>
        </w:r>
        <w:r>
          <w:t xml:space="preserve"> </w:t>
        </w:r>
        <w:r>
          <w:t xml:space="preserve">paired with credible sinks, retention design, and governance discipline.</w:t>
        </w:r>
        <w:r>
          <w:t xml:space="preserve"> </w:t>
        </w:r>
        <w:r>
          <w:t xml:space="preserve">This paper integrates that debate into a more general claim:</w:t>
        </w:r>
        <w:r>
          <w:t xml:space="preserve"> </w:t>
        </w:r>
        <w:r>
          <w:rPr>
            <w:b/>
            <w:bCs/>
          </w:rPr>
          <w:t xml:space="preserve">incentives are political economy</w:t>
        </w:r>
        <w:r>
          <w:t xml:space="preserve">, not simply growth marketing,</w:t>
        </w:r>
        <w:r>
          <w:t xml:space="preserve"> </w:t>
        </w:r>
        <w:r>
          <w:t xml:space="preserve">because they distribute resources, create winners and losers, and can</w:t>
        </w:r>
        <w:r>
          <w:t xml:space="preserve"> </w:t>
        </w:r>
        <w:r>
          <w:t xml:space="preserve">entrench power.</w:t>
        </w:r>
      </w:ins>
    </w:p>
    <w:p>
      <w:ins w:id="10072" w:author="R2 Revision" w:date="2026-05-19T00:00:00Z">
        <w:pPr>
          <w:pStyle w:val="BodyText"/>
        </w:pPr>
        <w:r>
          <w:t xml:space="preserve">Academic work on liquidity mining (Schär, 2021; Roughgarden, 2021)</w:t>
        </w:r>
        <w:r>
          <w:t xml:space="preserve"> </w:t>
        </w:r>
        <w:r>
          <w:t xml:space="preserve">explicitly treats it as an innovative mechanism that changes investor</w:t>
        </w:r>
        <w:r>
          <w:t xml:space="preserve"> </w:t>
        </w:r>
        <w:r>
          <w:t xml:space="preserve">behavior and protocol dynamics, suggesting a need for systematic</w:t>
        </w:r>
        <w:r>
          <w:t xml:space="preserve"> </w:t>
        </w:r>
        <w:r>
          <w:t xml:space="preserve">evaluation rather than anecdotal interpretation.</w:t>
        </w:r>
      </w:ins>
    </w:p>
    <w:bookmarkEnd w:id="40"/>
    <w:bookmarkStart w:id="42" w:name="Xd67550ff6e6accb54c80edbaa0d65262f75fc7d"/>
    <w:p>
      <w:ins w:id="10073" w:author="R2 Revision" w:date="2026-05-19T00:00:00Z">
        <w:pPr>
          <w:pStyle w:val="Heading2"/>
        </w:pPr>
        <w:r>
          <w:t xml:space="preserve">2.4 DAO Governance: Concentration, Delegation, and the</w:t>
        </w:r>
        <w:r>
          <w:t xml:space="preserve"> </w:t>
        </w:r>
        <w:r>
          <w:t xml:space="preserve">“Decentralization Illusion”</w:t>
        </w:r>
      </w:ins>
    </w:p>
    <w:p>
      <w:ins w:id="10074" w:author="R2 Revision" w:date="2026-05-19T00:00:00Z">
        <w:pPr>
          <w:pStyle w:val="FirstParagraph"/>
        </w:pPr>
        <w:r>
          <w:t xml:space="preserve">The legitimacy of tokenized governance depends not only on formal voting</w:t>
        </w:r>
        <w:r>
          <w:t xml:space="preserve"> </w:t>
        </w:r>
        <w:r>
          <w:t xml:space="preserve">rules but also on power distribution and participation (Aramonte et al.,</w:t>
        </w:r>
        <w:r>
          <w:t xml:space="preserve"> </w:t>
        </w:r>
        <w:r>
          <w:t xml:space="preserve">2021; Nadler &amp; Schär, 2020) structure. Decentralized Autonomous</w:t>
        </w:r>
        <w:r>
          <w:t xml:space="preserve"> </w:t>
        </w:r>
        <w:r>
          <w:t xml:space="preserve">Organizations (DAOs; on-chain organizations whose governance rules and</w:t>
        </w:r>
        <w:r>
          <w:t xml:space="preserve"> </w:t>
        </w:r>
        <w:r>
          <w:t xml:space="preserve">treasury controls are encoded in smart contracts and exercised via</w:t>
        </w:r>
        <w:r>
          <w:t xml:space="preserve"> </w:t>
        </w:r>
        <w:r>
          <w:t xml:space="preserve">token-weighted voting) and similar token-governed protocols face a</w:t>
        </w:r>
        <w:r>
          <w:t xml:space="preserve"> </w:t>
        </w:r>
        <w:r>
          <w:t xml:space="preserve">central challenge: token-based governance can produce concentrated</w:t>
        </w:r>
        <w:r>
          <w:t xml:space="preserve"> </w:t>
        </w:r>
        <w:r>
          <w:t xml:space="preserve">influence (Barbereau et al., 2023) including</w:t>
        </w:r>
        <w:r>
          <w:t xml:space="preserve"> </w:t>
        </w:r>
        <w:r>
          <w:t xml:space="preserve">“whales”</w:t>
        </w:r>
        <w:r>
          <w:t xml:space="preserve"> </w:t>
        </w:r>
        <w:r>
          <w:t xml:space="preserve">(very large</w:t>
        </w:r>
        <w:r>
          <w:t xml:space="preserve"> </w:t>
        </w:r>
        <w:r>
          <w:t xml:space="preserve">individual holders), delegates (parties who receive voting power</w:t>
        </w:r>
        <w:r>
          <w:t xml:space="preserve"> </w:t>
        </w:r>
        <w:r>
          <w:t xml:space="preserve">from many other holders), or insiders, leading to outcomes that are</w:t>
        </w:r>
        <w:r>
          <w:t xml:space="preserve"> </w:t>
        </w:r>
        <w:r>
          <w:t xml:space="preserve">formally decentralized but substantively centralized. The</w:t>
        </w:r>
        <w:r>
          <w:t xml:space="preserve"> </w:t>
        </w:r>
        <w:r>
          <w:t xml:space="preserve">political-theory foundations of decentralized autonomous organizations</w:t>
        </w:r>
        <w:r>
          <w:t xml:space="preserve"> </w:t>
        </w:r>
        <w:r>
          <w:t xml:space="preserve">have been developed across two complementary lines of work: an early</w:t>
        </w:r>
        <w:r>
          <w:t xml:space="preserve"> </w:t>
        </w:r>
        <w:r>
          <w:t xml:space="preserve">political-theory line (DuPont, 2014,</w:t>
        </w:r>
        <w:r>
          <w:t xml:space="preserve"> </w:t>
        </w:r>
        <w:r>
          <w:t xml:space="preserve">“The Politics of Cryptography”</w:t>
        </w:r>
        <w:r>
          <w:t xml:space="preserve">;</w:t>
        </w:r>
        <w:r>
          <w:t xml:space="preserve"> </w:t>
        </w:r>
        <w:r>
          <w:t xml:space="preserve">Atzori, 2017) treating DAOs as new constitutional sites, and a more</w:t>
        </w:r>
        <w:r>
          <w:t xml:space="preserve"> </w:t>
        </w:r>
        <w:r>
          <w:t xml:space="preserve">recent commons-governance line (Schneider, 2019,</w:t>
        </w:r>
        <w:r>
          <w:t xml:space="preserve"> </w:t>
        </w:r>
        <w:r>
          <w:t xml:space="preserve">“Governable Spaces”</w:t>
        </w:r>
        <w:r>
          <w:t xml:space="preserve">)</w:t>
        </w:r>
        <w:r>
          <w:t xml:space="preserve"> </w:t>
        </w:r>
        <w:r>
          <w:t xml:space="preserve">that engages Ostromian polycentricity directly and provides a synthesis</w:t>
        </w:r>
        <w:r>
          <w:t xml:space="preserve"> </w:t>
        </w:r>
        <w:r>
          <w:t xml:space="preserve">between DAO design and commons-management scholarship. The five-lens</w:t>
        </w:r>
        <w:r>
          <w:t xml:space="preserve"> </w:t>
        </w:r>
        <w:r>
          <w:t xml:space="preserve">framework operationalized in this paper extends this political-theory</w:t>
        </w:r>
        <w:r>
          <w:t xml:space="preserve"> </w:t>
        </w:r>
        <w:r>
          <w:t xml:space="preserve">work by translating philosophical traditions into measurable scoring</w:t>
        </w:r>
        <w:r>
          <w:t xml:space="preserve"> </w:t>
        </w:r>
        <w:r>
          <w:t xml:space="preserve">criteria; complementary work in corporate-governance theory (Tirole,</w:t>
        </w:r>
        <w:r>
          <w:t xml:space="preserve"> </w:t>
        </w:r>
        <w:r>
          <w:t xml:space="preserve">2001, on managerial accountability and minority protection) provides</w:t>
        </w:r>
        <w:r>
          <w:t xml:space="preserve"> </w:t>
        </w:r>
        <w:r>
          <w:t xml:space="preserve">a structurally-parallel reference for the principal-agent concerns that</w:t>
        </w:r>
        <w:r>
          <w:t xml:space="preserve"> </w:t>
        </w:r>
        <w:r>
          <w:t xml:space="preserve">recur in delegated token governance.</w:t>
        </w:r>
      </w:ins>
    </w:p>
    <w:p>
      <w:ins w:id="10075" w:author="R2 Revision" w:date="2026-05-19T00:00:00Z">
        <w:pPr>
          <w:pStyle w:val="BodyText"/>
        </w:pPr>
        <w:r>
          <w:t xml:space="preserve">The Bank for International Settlements (BIS) argues (Aramonte et al.,</w:t>
        </w:r>
        <w:r>
          <w:t xml:space="preserve"> </w:t>
        </w:r>
        <w:r>
          <w:t xml:space="preserve">2021) that DeFi contains a</w:t>
        </w:r>
        <w:r>
          <w:t xml:space="preserve"> </w:t>
        </w:r>
        <w:r>
          <w:t xml:space="preserve">“decentralization illusion,”</w:t>
        </w:r>
        <w:r>
          <w:t xml:space="preserve"> </w:t>
        </w:r>
        <w:r>
          <w:t xml:space="preserve">emphasizing that</w:t>
        </w:r>
        <w:r>
          <w:t xml:space="preserve"> </w:t>
        </w:r>
        <w:r>
          <w:t xml:space="preserve">protocols marketed as decentralized frequently concentrate</w:t>
        </w:r>
        <w:r>
          <w:t xml:space="preserve"> </w:t>
        </w:r>
        <w:r>
          <w:t xml:space="preserve">decision-making power among a small number of token holders, developers,</w:t>
        </w:r>
        <w:r>
          <w:t xml:space="preserve"> </w:t>
        </w:r>
        <w:r>
          <w:t xml:space="preserve">or validators. This critique is significant for this paper because it</w:t>
        </w:r>
        <w:r>
          <w:t xml:space="preserve"> </w:t>
        </w:r>
        <w:r>
          <w:t xml:space="preserve">links governance concentration to systemic risks and questions the</w:t>
        </w:r>
        <w:r>
          <w:t xml:space="preserve"> </w:t>
        </w:r>
        <w:r>
          <w:t xml:space="preserve">legitimacy of</w:t>
        </w:r>
        <w:r>
          <w:t xml:space="preserve"> </w:t>
        </w:r>
        <w:r>
          <w:t xml:space="preserve">“decentralized”</w:t>
        </w:r>
        <w:r>
          <w:t xml:space="preserve"> </w:t>
        </w:r>
        <w:r>
          <w:t xml:space="preserve">claims.</w:t>
        </w:r>
      </w:ins>
    </w:p>
    <w:p>
      <w:ins w:id="10076" w:author="R2 Revision" w:date="2026-05-19T00:00:00Z">
        <w:pPr>
          <w:pStyle w:val="BodyText"/>
        </w:pPr>
        <w:r>
          <w:t xml:space="preserve">Gersbach, Schneider, and Shahkar (2024) analyze vote delegation and find</w:t>
        </w:r>
        <w:r>
          <w:t xml:space="preserve"> </w:t>
        </w:r>
        <w:r>
          <w:t xml:space="preserve">it can meaningfully change outcomes under highly unbalanced voting</w:t>
        </w:r>
        <w:r>
          <w:t xml:space="preserve"> </w:t>
        </w:r>
        <w:r>
          <w:t xml:space="preserve">rights but has negligible impact under balanced systems, suggesting</w:t>
        </w:r>
        <w:r>
          <w:t xml:space="preserve"> </w:t>
        </w:r>
        <w:r>
          <w:t xml:space="preserve">delegation is not a universal solution to legitimacy problems. Weidener</w:t>
        </w:r>
        <w:r>
          <w:t xml:space="preserve"> </w:t>
        </w:r>
        <w:r>
          <w:t xml:space="preserve">et al. (2025) similarly maps delegation’s implementation and challenges,</w:t>
        </w:r>
        <w:r>
          <w:t xml:space="preserve"> </w:t>
        </w:r>
        <w:r>
          <w:t xml:space="preserve">reinforcing that delegation can either mitigate or entrench</w:t>
        </w:r>
        <w:r>
          <w:t xml:space="preserve"> </w:t>
        </w:r>
        <w:r>
          <w:t xml:space="preserve">concentration depending on design. Hall and Miyazaki (2024) analyze</w:t>
        </w:r>
        <w:r>
          <w:t xml:space="preserve"> </w:t>
        </w:r>
        <w:r>
          <w:t xml:space="preserve">liquid democracy across 18 DAOs, finding that only 17% of tokens are</w:t>
        </w:r>
        <w:r>
          <w:t xml:space="preserve"> </w:t>
        </w:r>
        <w:r>
          <w:t xml:space="preserve">delegated yet the top five delegates routinely capture over 50% of</w:t>
        </w:r>
        <w:r>
          <w:t xml:space="preserve"> </w:t>
        </w:r>
        <w:r>
          <w:t xml:space="preserve">effectively voted weight, with high-SSPI delegates more likely to signal</w:t>
        </w:r>
        <w:r>
          <w:t xml:space="preserve"> </w:t>
        </w:r>
        <w:r>
          <w:t xml:space="preserve">early and cascade alignment; the 1.2 to 11.4 times delegation</w:t>
        </w:r>
        <w:r>
          <w:t xml:space="preserve"> </w:t>
        </w:r>
        <w:r>
          <w:t xml:space="preserve">amplification ratios documented in Section 3.5 are consistent with</w:t>
        </w:r>
        <w:r>
          <w:t xml:space="preserve"> </w:t>
        </w:r>
        <w:r>
          <w:t xml:space="preserve">this clumping pattern. Esposito, Tse, and Goh (2025) evaluate quadratic voting and</w:t>
        </w:r>
        <w:r>
          <w:t xml:space="preserve"> </w:t>
        </w:r>
        <w:r>
          <w:t xml:space="preserve">delegated governance against Ostrom’s CPR framework, documenting that</w:t>
        </w:r>
        <w:r>
          <w:t xml:space="preserve"> </w:t>
        </w:r>
        <w:r>
          <w:t xml:space="preserve">tokenization alone is insufficient for inclusive governance.</w:t>
        </w:r>
      </w:ins>
    </w:p>
    <w:p>
      <w:ins w:id="10077" w:author="R2 Revision" w:date="2026-05-19T00:00:00Z">
        <w:pPr>
          <w:pStyle w:val="BodyText"/>
        </w:pPr>
        <w:r>
          <w:t xml:space="preserve">Most directly relevant, Cong et al. (2025) provide stylized facts and</w:t>
        </w:r>
        <w:r>
          <w:t xml:space="preserve"> </w:t>
        </w:r>
        <w:r>
          <w:t xml:space="preserve">analysis suggesting persistent concentration in DAOs and governance</w:t>
        </w:r>
        <w:r>
          <w:t xml:space="preserve"> </w:t>
        </w:r>
        <w:r>
          <w:t xml:space="preserve">token trading dynamics, reinforcing the need for institutional</w:t>
        </w:r>
        <w:r>
          <w:t xml:space="preserve"> </w:t>
        </w:r>
        <w:r>
          <w:t xml:space="preserve">safeguards rather than assuming</w:t>
        </w:r>
        <w:r>
          <w:t xml:space="preserve"> </w:t>
        </w:r>
        <w:r>
          <w:t xml:space="preserve">“token voting”</w:t>
        </w:r>
        <w:r>
          <w:t xml:space="preserve"> </w:t>
        </w:r>
        <w:r>
          <w:t xml:space="preserve">equals democracy. Panel</w:t>
        </w:r>
        <w:r>
          <w:t xml:space="preserve"> </w:t>
        </w:r>
        <w:r>
          <w:t xml:space="preserve">evidence from DAO-quarter data documents that effective governance</w:t>
        </w:r>
        <w:r>
          <w:t xml:space="preserve"> </w:t>
        </w:r>
        <w:r>
          <w:t xml:space="preserve">control concentrates as proposal volume scales, consistent with</w:t>
        </w:r>
        <w:r>
          <w:t xml:space="preserve"> </w:t>
        </w:r>
        <w:r>
          <w:t xml:space="preserve">monitoring costs outpacing broad-based participation (Tchuente, 2025);</w:t>
        </w:r>
        <w:r>
          <w:t xml:space="preserve"> </w:t>
        </w:r>
        <w:r>
          <w:t xml:space="preserve">the cross-sectional allocation null documented here (r = 0.18, p = 0.28)</w:t>
        </w:r>
        <w:r>
          <w:t xml:space="preserve"> </w:t>
        </w:r>
        <w:r>
          <w:t xml:space="preserve">is compatible with this scale-driven concentration mechanism operating</w:t>
        </w:r>
        <w:r>
          <w:t xml:space="preserve"> </w:t>
        </w:r>
        <w:r>
          <w:t xml:space="preserve">independently of initial token distribution.</w:t>
        </w:r>
      </w:ins>
    </w:p>
    <w:p>
      <w:ins w:id="10078" w:author="R2 Revision" w:date="2026-05-19T00:00:00Z">
        <w:pPr>
          <w:pStyle w:val="BodyText"/>
        </w:pPr>
        <w:r>
          <w:t xml:space="preserve">Calzada (2025) corroborates these patterns ethnographically across seven</w:t>
        </w:r>
        <w:r>
          <w:t xml:space="preserve"> </w:t>
        </w:r>
        <w:r>
          <w:t xml:space="preserve">Web3 ecosystems, documenting whale dominance and voter turnout below 10%</w:t>
        </w:r>
        <w:r>
          <w:t xml:space="preserve"> </w:t>
        </w:r>
        <w:r>
          <w:t xml:space="preserve">in major DAOs.</w:t>
        </w:r>
      </w:ins>
    </w:p>
    <w:p>
      <w:ins w:id="10079" w:author="R2 Revision" w:date="2026-05-19T00:00:00Z">
        <w:pPr>
          <w:pStyle w:val="BodyText"/>
        </w:pPr>
        <w:r>
          <w:t xml:space="preserve">The governance concentration patterns documented in Section 3 are</w:t>
        </w:r>
        <w:r>
          <w:t xml:space="preserve"> </w:t>
        </w:r>
        <w:r>
          <w:t xml:space="preserve">consistent with Williamson’s (1999)</w:t>
        </w:r>
        <w:r>
          <w:t xml:space="preserve"> </w:t>
        </w:r>
        <w:r>
          <w:t xml:space="preserve">“probity hazard”</w:t>
        </w:r>
        <w:r>
          <w:t xml:space="preserve">: token holders can</w:t>
        </w:r>
        <w:r>
          <w:t xml:space="preserve"> </w:t>
        </w:r>
        <w:r>
          <w:t xml:space="preserve">comply with smart contract rules while extracting value that contradicts</w:t>
        </w:r>
        <w:r>
          <w:t xml:space="preserve"> </w:t>
        </w:r>
        <w:r>
          <w:t xml:space="preserve">the protocol’s institutional mission, a risk that intensifies as</w:t>
        </w:r>
        <w:r>
          <w:t xml:space="preserve"> </w:t>
        </w:r>
        <w:r>
          <w:t xml:space="preserve">governance power concentrates in fewer addresses.</w:t>
        </w:r>
      </w:ins>
    </w:p>
    <w:p>
      <w:ins w:id="10080" w:author="R2 Revision" w:date="2026-05-19T00:00:00Z">
        <w:pPr>
          <w:pStyle w:val="BodyText"/>
        </w:pPr>
        <w:r>
          <w:t xml:space="preserve">Voting power inequality in Compound, Uniswap, and ENS exceeds wealth</w:t>
        </w:r>
        <w:r>
          <w:t xml:space="preserve"> </w:t>
        </w:r>
        <w:r>
          <w:t xml:space="preserve">inequality in real-world economies, with voting power more unequally</w:t>
        </w:r>
        <w:r>
          <w:t xml:space="preserve"> </w:t>
        </w:r>
        <w:r>
          <w:t xml:space="preserve">distributed than income in any country (Fritsch, Müller, &amp; Wattenhofer,</w:t>
        </w:r>
        <w:r>
          <w:t xml:space="preserve"> </w:t>
        </w:r>
        <w:r>
          <w:t xml:space="preserve">2024), a pattern consistent with the delegation amplification documented</w:t>
        </w:r>
        <w:r>
          <w:t xml:space="preserve"> </w:t>
        </w:r>
        <w:r>
          <w:t xml:space="preserve">in Section 3.5; notably, these concentrated delegates rarely overturn</w:t>
        </w:r>
        <w:r>
          <w:t xml:space="preserve"> </w:t>
        </w:r>
        <w:r>
          <w:t xml:space="preserve">community-preferred outcomes, suggesting that concentration creates</w:t>
        </w:r>
        <w:r>
          <w:t xml:space="preserve"> </w:t>
        </w:r>
        <w:r>
          <w:t xml:space="preserve">domination risk rather than routine domination. Across 10,639 proposals</w:t>
        </w:r>
        <w:r>
          <w:t xml:space="preserve"> </w:t>
        </w:r>
        <w:r>
          <w:t xml:space="preserve">in 151 DAOs, three or fewer entities exert effective control over most</w:t>
        </w:r>
        <w:r>
          <w:t xml:space="preserve"> </w:t>
        </w:r>
        <w:r>
          <w:t xml:space="preserve">governance decisions (Appel &amp; Grennan, 2023), consistent with the</w:t>
        </w:r>
        <w:r>
          <w:t xml:space="preserve"> </w:t>
        </w:r>
        <w:r>
          <w:t xml:space="preserve">insider dominance this paper documents at the token-holder level.</w:t>
        </w:r>
      </w:ins>
    </w:p>
    <w:p>
      <w:ins w:id="10081" w:author="R2 Revision" w:date="2026-05-19T00:00:00Z">
        <w:pPr>
          <w:pStyle w:val="BodyText"/>
        </w:pPr>
        <w:r>
          <w:t xml:space="preserve">Together, these literatures (see also Feichtinger et al., 2023; Rikken</w:t>
        </w:r>
        <w:r>
          <w:t xml:space="preserve"> </w:t>
        </w:r>
        <w:r>
          <w:t xml:space="preserve">et al., 2023) motivate two design imperatives advanced in later</w:t>
        </w:r>
        <w:r>
          <w:t xml:space="preserve"> </w:t>
        </w:r>
        <w:r>
          <w:t xml:space="preserve">chapters: (i) governance systems require</w:t>
        </w:r>
        <w:r>
          <w:t xml:space="preserve"> </w:t>
        </w:r>
        <w:r>
          <w:rPr>
            <w:b/>
            <w:bCs/>
          </w:rPr>
          <w:t xml:space="preserve">contestability and due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process</w:t>
        </w:r>
        <w:r>
          <w:t xml:space="preserve"> </w:t>
        </w:r>
        <w:r>
          <w:t xml:space="preserve">beyond raw voting, and (ii) legitimacy depends on measurable</w:t>
        </w:r>
        <w:r>
          <w:t xml:space="preserve"> </w:t>
        </w:r>
        <w:r>
          <w:t xml:space="preserve">concentration constraints and multi-constituency representation.</w:t>
        </w:r>
      </w:ins>
    </w:p>
    <w:p>
      <w:ins w:id="10082" w:author="R2 Revision" w:date="2026-05-19T00:00:00Z">
        <w:pPr>
          <w:pStyle w:val="BodyText"/>
        </w:pPr>
        <w:r>
          <w:t xml:space="preserve">Han, Lee, and Li (2023) formalize the governance consequences of</w:t>
        </w:r>
        <w:r>
          <w:t xml:space="preserve"> </w:t>
        </w:r>
        <w:r>
          <w:t xml:space="preserve">ownership concentration, showing that whale dominance reduces platform</w:t>
        </w:r>
        <w:r>
          <w:t xml:space="preserve"> </w:t>
        </w:r>
        <w:r>
          <w:t xml:space="preserve">growth but that staking mechanisms and token illiquidity can mitigate</w:t>
        </w:r>
        <w:r>
          <w:t xml:space="preserve"> </w:t>
        </w:r>
        <w:r>
          <w:t xml:space="preserve">it. The finding that ownership concentration is structurally harmful,</w:t>
        </w:r>
        <w:r>
          <w:t xml:space="preserve"> </w:t>
        </w:r>
        <w:r>
          <w:t xml:space="preserve">not merely descriptive, motivates the normative framework developed</w:t>
        </w:r>
        <w:r>
          <w:t xml:space="preserve"> </w:t>
        </w:r>
        <w:r>
          <w:t xml:space="preserve">here: if concentration damages governance quality, the</w:t>
        </w:r>
        <w:r>
          <w:t xml:space="preserve"> </w:t>
        </w:r>
        <w:r>
          <w:t xml:space="preserve">political-philosophical traditions that specify what good governance</w:t>
        </w:r>
        <w:r>
          <w:t xml:space="preserve"> </w:t>
        </w:r>
        <w:r>
          <w:t xml:space="preserve">requires become directly relevant to token system design. Han, Lee, and</w:t>
        </w:r>
        <w:r>
          <w:t xml:space="preserve"> </w:t>
        </w:r>
        <w:r>
          <w:t xml:space="preserve">Li (2024) provide a comprehensive review of DAO governance mechanisms</w:t>
        </w:r>
        <w:r>
          <w:t xml:space="preserve"> </w:t>
        </w:r>
        <w:r>
          <w:t xml:space="preserve">and the emerging agency problem between large and small token holders.</w:t>
        </w:r>
      </w:ins>
    </w:p>
    <w:bookmarkStart w:id="41" w:name="X1f3ce45e3082525a6adb33db0e389aa3ee2c5a2"/>
    <w:p>
      <w:ins w:id="10083" w:author="R2 Revision" w:date="2026-05-19T00:00:00Z">
        <w:pPr>
          <w:pStyle w:val="Heading3"/>
        </w:pPr>
        <w:r>
          <w:t xml:space="preserve">2.4.1 Cooperatives as the Nearest Institutional Ancestor</w:t>
        </w:r>
      </w:ins>
    </w:p>
    <w:p>
      <w:ins w:id="10084" w:author="R2 Revision" w:date="2026-05-19T00:00:00Z">
        <w:pPr>
          <w:pStyle w:val="FirstParagraph"/>
        </w:pPr>
        <w:r>
          <w:t xml:space="preserve">Among established institutional forms, the cooperative bears the closest</w:t>
        </w:r>
        <w:r>
          <w:t xml:space="preserve"> </w:t>
        </w:r>
        <w:r>
          <w:t xml:space="preserve">structural resemblance to the tokenized protocol. Both organize</w:t>
        </w:r>
        <w:r>
          <w:t xml:space="preserve"> </w:t>
        </w:r>
        <w:r>
          <w:t xml:space="preserve">collective production without a single owner who captures surplus; both</w:t>
        </w:r>
        <w:r>
          <w:t xml:space="preserve"> </w:t>
        </w:r>
        <w:r>
          <w:t xml:space="preserve">distribute governance rights to participants rather than to external</w:t>
        </w:r>
        <w:r>
          <w:t xml:space="preserve"> </w:t>
        </w:r>
        <w:r>
          <w:t xml:space="preserve">shareholders; both face the challenge of sustaining voluntary</w:t>
        </w:r>
        <w:r>
          <w:t xml:space="preserve"> </w:t>
        </w:r>
        <w:r>
          <w:t xml:space="preserve">participation under conditions where exit is available. The cooperative</w:t>
        </w:r>
        <w:r>
          <w:t xml:space="preserve"> </w:t>
        </w:r>
        <w:r>
          <w:t xml:space="preserve">literature (Hansmann, 1996; Birchall, 2011) identifies these properties</w:t>
        </w:r>
        <w:r>
          <w:t xml:space="preserve"> </w:t>
        </w:r>
        <w:r>
          <w:t xml:space="preserve">as the defining features of member-owned enterprise, distinguishing</w:t>
        </w:r>
        <w:r>
          <w:t xml:space="preserve"> </w:t>
        </w:r>
        <w:r>
          <w:t xml:space="preserve">cooperatives from investor-owned firms. The International Cooperative</w:t>
        </w:r>
        <w:r>
          <w:t xml:space="preserve"> </w:t>
        </w:r>
        <w:r>
          <w:t xml:space="preserve">Alliance's seven cooperative principles (ICA, 1995), including</w:t>
        </w:r>
        <w:r>
          <w:t xml:space="preserve"> </w:t>
        </w:r>
        <w:r>
          <w:t xml:space="preserve">voluntary membership, democratic member control, and concern for</w:t>
        </w:r>
        <w:r>
          <w:t xml:space="preserve"> </w:t>
        </w:r>
        <w:r>
          <w:t xml:space="preserve">community, map onto legitimacy constraints derived from political</w:t>
        </w:r>
        <w:r>
          <w:t xml:space="preserve"> </w:t>
        </w:r>
        <w:r>
          <w:t xml:space="preserve">philosophy.</w:t>
        </w:r>
      </w:ins>
    </w:p>
    <w:p>
      <w:ins w:id="10085" w:author="R2 Revision" w:date="2026-05-19T00:00:00Z">
        <w:pPr>
          <w:pStyle w:val="BodyText"/>
        </w:pPr>
        <w:r>
          <w:t xml:space="preserve">Five structural differences separate protocols from cooperatives. First,</w:t>
        </w:r>
        <w:r>
          <w:t xml:space="preserve"> </w:t>
        </w:r>
        <w:r>
          <w:t xml:space="preserve">cooperatives require application and capital contribution; protocols</w:t>
        </w:r>
        <w:r>
          <w:t xml:space="preserve"> </w:t>
        </w:r>
        <w:r>
          <w:t xml:space="preserve">permit permissionless entry under pseudonymity. Second, cooperative</w:t>
        </w:r>
        <w:r>
          <w:t xml:space="preserve"> </w:t>
        </w:r>
        <w:r>
          <w:t xml:space="preserve">ownership is purchased; well-designed protocol ownership is earned</w:t>
        </w:r>
        <w:r>
          <w:t xml:space="preserve"> </w:t>
        </w:r>
        <w:r>
          <w:t xml:space="preserve">through contribution (staking, hardware deployment, service delivery), a</w:t>
        </w:r>
        <w:r>
          <w:t xml:space="preserve"> </w:t>
        </w:r>
        <w:r>
          <w:t xml:space="preserve">property Scholz (2016) identifies as the platform-cooperativism premise.</w:t>
        </w:r>
        <w:r>
          <w:t xml:space="preserve"> </w:t>
        </w:r>
        <w:r>
          <w:t xml:space="preserve">The governance concentration data presented in Section 3 indicate that</w:t>
        </w:r>
        <w:r>
          <w:t xml:space="preserve"> </w:t>
        </w:r>
        <w:r>
          <w:t xml:space="preserve">most protocols have not collapsed the capital-labor boundary in</w:t>
        </w:r>
        <w:r>
          <w:t xml:space="preserve"> </w:t>
        </w:r>
        <w:r>
          <w:t xml:space="preserve">practice: holding HHI values span from cooperative-grade distribution</w:t>
        </w:r>
        <w:r>
          <w:t xml:space="preserve"> </w:t>
        </w:r>
        <w:r>
          <w:t xml:space="preserve">(Anyone Protocol 0.013) to single-party control. Third, cooperatives</w:t>
        </w:r>
        <w:r>
          <w:t xml:space="preserve"> </w:t>
        </w:r>
        <w:r>
          <w:t xml:space="preserve">enforce through bylaws, elected boards, and courts; protocols enforce</w:t>
        </w:r>
        <w:r>
          <w:t xml:space="preserve"> </w:t>
        </w:r>
        <w:r>
          <w:t xml:space="preserve">through code, gaining credible neutrality at the cost of contextual</w:t>
        </w:r>
        <w:r>
          <w:t xml:space="preserve"> </w:t>
        </w:r>
        <w:r>
          <w:t xml:space="preserve">judgment unless appeal mechanisms are designed in. Fourth, cooperatives</w:t>
        </w:r>
        <w:r>
          <w:t xml:space="preserve"> </w:t>
        </w:r>
        <w:r>
          <w:t xml:space="preserve">operate within one jurisdiction's cooperative law; protocols operate</w:t>
        </w:r>
        <w:r>
          <w:t xml:space="preserve"> </w:t>
        </w:r>
        <w:r>
          <w:t xml:space="preserve">across jurisdictions simultaneously, making Ostromian polycentricity</w:t>
        </w:r>
        <w:r>
          <w:t xml:space="preserve"> </w:t>
        </w:r>
        <w:r>
          <w:t xml:space="preserve">(developed in Section 2.6) a structural necessity rather than a design</w:t>
        </w:r>
        <w:r>
          <w:t xml:space="preserve"> </w:t>
        </w:r>
        <w:r>
          <w:t xml:space="preserve">preference. Fifth, cooperative fiscal discipline operates through dues</w:t>
        </w:r>
        <w:r>
          <w:t xml:space="preserve"> </w:t>
        </w:r>
        <w:r>
          <w:t xml:space="preserve">and patronage dividends; protocol fiscal discipline operates through</w:t>
        </w:r>
        <w:r>
          <w:t xml:space="preserve"> </w:t>
        </w:r>
        <w:r>
          <w:t xml:space="preserve">emissions and burns, with the Spend-to-Reward ratio the protocol</w:t>
        </w:r>
        <w:r>
          <w:t xml:space="preserve"> </w:t>
        </w:r>
        <w:r>
          <w:t xml:space="preserve">equivalent of cooperative fiscal sustainability.</w:t>
        </w:r>
      </w:ins>
    </w:p>
    <w:p>
      <w:ins w:id="10086" w:author="R2 Revision" w:date="2026-05-19T00:00:00Z">
        <w:pPr>
          <w:pStyle w:val="BodyText"/>
        </w:pPr>
        <w:r>
          <w:t xml:space="preserve">These distinctions define the contribution space: protocols inherit the</w:t>
        </w:r>
        <w:r>
          <w:t xml:space="preserve"> </w:t>
        </w:r>
        <w:r>
          <w:t xml:space="preserve">cooperative's legitimacy challenge (governing collective production</w:t>
        </w:r>
        <w:r>
          <w:t xml:space="preserve"> </w:t>
        </w:r>
        <w:r>
          <w:t xml:space="preserve">without a centralized principal) while adding permissionless entry,</w:t>
        </w:r>
        <w:r>
          <w:t xml:space="preserve"> </w:t>
        </w:r>
        <w:r>
          <w:t xml:space="preserve">programmable enforcement, and borderless jurisdiction as additional</w:t>
        </w:r>
        <w:r>
          <w:t xml:space="preserve"> </w:t>
        </w:r>
        <w:r>
          <w:t xml:space="preserve">design constraints. The polycentric framework in Section 2.6 takes up</w:t>
        </w:r>
        <w:r>
          <w:t xml:space="preserve"> </w:t>
        </w:r>
        <w:r>
          <w:t xml:space="preserve">this expanded design space; the empirical results in Section 3 indicate</w:t>
        </w:r>
        <w:r>
          <w:t xml:space="preserve"> </w:t>
        </w:r>
        <w:r>
          <w:t xml:space="preserve">how far current protocols remain from satisfying it.</w:t>
        </w:r>
      </w:ins>
    </w:p>
    <w:bookmarkEnd w:id="41"/>
    <w:bookmarkEnd w:id="42"/>
    <w:bookmarkStart w:id="43" w:name="Xf0daa705ba3e7e15c535cfb5e795a9dcac8f960"/>
    <w:p>
      <w:ins w:id="10087" w:author="R2 Revision" w:date="2026-05-19T00:00:00Z">
        <w:pPr>
          <w:pStyle w:val="Heading2"/>
        </w:pPr>
        <w:r>
          <w:t xml:space="preserve">2.5 DePIN and Tokenized Physical Infrastructure: Demand Coupling and Service Verification</w:t>
        </w:r>
      </w:ins>
    </w:p>
    <w:p>
      <w:ins w:id="10088" w:author="R2 Revision" w:date="2026-05-19T00:00:00Z">
        <w:pPr>
          <w:pStyle w:val="FirstParagraph"/>
        </w:pPr>
        <w:r>
          <w:t xml:space="preserve">DePIN expand tokenized coordination into the physical world (Bane &amp;</w:t>
        </w:r>
        <w:r>
          <w:t xml:space="preserve"> </w:t>
        </w:r>
        <w:r>
          <w:t xml:space="preserve">Gala, 2025, 2026): hardware deployment, service provision, and</w:t>
        </w:r>
        <w:r>
          <w:t xml:space="preserve"> </w:t>
        </w:r>
        <w:r>
          <w:t xml:space="preserve">maintenance. DePIN intensifies the institutional nature of tokenomics</w:t>
        </w:r>
        <w:r>
          <w:t xml:space="preserve"> </w:t>
        </w:r>
        <w:r>
          <w:t xml:space="preserve">because it coordinates capital formation (hardware investment), labor</w:t>
        </w:r>
        <w:r>
          <w:t xml:space="preserve"> </w:t>
        </w:r>
        <w:r>
          <w:t xml:space="preserve">(operations), and service quality (SLA performance; SLA stands for</w:t>
        </w:r>
        <w:r>
          <w:t xml:space="preserve"> </w:t>
        </w:r>
        <w:r>
          <w:t xml:space="preserve">service-level agreement, a contractually-specified threshold for</w:t>
        </w:r>
        <w:r>
          <w:t xml:space="preserve"> </w:t>
        </w:r>
        <w:r>
          <w:t xml:space="preserve">network uptime, latency, or coverage that operators must meet to</w:t>
        </w:r>
        <w:r>
          <w:t xml:space="preserve"> </w:t>
        </w:r>
        <w:r>
          <w:t xml:space="preserve">earn rewards). The result is a system that resembles public</w:t>
        </w:r>
        <w:r>
          <w:t xml:space="preserve"> </w:t>
        </w:r>
        <w:r>
          <w:t xml:space="preserve">infrastructure governance more than application monetization.</w:t>
        </w:r>
      </w:ins>
    </w:p>
    <w:p>
      <w:ins w:id="10089" w:author="R2 Revision" w:date="2026-05-19T00:00:00Z">
        <w:pPr>
          <w:pStyle w:val="BodyText"/>
        </w:pPr>
        <w:r>
          <w:t xml:space="preserve">Recent taxonomies formalize DePIN as a distinct coordination category</w:t>
        </w:r>
        <w:r>
          <w:t xml:space="preserve"> </w:t>
        </w:r>
        <w:r>
          <w:t xml:space="preserve">with three architectural layers spanning distributed ledger,</w:t>
        </w:r>
        <w:r>
          <w:t xml:space="preserve"> </w:t>
        </w:r>
        <w:r>
          <w:t xml:space="preserve">cryptoeconomic, and physical infrastructure dimensions (Ballandies et</w:t>
        </w:r>
        <w:r>
          <w:t xml:space="preserve"> </w:t>
        </w:r>
        <w:r>
          <w:t xml:space="preserve">al., 2023), while Alshater (2026) synthesizes the token flywheel</w:t>
        </w:r>
        <w:r>
          <w:t xml:space="preserve"> </w:t>
        </w:r>
        <w:r>
          <w:t xml:space="preserve">mechanism through which burn-and-mint equilibria (a DePIN-specific</w:t>
        </w:r>
        <w:r>
          <w:t xml:space="preserve"> </w:t>
        </w:r>
        <w:r>
          <w:t xml:space="preserve">design pattern in which service users burn tokens to pay for service</w:t>
        </w:r>
        <w:r>
          <w:t xml:space="preserve"> </w:t>
        </w:r>
        <w:r>
          <w:t xml:space="preserve">while operators receive newly-minted tokens as reward; the balance</w:t>
        </w:r>
        <w:r>
          <w:t xml:space="preserve"> </w:t>
        </w:r>
        <w:r>
          <w:t xml:space="preserve">between burns and mints determines whether token supply contracts or</w:t>
        </w:r>
        <w:r>
          <w:t xml:space="preserve"> </w:t>
        </w:r>
        <w:r>
          <w:t xml:space="preserve">expands with demand) bootstrap supply-side hardware deployment.</w:t>
        </w:r>
      </w:ins>
    </w:p>
    <w:p>
      <w:ins w:id="10090" w:author="R2 Revision" w:date="2026-05-19T00:00:00Z">
        <w:pPr>
          <w:pStyle w:val="BodyText"/>
        </w:pPr>
        <w:r>
          <w:t xml:space="preserve">A key design pattern in DePIN is dual-asset economics (Voshmgir, 2020)</w:t>
        </w:r>
        <w:r>
          <w:t xml:space="preserve"> </w:t>
        </w:r>
        <w:r>
          <w:t xml:space="preserve">separating speculative governance/stake tokens from stable-value usage</w:t>
        </w:r>
        <w:r>
          <w:t xml:space="preserve"> </w:t>
        </w:r>
        <w:r>
          <w:t xml:space="preserve">credits. Helium provides a prominent example: network usage is paid in</w:t>
        </w:r>
        <w:r>
          <w:t xml:space="preserve"> </w:t>
        </w:r>
        <w:r>
          <w:t xml:space="preserve">Data Credits, a non-transferable utility token used for service payments</w:t>
        </w:r>
        <w:r>
          <w:t xml:space="preserve"> </w:t>
        </w:r>
        <w:r>
          <w:t xml:space="preserve">and onboarding actions.</w:t>
        </w:r>
        <w:r>
          <w:br/>
        </w:r>
        <w:r>
          <w:t xml:space="preserve">This dual-asset structure motivates a general principle developed later:</w:t>
        </w:r>
        <w:r>
          <w:t xml:space="preserve"> </w:t>
        </w:r>
        <w:r>
          <w:t xml:space="preserve">stable-value usage pricing reduces user friction, while governance/stake</w:t>
        </w:r>
        <w:r>
          <w:t xml:space="preserve"> </w:t>
        </w:r>
        <w:r>
          <w:t xml:space="preserve">tokens enable long-term alignment and security. Separate simulation work</w:t>
        </w:r>
        <w:r>
          <w:t xml:space="preserve"> </w:t>
        </w:r>
        <w:r>
          <w:t xml:space="preserve">stress-tests DePIN mechanism designs under adversarial conditions using</w:t>
        </w:r>
        <w:r>
          <w:t xml:space="preserve"> </w:t>
        </w:r>
        <w:r>
          <w:t xml:space="preserve">cadCAD (a Python-based simulation framework), demonstrating that</w:t>
        </w:r>
        <w:r>
          <w:t xml:space="preserve"> </w:t>
        </w:r>
        <w:r>
          <w:t xml:space="preserve">mechanism-level choices (emission model, slashing parameters where</w:t>
        </w:r>
        <w:r>
          <w:t xml:space="preserve"> </w:t>
        </w:r>
        <w:r>
          <w:t xml:space="preserve">“slashing”</w:t>
        </w:r>
        <w:r>
          <w:t xml:space="preserve"> </w:t>
        </w:r>
        <w:r>
          <w:t xml:space="preserve">means automated penalty mechanisms that confiscate a</w:t>
        </w:r>
        <w:r>
          <w:t xml:space="preserve"> </w:t>
        </w:r>
        <w:r>
          <w:t xml:space="preserve">validator’s staked tokens for malicious or negligent behavior) produce</w:t>
        </w:r>
        <w:r>
          <w:t xml:space="preserve"> </w:t>
        </w:r>
        <w:r>
          <w:t xml:space="preserve">macro-level institutional outcomes that the normative framework</w:t>
        </w:r>
        <w:r>
          <w:t xml:space="preserve"> </w:t>
        </w:r>
        <w:r>
          <w:t xml:space="preserve">developed here can evaluate.</w:t>
        </w:r>
      </w:ins>
    </w:p>
    <w:bookmarkEnd w:id="43"/>
    <w:bookmarkStart w:id="46" w:name="Xc2d1d07b1e4820d5be2deaab7c7dadd6bb1dea4"/>
    <w:p>
      <w:ins w:id="10091" w:author="R2 Revision" w:date="2026-05-19T00:00:00Z">
        <w:pPr>
          <w:pStyle w:val="Heading2"/>
        </w:pPr>
        <w:r>
          <w:t xml:space="preserve">2.6 Constitutional Political Economy and Polycentric Governance</w:t>
        </w:r>
      </w:ins>
    </w:p>
    <w:bookmarkStart w:id="44" w:name="X307cdd24b7c9badf83aad1013f200984ee0c4ad"/>
    <w:p>
      <w:ins w:id="10092" w:author="R2 Revision" w:date="2026-05-19T00:00:00Z">
        <w:pPr>
          <w:pStyle w:val="Heading3"/>
        </w:pPr>
        <w:r>
          <w:t xml:space="preserve">2.6.1 Constitutions as Rule-Selection Under Constraints</w:t>
        </w:r>
      </w:ins>
    </w:p>
    <w:p>
      <w:ins w:id="10093" w:author="R2 Revision" w:date="2026-05-19T00:00:00Z">
        <w:pPr>
          <w:pStyle w:val="FirstParagraph"/>
        </w:pPr>
        <w:r>
          <w:t xml:space="preserve">Constitutional political economy (Buchanan &amp; Tullock, 1962) treats</w:t>
        </w:r>
        <w:r>
          <w:t xml:space="preserve"> </w:t>
        </w:r>
        <w:r>
          <w:t xml:space="preserve">political rules as objects of analysis and choice rather than fixed</w:t>
        </w:r>
        <w:r>
          <w:t xml:space="preserve"> </w:t>
        </w:r>
        <w:r>
          <w:t xml:space="preserve">background conditions. Buchanan and Tullock frame constitutions as</w:t>
        </w:r>
        <w:r>
          <w:t xml:space="preserve"> </w:t>
        </w:r>
        <w:r>
          <w:t xml:space="preserve">foundational constraints shaping later policy choices and collective</w:t>
        </w:r>
        <w:r>
          <w:t xml:space="preserve"> </w:t>
        </w:r>
        <w:r>
          <w:t xml:space="preserve">decisions; this resonates with tokenized systems where</w:t>
        </w:r>
        <w:r>
          <w:t xml:space="preserve"> </w:t>
        </w:r>
        <w:r>
          <w:t xml:space="preserve">“hard parameters”</w:t>
        </w:r>
        <w:r>
          <w:t xml:space="preserve"> </w:t>
        </w:r>
        <w:r>
          <w:t xml:space="preserve">(e.g., inflation bounds, timelocks, emergency powers) are embedded in</w:t>
        </w:r>
        <w:r>
          <w:t xml:space="preserve"> </w:t>
        </w:r>
        <w:r>
          <w:t xml:space="preserve">code. Buchanan and Tullock explicitly describe their work as analyzing</w:t>
        </w:r>
        <w:r>
          <w:t xml:space="preserve"> </w:t>
        </w:r>
        <w:r>
          <w:t xml:space="preserve">the political organization of a society of free persons, using economic</w:t>
        </w:r>
        <w:r>
          <w:t xml:space="preserve"> </w:t>
        </w:r>
        <w:r>
          <w:t xml:space="preserve">reasoning to examine constitutional constraints.</w:t>
        </w:r>
      </w:ins>
    </w:p>
    <w:p>
      <w:ins w:id="10094" w:author="R2 Revision" w:date="2026-05-19T00:00:00Z">
        <w:pPr>
          <w:pStyle w:val="BodyText"/>
        </w:pPr>
        <w:r>
          <w:t xml:space="preserve">This literature (Buchanan &amp; Tullock, 1962; extended in Brennan &amp;</w:t>
        </w:r>
        <w:r>
          <w:t xml:space="preserve"> </w:t>
        </w:r>
        <w:r>
          <w:t xml:space="preserve">Buchanan, 1985, on rule-following and the asymmetry between rules and</w:t>
        </w:r>
        <w:r>
          <w:t xml:space="preserve"> </w:t>
        </w:r>
        <w:r>
          <w:t xml:space="preserve">the discretionary decisions they constrain; North, 1990, on the role</w:t>
        </w:r>
        <w:r>
          <w:t xml:space="preserve"> </w:t>
        </w:r>
        <w:r>
          <w:t xml:space="preserve">of institutions as humanly-devised constraints structuring economic</w:t>
        </w:r>
        <w:r>
          <w:t xml:space="preserve"> </w:t>
        </w:r>
        <w:r>
          <w:t xml:space="preserve">exchange) informs later chapters’ distinction between a protocol’s</w:t>
        </w:r>
        <w:r>
          <w:t xml:space="preserve"> </w:t>
        </w:r>
        <w:r>
          <w:t xml:space="preserve">“constitutional layer”</w:t>
        </w:r>
        <w:r>
          <w:t xml:space="preserve"> </w:t>
        </w:r>
        <w:r>
          <w:t xml:space="preserve">(hard-to-change constraints) and</w:t>
        </w:r>
        <w:r>
          <w:t xml:space="preserve"> </w:t>
        </w:r>
        <w:r>
          <w:t xml:space="preserve">“policy</w:t>
        </w:r>
        <w:r>
          <w:t xml:space="preserve"> </w:t>
        </w:r>
        <w:r>
          <w:t xml:space="preserve">layer”</w:t>
        </w:r>
        <w:r>
          <w:t xml:space="preserve"> </w:t>
        </w:r>
        <w:r>
          <w:t xml:space="preserve">(adjustable parameters).</w:t>
        </w:r>
      </w:ins>
    </w:p>
    <w:bookmarkEnd w:id="44"/>
    <w:bookmarkStart w:id="45" w:name="ostrom-and-polycentricity"/>
    <w:p>
      <w:ins w:id="10095" w:author="R2 Revision" w:date="2026-05-19T00:00:00Z">
        <w:pPr>
          <w:pStyle w:val="Heading3"/>
        </w:pPr>
        <w:r>
          <w:t xml:space="preserve">2.6.2 Ostrom and Polycentricity</w:t>
        </w:r>
      </w:ins>
    </w:p>
    <w:p>
      <w:ins w:id="10096" w:author="R2 Revision" w:date="2026-05-19T00:00:00Z">
        <w:pPr>
          <w:pStyle w:val="FirstParagraph"/>
        </w:pPr>
        <w:r>
          <w:t xml:space="preserve">Ostrom’s (1990) work provides one of the strongest empirical foundations</w:t>
        </w:r>
        <w:r>
          <w:t xml:space="preserve"> </w:t>
        </w:r>
        <w:r>
          <w:t xml:space="preserve">for governance of commons and public service industries, building on</w:t>
        </w:r>
        <w:r>
          <w:t xml:space="preserve"> </w:t>
        </w:r>
        <w:r>
          <w:t xml:space="preserve">and overturning Hardin’s (1968)</w:t>
        </w:r>
        <w:r>
          <w:t xml:space="preserve"> </w:t>
        </w:r>
        <w:r>
          <w:t xml:space="preserve">“tragedy of the commons”</w:t>
        </w:r>
        <w:r>
          <w:t xml:space="preserve"> </w:t>
        </w:r>
        <w:r>
          <w:t xml:space="preserve">by documenting</w:t>
        </w:r>
        <w:r>
          <w:t xml:space="preserve"> </w:t>
        </w:r>
        <w:r>
          <w:t xml:space="preserve">sustained commons-management institutions that avoid both privatization</w:t>
        </w:r>
        <w:r>
          <w:t xml:space="preserve"> </w:t>
        </w:r>
        <w:r>
          <w:t xml:space="preserve">and centralized state control. Her concept of polycentric governance</w:t>
        </w:r>
        <w:r>
          <w:t xml:space="preserve"> </w:t>
        </w:r>
        <w:r>
          <w:t xml:space="preserve">emphasizes multiple overlapping decision centers, local experimentation,</w:t>
        </w:r>
        <w:r>
          <w:t xml:space="preserve"> </w:t>
        </w:r>
        <w:r>
          <w:t xml:space="preserve">and rule diversity. Ostrom’s AER article</w:t>
        </w:r>
        <w:r>
          <w:t xml:space="preserve"> </w:t>
        </w:r>
        <w:r>
          <w:t xml:space="preserve">explicitly characterizes polycentric systems as alternatives to the</w:t>
        </w:r>
        <w:r>
          <w:t xml:space="preserve"> </w:t>
        </w:r>
        <w:r>
          <w:t xml:space="preserve">binary</w:t>
        </w:r>
        <w:r>
          <w:t xml:space="preserve"> </w:t>
        </w:r>
        <w:r>
          <w:t xml:space="preserve">“market vs state”</w:t>
        </w:r>
        <w:r>
          <w:t xml:space="preserve"> </w:t>
        </w:r>
        <w:r>
          <w:t xml:space="preserve">framing, offering an analytical framework for</w:t>
        </w:r>
        <w:r>
          <w:t xml:space="preserve"> </w:t>
        </w:r>
        <w:r>
          <w:t xml:space="preserve">complex economic systems with multi-level governance. Van Vulpen and</w:t>
        </w:r>
        <w:r>
          <w:t xml:space="preserve"> </w:t>
        </w:r>
        <w:r>
          <w:t xml:space="preserve">Jansen (2023) map Ostrom’s eight design principles to DAO governance</w:t>
        </w:r>
        <w:r>
          <w:t xml:space="preserve"> </w:t>
        </w:r>
        <w:r>
          <w:t xml:space="preserve">structures, providing a standardized evaluation framework for collective</w:t>
        </w:r>
        <w:r>
          <w:t xml:space="preserve"> </w:t>
        </w:r>
        <w:r>
          <w:t xml:space="preserve">action sustainability; the scoring rubric developed here (Table 1)</w:t>
        </w:r>
        <w:r>
          <w:t xml:space="preserve"> </w:t>
        </w:r>
        <w:r>
          <w:t xml:space="preserve">extends their mapping by adding four non-Ostromian traditions and</w:t>
        </w:r>
        <w:r>
          <w:t xml:space="preserve"> </w:t>
        </w:r>
        <w:r>
          <w:t xml:space="preserve">operationalizing the resulting criteria through quantitative governance</w:t>
        </w:r>
        <w:r>
          <w:t xml:space="preserve"> </w:t>
        </w:r>
        <w:r>
          <w:t xml:space="preserve">concentration data. Li and Chen (2024) conceptualize DAOs as collective</w:t>
        </w:r>
        <w:r>
          <w:t xml:space="preserve"> </w:t>
        </w:r>
        <w:r>
          <w:t xml:space="preserve">stewards of digital commons, adapting Ostrom’s design principles to</w:t>
        </w:r>
        <w:r>
          <w:t xml:space="preserve"> </w:t>
        </w:r>
        <w:r>
          <w:t xml:space="preserve">emphasize equitable distribution of decision-making authority; the</w:t>
        </w:r>
        <w:r>
          <w:t xml:space="preserve"> </w:t>
        </w:r>
        <w:r>
          <w:t xml:space="preserve">governance concentration data in Section 3 test whether operating</w:t>
        </w:r>
        <w:r>
          <w:t xml:space="preserve"> </w:t>
        </w:r>
        <w:r>
          <w:t xml:space="preserve">protocols achieve the distributional outcomes this framing requires. De</w:t>
        </w:r>
        <w:r>
          <w:t xml:space="preserve"> </w:t>
        </w:r>
        <w:r>
          <w:t xml:space="preserve">Filippi et al. (2024) analyze overlapping decision-making structures in</w:t>
        </w:r>
        <w:r>
          <w:t xml:space="preserve"> </w:t>
        </w:r>
        <w:r>
          <w:t xml:space="preserve">blockchain systems through Ostrom’s polycentricity framework,</w:t>
        </w:r>
        <w:r>
          <w:t xml:space="preserve"> </w:t>
        </w:r>
        <w:r>
          <w:t xml:space="preserve">identifying structure, process, and outcome dimensions that map onto the</w:t>
        </w:r>
        <w:r>
          <w:t xml:space="preserve"> </w:t>
        </w:r>
        <w:r>
          <w:t xml:space="preserve">governance concentration, delegation, and participation metrics measured</w:t>
        </w:r>
        <w:r>
          <w:t xml:space="preserve"> </w:t>
        </w:r>
        <w:r>
          <w:t xml:space="preserve">here.</w:t>
        </w:r>
      </w:ins>
    </w:p>
    <w:p>
      <w:ins w:id="10097" w:author="R2 Revision" w:date="2026-05-19T00:00:00Z">
        <w:pPr>
          <w:pStyle w:val="BodyText"/>
        </w:pPr>
        <w:r>
          <w:t xml:space="preserve">Polycentricity (Ostrom, 1990) is particularly salient for DePIN, where</w:t>
        </w:r>
        <w:r>
          <w:t xml:space="preserve"> </w:t>
        </w:r>
        <w:r>
          <w:t xml:space="preserve">service conditions differ across geography and where local knowledge is</w:t>
        </w:r>
        <w:r>
          <w:t xml:space="preserve"> </w:t>
        </w:r>
        <w:r>
          <w:t xml:space="preserve">crucial for operational decisions. The paper later proposes polycentric</w:t>
        </w:r>
        <w:r>
          <w:t xml:space="preserve"> </w:t>
        </w:r>
        <w:r>
          <w:t xml:space="preserve">sub-DAOs/councils as governance primitives for range-based or</w:t>
        </w:r>
        <w:r>
          <w:t xml:space="preserve"> </w:t>
        </w:r>
        <w:r>
          <w:t xml:space="preserve">region-based tuning.</w:t>
        </w:r>
      </w:ins>
    </w:p>
    <w:bookmarkEnd w:id="45"/>
    <w:bookmarkEnd w:id="46"/>
    <w:bookmarkStart w:id="47" w:name="Xd0adb4b9a2eb2992bd6cd51232a3cb98c3ff28e"/>
    <w:p>
      <w:ins w:id="10098" w:author="R2 Revision" w:date="2026-05-19T00:00:00Z">
        <w:pPr>
          <w:pStyle w:val="Heading2"/>
        </w:pPr>
        <w:r>
          <w:t xml:space="preserve">2.7 Political Philosophy as Legitimacy Specification</w:t>
        </w:r>
      </w:ins>
    </w:p>
    <w:p>
      <w:ins w:id="10099" w:author="R2 Revision" w:date="2026-05-19T00:00:00Z">
        <w:pPr>
          <w:pStyle w:val="FirstParagraph"/>
        </w:pPr>
        <w:r>
          <w:t xml:space="preserve">Five normative traditions constrain how legitimate institutional design</w:t>
        </w:r>
        <w:r>
          <w:t xml:space="preserve"> </w:t>
        </w:r>
        <w:r>
          <w:t xml:space="preserve">should look. These are the five traditions operationalized in Table 1</w:t>
        </w:r>
        <w:r>
          <w:t xml:space="preserve"> </w:t>
        </w:r>
        <w:r>
          <w:t xml:space="preserve">and aggregated into the Synergy Index introduced in Section 2.10.6.</w:t>
        </w:r>
      </w:ins>
    </w:p>
    <w:p>
      <w:ins w:id="10100" w:author="R2 Revision" w:date="2026-05-19T00:00:00Z">
        <w:pPr>
          <w:pStyle w:val="BodyText"/>
        </w:pPr>
        <w:r>
          <w:t xml:space="preserve">Kant’s (1785/1997) publicity principle holds that political maxims must</w:t>
        </w:r>
        <w:r>
          <w:t xml:space="preserve"> </w:t>
        </w:r>
        <w:r>
          <w:t xml:space="preserve">be capable of public avowal, meaning the rules a system operates under</w:t>
        </w:r>
        <w:r>
          <w:t xml:space="preserve"> </w:t>
        </w:r>
        <w:r>
          <w:t xml:space="preserve">must be statable in a form that everyone subject to them could in</w:t>
        </w:r>
        <w:r>
          <w:t xml:space="preserve"> </w:t>
        </w:r>
        <w:r>
          <w:t xml:space="preserve">principle accept, and that coercion (slashing, bans, parameter changes)</w:t>
        </w:r>
        <w:r>
          <w:t xml:space="preserve"> </w:t>
        </w:r>
        <w:r>
          <w:t xml:space="preserve">is legitimate only when grounded in transparent and non-arbitrary rules.</w:t>
        </w:r>
      </w:ins>
    </w:p>
    <w:p>
      <w:ins w:id="10101" w:author="R2 Revision" w:date="2026-05-19T00:00:00Z">
        <w:pPr>
          <w:pStyle w:val="BodyText"/>
        </w:pPr>
        <w:r>
          <w:t xml:space="preserve">Rawls’s (1971; 1993) theory of justice supplies the second lens</w:t>
        </w:r>
        <w:r>
          <w:t xml:space="preserve"> </w:t>
        </w:r>
        <w:r>
          <w:t xml:space="preserve">through the difference principle (inequalities must improve the</w:t>
        </w:r>
        <w:r>
          <w:t xml:space="preserve"> </w:t>
        </w:r>
        <w:r>
          <w:t xml:space="preserve">position of the least advantaged) and the liberal principle of</w:t>
        </w:r>
        <w:r>
          <w:t xml:space="preserve"> </w:t>
        </w:r>
        <w:r>
          <w:t xml:space="preserve">legitimacy (rules should be defensible under public reason); in</w:t>
        </w:r>
        <w:r>
          <w:t xml:space="preserve"> </w:t>
        </w:r>
        <w:r>
          <w:t xml:space="preserve">tokenized systems this lens scores floor-raising mechanisms that</w:t>
        </w:r>
        <w:r>
          <w:t xml:space="preserve"> </w:t>
        </w:r>
        <w:r>
          <w:t xml:space="preserve">protect smaller participants from being structurally disadvantaged by</w:t>
        </w:r>
        <w:r>
          <w:t xml:space="preserve"> </w:t>
        </w:r>
        <w:r>
          <w:t xml:space="preserve">allocation, distribution, or governance designs.</w:t>
        </w:r>
      </w:ins>
    </w:p>
    <w:p>
      <w:ins w:id="10102" w:author="R2 Revision" w:date="2026-05-19T00:00:00Z">
        <w:pPr>
          <w:pStyle w:val="BodyText"/>
        </w:pPr>
        <w:r>
          <w:t xml:space="preserve">Republican freedom as non-domination (Pettit 1997, building on</w:t>
        </w:r>
        <w:r>
          <w:t xml:space="preserve"> </w:t>
        </w:r>
        <w:r>
          <w:t xml:space="preserve">Skinner’s 1998 historical recovery of the neo-Roman tradition of</w:t>
        </w:r>
        <w:r>
          <w:t xml:space="preserve"> </w:t>
        </w:r>
        <w:r>
          <w:t xml:space="preserve">civic-republican political thought; Stanford Encyclopedia of Philosophy</w:t>
        </w:r>
        <w:r>
          <w:t xml:space="preserve"> </w:t>
        </w:r>
        <w:r>
          <w:t xml:space="preserve">2025) reframes legitimacy as protection against arbitrary power rather</w:t>
        </w:r>
        <w:r>
          <w:t xml:space="preserve"> </w:t>
        </w:r>
        <w:r>
          <w:t xml:space="preserve">than mere non-interference: a person is free to the extent that no</w:t>
        </w:r>
        <w:r>
          <w:t xml:space="preserve"> </w:t>
        </w:r>
        <w:r>
          <w:t xml:space="preserve">other agent (the state, an employer, a protocol foundation) has the</w:t>
        </w:r>
        <w:r>
          <w:t xml:space="preserve"> </w:t>
        </w:r>
        <w:r>
          <w:t xml:space="preserve">capacity to interfere with them arbitrarily, even if such interference</w:t>
        </w:r>
        <w:r>
          <w:t xml:space="preserve"> </w:t>
        </w:r>
        <w:r>
          <w:t xml:space="preserve">is not currently being exercised. Pettit positions non-domination as</w:t>
        </w:r>
        <w:r>
          <w:t xml:space="preserve"> </w:t>
        </w:r>
        <w:r>
          <w:t xml:space="preserve">orthogonal to Berlin’s (1958) negative and positive liberty: it is</w:t>
        </w:r>
        <w:r>
          <w:t xml:space="preserve"> </w:t>
        </w:r>
        <w:r>
          <w:t xml:space="preserve">neither pure non-interference (Berlin’s negative liberty, which fails</w:t>
        </w:r>
        <w:r>
          <w:t xml:space="preserve"> </w:t>
        </w:r>
        <w:r>
          <w:t xml:space="preserve">to capture the freedom-cost of being subject to arbitrary power even</w:t>
        </w:r>
        <w:r>
          <w:t xml:space="preserve"> </w:t>
        </w:r>
        <w:r>
          <w:t xml:space="preserve">when interference is not exercised) nor pure self-mastery (Berlin’s</w:t>
        </w:r>
        <w:r>
          <w:t xml:space="preserve"> </w:t>
        </w:r>
        <w:r>
          <w:t xml:space="preserve">positive liberty); republican freedom is the structural condition of</w:t>
        </w:r>
        <w:r>
          <w:t xml:space="preserve"> </w:t>
        </w:r>
        <w:r>
          <w:t xml:space="preserve">not being subject to arbitrary will, distinct from both Berlin</w:t>
        </w:r>
        <w:r>
          <w:t xml:space="preserve"> </w:t>
        </w:r>
        <w:r>
          <w:t xml:space="preserve">categories. Pettit distinguishes the freedom-state (non-domination:</w:t>
        </w:r>
        <w:r>
          <w:t xml:space="preserve"> </w:t>
        </w:r>
        <w:r>
          <w:t xml:space="preserve">absence of capacity for arbitrary interference) from the institutional</w:t>
        </w:r>
        <w:r>
          <w:t xml:space="preserve"> </w:t>
        </w:r>
        <w:r>
          <w:t xml:space="preserve">mechanism that secures it (contestability: the structured ability to</w:t>
        </w:r>
        <w:r>
          <w:t xml:space="preserve"> </w:t>
        </w:r>
        <w:r>
          <w:t xml:space="preserve">challenge governance decisions through appeals, oversight, and bounded</w:t>
        </w:r>
        <w:r>
          <w:t xml:space="preserve"> </w:t>
        </w:r>
        <w:r>
          <w:t xml:space="preserve">enforcement discretion). The framework in Section 2.9 operationalizes</w:t>
        </w:r>
        <w:r>
          <w:t xml:space="preserve"> </w:t>
        </w:r>
        <w:r>
          <w:t xml:space="preserve">the contestability mechanism in Table 1 and identifies non-domination</w:t>
        </w:r>
        <w:r>
          <w:t xml:space="preserve"> </w:t>
        </w:r>
        <w:r>
          <w:t xml:space="preserve">as the goal-state contestability is designed to produce; both concepts</w:t>
        </w:r>
        <w:r>
          <w:t xml:space="preserve"> </w:t>
        </w:r>
        <w:r>
          <w:t xml:space="preserve">appear in this paper’s discussion, with the distinction maintained per</w:t>
        </w:r>
        <w:r>
          <w:t xml:space="preserve"> </w:t>
        </w:r>
        <w:r>
          <w:t xml:space="preserve">Pettit’s framework.</w:t>
        </w:r>
      </w:ins>
    </w:p>
    <w:p>
      <w:ins w:id="10103" w:author="R2 Revision" w:date="2026-05-19T00:00:00Z">
        <w:pPr>
          <w:pStyle w:val="BodyText"/>
        </w:pPr>
        <w:r>
          <w:t xml:space="preserve">Ostrom’s (1990) polycentric governance framework supplies the fourth</w:t>
        </w:r>
        <w:r>
          <w:t xml:space="preserve"> </w:t>
        </w:r>
        <w:r>
          <w:t xml:space="preserve">lens: complex coordination problems are best addressed by multiple</w:t>
        </w:r>
        <w:r>
          <w:t xml:space="preserve"> </w:t>
        </w:r>
        <w:r>
          <w:t xml:space="preserve">overlapping decision-centers with local autonomy rather than by a</w:t>
        </w:r>
        <w:r>
          <w:t xml:space="preserve"> </w:t>
        </w:r>
        <w:r>
          <w:t xml:space="preserve">single central authority. Section 2.6.2 develops this tradition; the</w:t>
        </w:r>
        <w:r>
          <w:t xml:space="preserve"> </w:t>
        </w:r>
        <w:r>
          <w:t xml:space="preserve">operational scoring in Table 1 rewards protocols with nested</w:t>
        </w:r>
        <w:r>
          <w:t xml:space="preserve"> </w:t>
        </w:r>
        <w:r>
          <w:t xml:space="preserve">decision-centers (e.g., sub-DAOs, councils, region-specific working</w:t>
        </w:r>
        <w:r>
          <w:t xml:space="preserve"> </w:t>
        </w:r>
        <w:r>
          <w:t xml:space="preserve">groups) that exercise meaningful local authority.</w:t>
        </w:r>
      </w:ins>
    </w:p>
    <w:p>
      <w:ins w:id="10104" w:author="R2 Revision" w:date="2026-05-19T00:00:00Z">
        <w:pPr>
          <w:pStyle w:val="BodyText"/>
        </w:pPr>
        <w:r>
          <w:t xml:space="preserve">Hayek’s (1945)</w:t>
        </w:r>
        <w:r>
          <w:t xml:space="preserve"> </w:t>
        </w:r>
        <w:r>
          <w:t xml:space="preserve">“Use of Knowledge in Society”</w:t>
        </w:r>
        <w:r>
          <w:t xml:space="preserve"> </w:t>
        </w:r>
        <w:r>
          <w:t xml:space="preserve">argues that dispersed</w:t>
        </w:r>
        <w:r>
          <w:t xml:space="preserve"> </w:t>
        </w:r>
        <w:r>
          <w:t xml:space="preserve">local information cannot be replicated by centralized planning,</w:t>
        </w:r>
        <w:r>
          <w:t xml:space="preserve"> </w:t>
        </w:r>
        <w:r>
          <w:t xml:space="preserve">providing both a critique of static parameter-setting and a positive</w:t>
        </w:r>
        <w:r>
          <w:t xml:space="preserve"> </w:t>
        </w:r>
        <w:r>
          <w:t xml:space="preserve">case for governance designs that incorporate edge-level signals (e.g.,</w:t>
        </w:r>
        <w:r>
          <w:t xml:space="preserve"> </w:t>
        </w:r>
        <w:r>
          <w:t xml:space="preserve">demand-coupled emission mechanisms, price-signal-driven parameter</w:t>
        </w:r>
        <w:r>
          <w:t xml:space="preserve"> </w:t>
        </w:r>
        <w:r>
          <w:t xml:space="preserve">updates).</w:t>
        </w:r>
      </w:ins>
    </w:p>
    <w:p>
      <w:ins w:id="10105" w:author="R2 Revision" w:date="2026-05-19T00:00:00Z">
        <w:pPr>
          <w:pStyle w:val="BodyText"/>
        </w:pPr>
        <w:r>
          <w:t xml:space="preserve">These five traditions are not isolated lenses but complementary</w:t>
        </w:r>
        <w:r>
          <w:t xml:space="preserve"> </w:t>
        </w:r>
        <w:r>
          <w:t xml:space="preserve">specifications of legitimacy, jointly defining the design constraints</w:t>
        </w:r>
        <w:r>
          <w:t xml:space="preserve"> </w:t>
        </w:r>
        <w:r>
          <w:t xml:space="preserve">the framework operationalizes in Section 2.9 and the scoring rubric</w:t>
        </w:r>
        <w:r>
          <w:t xml:space="preserve"> </w:t>
        </w:r>
        <w:r>
          <w:t xml:space="preserve">in Table 1. Section 2.9.6 documents the inter-lens dependencies (e.g.,</w:t>
        </w:r>
        <w:r>
          <w:t xml:space="preserve"> </w:t>
        </w:r>
        <w:r>
          <w:t xml:space="preserve">publicity enables contestability; polycentricity enables knowledge-use)</w:t>
        </w:r>
        <w:r>
          <w:t xml:space="preserve"> </w:t>
        </w:r>
        <w:r>
          <w:t xml:space="preserve">that make joint satisfaction load-bearing for the framework’s</w:t>
        </w:r>
        <w:r>
          <w:t xml:space="preserve"> </w:t>
        </w:r>
        <w:r>
          <w:t xml:space="preserve">legitimacy claims.</w:t>
        </w:r>
      </w:ins>
    </w:p>
    <w:p>
      <w:ins w:id="10106" w:author="R2 Revision" w:date="2026-05-19T00:00:00Z">
        <w:pPr>
          <w:pStyle w:val="BodyText"/>
        </w:pPr>
        <w:r>
          <w:t xml:space="preserve">Three additional philosophical traditions inform the framework but are</w:t>
        </w:r>
        <w:r>
          <w:t xml:space="preserve"> </w:t>
        </w:r>
        <w:r>
          <w:t xml:space="preserve">reserved for future operationalization (Section 2.10.6; Section 4.8</w:t>
        </w:r>
        <w:r>
          <w:t xml:space="preserve"> </w:t>
        </w:r>
        <w:r>
          <w:t xml:space="preserve">limitations) due to non-comparable cross-protocol measurement</w:t>
        </w:r>
        <w:r>
          <w:t xml:space="preserve"> </w:t>
        </w:r>
        <w:r>
          <w:t xml:space="preserve">requirements at the current sample size. The capability approach (Sen,</w:t>
        </w:r>
        <w:r>
          <w:t xml:space="preserve"> </w:t>
        </w:r>
        <w:r>
          <w:t xml:space="preserve">1999; Nussbaum, 2011) evaluates social arrangements not by aggregate</w:t>
        </w:r>
        <w:r>
          <w:t xml:space="preserve"> </w:t>
        </w:r>
        <w:r>
          <w:t xml:space="preserve">output but by the substantive opportunities individuals have to</w:t>
        </w:r>
        <w:r>
          <w:t xml:space="preserve"> </w:t>
        </w:r>
        <w:r>
          <w:t xml:space="preserve">achieve valued doings and beings, a frame Yanaka and Heeks (2023)</w:t>
        </w:r>
        <w:r>
          <w:t xml:space="preserve"> </w:t>
        </w:r>
        <w:r>
          <w:t xml:space="preserve">extend to digital platform labor and which applies directly to DePIN</w:t>
        </w:r>
        <w:r>
          <w:t xml:space="preserve"> </w:t>
        </w:r>
        <w:r>
          <w:t xml:space="preserve">operators whose hardware lock-in constrains exit options. The</w:t>
        </w:r>
        <w:r>
          <w:t xml:space="preserve"> </w:t>
        </w:r>
        <w:r>
          <w:t xml:space="preserve">contextual-integrity framing (Nissenbaum, 2010) treats appropriate</w:t>
        </w:r>
        <w:r>
          <w:t xml:space="preserve"> </w:t>
        </w:r>
        <w:r>
          <w:t xml:space="preserve">information flow as governed by context-specific norms, extended by</w:t>
        </w:r>
        <w:r>
          <w:t xml:space="preserve"> </w:t>
        </w:r>
        <w:r>
          <w:t xml:space="preserve">Floridi (2013) into a broader information ethics; together with the</w:t>
        </w:r>
        <w:r>
          <w:t xml:space="preserve"> </w:t>
        </w:r>
        <w:r>
          <w:t xml:space="preserve">capability approach these underwrite the design claim that token</w:t>
        </w:r>
        <w:r>
          <w:t xml:space="preserve"> </w:t>
        </w:r>
        <w:r>
          <w:t xml:space="preserve">systems relying on ever-expanding telemetry risk becoming disciplinary</w:t>
        </w:r>
        <w:r>
          <w:t xml:space="preserve"> </w:t>
        </w:r>
        <w:r>
          <w:t xml:space="preserve">infrastructures unless constrained by contextual integrity and</w:t>
        </w:r>
        <w:r>
          <w:t xml:space="preserve"> </w:t>
        </w:r>
        <w:r>
          <w:t xml:space="preserve">proportionality. Cosmopolitan justice (Beitz, 1979; Pogge, 2002)</w:t>
        </w:r>
        <w:r>
          <w:t xml:space="preserve"> </w:t>
        </w:r>
        <w:r>
          <w:t xml:space="preserve">extends fairness reasoning to transnational scope, salient for</w:t>
        </w:r>
        <w:r>
          <w:t xml:space="preserve"> </w:t>
        </w:r>
        <w:r>
          <w:t xml:space="preserve">borderless tokenized institutions but requiring jurisdiction-aware</w:t>
        </w:r>
        <w:r>
          <w:t xml:space="preserve"> </w:t>
        </w:r>
        <w:r>
          <w:t xml:space="preserve">measurement infrastructure that the present cross-section does not</w:t>
        </w:r>
        <w:r>
          <w:t xml:space="preserve"> </w:t>
        </w:r>
        <w:r>
          <w:t xml:space="preserve">support.</w:t>
        </w:r>
      </w:ins>
    </w:p>
    <w:bookmarkEnd w:id="47"/>
    <w:bookmarkStart w:id="48" w:name="synthesis-and-research-gap"/>
    <w:p>
      <w:ins w:id="10107" w:author="R2 Revision" w:date="2026-05-19T00:00:00Z">
        <w:pPr>
          <w:pStyle w:val="Heading2"/>
        </w:pPr>
        <w:r>
          <w:t xml:space="preserve">2.8 Synthesis and Research Gap</w:t>
        </w:r>
      </w:ins>
    </w:p>
    <w:p>
      <w:ins w:id="10108" w:author="R2 Revision" w:date="2026-05-19T00:00:00Z">
        <w:pPr>
          <w:pStyle w:val="FirstParagraph"/>
        </w:pPr>
        <w:r>
          <w:t xml:space="preserve">Across economics, computer science, political philosophy, and</w:t>
        </w:r>
        <w:r>
          <w:t xml:space="preserve"> </w:t>
        </w:r>
        <w:r>
          <w:t xml:space="preserve">institutional analysis, a shared conclusion emerges: tokenized systems</w:t>
        </w:r>
        <w:r>
          <w:t xml:space="preserve"> </w:t>
        </w:r>
        <w:r>
          <w:t xml:space="preserve">create constitutions and policies in code (Werner et al., 2022). Yet</w:t>
        </w:r>
        <w:r>
          <w:t xml:space="preserve"> </w:t>
        </w:r>
        <w:r>
          <w:t xml:space="preserve">existing literature rarely provides a unified framework linking (i)</w:t>
        </w:r>
        <w:r>
          <w:t xml:space="preserve"> </w:t>
        </w:r>
        <w:r>
          <w:t xml:space="preserve">philosophical legitimacy constraints, (ii) tokenomics mechanism design,</w:t>
        </w:r>
        <w:r>
          <w:t xml:space="preserve"> </w:t>
        </w:r>
        <w:r>
          <w:t xml:space="preserve">and (iii) measurable outcomes in sustainability, governance quality,</w:t>
        </w:r>
        <w:r>
          <w:t xml:space="preserve"> </w:t>
        </w:r>
        <w:r>
          <w:t xml:space="preserve">resilience, and social welfare.</w:t>
        </w:r>
      </w:ins>
    </w:p>
    <w:p>
      <w:ins w:id="10109" w:author="R2 Revision" w:date="2026-05-19T00:00:00Z">
        <w:pPr>
          <w:pStyle w:val="BodyText"/>
        </w:pPr>
        <w:r>
          <w:t xml:space="preserve">The contribution is threefold:</w:t>
        </w:r>
      </w:ins>
    </w:p>
    <w:p>
      <w:ins w:id="10110" w:author="R2 Revision" w:date="2026-05-19T00:00:00Z">
        <w:pPr>
          <w:pStyle w:val="BodyText"/>
        </w:pPr>
        <w:r>
          <w:t xml:space="preserve">an exclusion methodology (Section 3.2) that identifies 126 addresses</w:t>
        </w:r>
        <w:r>
          <w:t xml:space="preserve"> </w:t>
        </w:r>
        <w:r>
          <w:t xml:space="preserve">controlled by protocols themselves but appearing on holder lists,</w:t>
        </w:r>
        <w:r>
          <w:t xml:space="preserve"> </w:t>
        </w:r>
        <w:r>
          <w:t xml:space="preserve">correcting a measurement artifact in prior work,</w:t>
        </w:r>
      </w:ins>
    </w:p>
    <w:p>
      <w:ins w:id="10111" w:author="R2 Revision" w:date="2026-05-19T00:00:00Z">
        <w:pPr>
          <w:pStyle w:val="BodyText"/>
        </w:pPr>
        <w:r>
          <w:t xml:space="preserve">a cross-sector analysis (Section 3) documenting that sector membership</w:t>
        </w:r>
        <w:r>
          <w:t xml:space="preserve"> </w:t>
        </w:r>
        <w:r>
          <w:t xml:space="preserve">predicts concentration after adjusting for protocol age, valuation, and</w:t>
        </w:r>
        <w:r>
          <w:t xml:space="preserve"> </w:t>
        </w:r>
        <w:r>
          <w:t xml:space="preserve">insider allocation, while initial allocation, maturity, and subsidy</w:t>
        </w:r>
        <w:r>
          <w:t xml:space="preserve"> </w:t>
        </w:r>
        <w:r>
          <w:t xml:space="preserve">intensity do not, and</w:t>
        </w:r>
      </w:ins>
    </w:p>
    <w:p>
      <w:ins w:id="10112" w:author="R2 Revision" w:date="2026-05-19T00:00:00Z">
        <w:pPr>
          <w:pStyle w:val="BodyText"/>
        </w:pPr>
        <w:r>
          <w:t xml:space="preserve">a normative framework (Sections 2.9–2.10) translating five</w:t>
        </w:r>
        <w:r>
          <w:t xml:space="preserve"> </w:t>
        </w:r>
        <w:r>
          <w:t xml:space="preserve">political-philosophical traditions into observable design criteria</w:t>
        </w:r>
        <w:r>
          <w:t xml:space="preserve"> </w:t>
        </w:r>
        <w:r>
          <w:t xml:space="preserve">through a scoring rubric that other researchers can apply.</w:t>
        </w:r>
      </w:ins>
    </w:p>
    <w:bookmarkEnd w:id="48"/>
    <w:bookmarkStart w:id="61" w:name="theoretical-framework"/>
    <w:p>
      <w:ins w:id="10113" w:author="R2 Revision" w:date="2026-05-19T00:00:00Z">
        <w:pPr>
          <w:pStyle w:val="Heading2"/>
        </w:pPr>
        <w:r>
          <w:t xml:space="preserve">2.9 Theoretical Framework</w:t>
        </w:r>
      </w:ins>
    </w:p>
    <w:bookmarkStart w:id="49" w:name="Xfc461cfb48e0f1d70c5c42657d6f0cea3ab1e36"/>
    <w:p>
      <w:ins w:id="10114" w:author="R2 Revision" w:date="2026-05-19T00:00:00Z">
        <w:pPr>
          <w:pStyle w:val="Heading3"/>
        </w:pPr>
        <w:r>
          <w:t xml:space="preserve">2.9.1 Tokenomics as Applied Political Philosophy</w:t>
        </w:r>
      </w:ins>
    </w:p>
    <w:p>
      <w:ins w:id="10115" w:author="R2 Revision" w:date="2026-05-19T00:00:00Z">
        <w:pPr>
          <w:pStyle w:val="FirstParagraph"/>
        </w:pPr>
        <w:r>
          <w:t xml:space="preserve">Tokenomics is a political-constitutional problem, implicit in protocol</w:t>
        </w:r>
        <w:r>
          <w:t xml:space="preserve"> </w:t>
        </w:r>
        <w:r>
          <w:t xml:space="preserve">debates but rarely formalized. Token systems allocate:</w:t>
        </w:r>
      </w:ins>
    </w:p>
    <w:p>
      <w:ins w:id="10116" w:author="R2 Revision" w:date="2026-05-19T00:00:00Z">
        <w:pPr>
          <w:pStyle w:val="BodyText"/>
        </w:pPr>
        <w:r>
          <w:rPr>
            <w:b/>
            <w:bCs/>
          </w:rPr>
          <w:t xml:space="preserve">rights</w:t>
        </w:r>
        <w:r>
          <w:t xml:space="preserve"> </w:t>
        </w:r>
        <w:r>
          <w:t xml:space="preserve">(access, governance influence, reward eligibility),</w:t>
        </w:r>
      </w:ins>
    </w:p>
    <w:p>
      <w:ins w:id="10117" w:author="R2 Revision" w:date="2026-05-19T00:00:00Z">
        <w:pPr>
          <w:pStyle w:val="BodyText"/>
        </w:pPr>
        <w:r>
          <w:rPr>
            <w:b/>
            <w:bCs/>
          </w:rPr>
          <w:t xml:space="preserve">duties</w:t>
        </w:r>
        <w:r>
          <w:t xml:space="preserve"> </w:t>
        </w:r>
        <w:r>
          <w:t xml:space="preserve">(staking requirements, performance obligations, compliance</w:t>
        </w:r>
        <w:r>
          <w:t xml:space="preserve"> </w:t>
        </w:r>
        <w:r>
          <w:t xml:space="preserve">burdens), resources (rewards, treasury allocations), and sanctions</w:t>
        </w:r>
        <w:r>
          <w:t xml:space="preserve"> </w:t>
        </w:r>
        <w:r>
          <w:t xml:space="preserve">(slashing conditions, enforcement procedures, dispute resolution).</w:t>
        </w:r>
      </w:ins>
    </w:p>
    <w:p>
      <w:ins w:id="10118" w:author="R2 Revision" w:date="2026-05-19T00:00:00Z">
        <w:pPr>
          <w:pStyle w:val="BodyText"/>
        </w:pPr>
        <w:r>
          <w:t xml:space="preserve">The philosophical question -</w:t>
        </w:r>
        <w:r>
          <w:t xml:space="preserve"> </w:t>
        </w:r>
        <w:r>
          <w:t xml:space="preserve">“What makes a rule system legitimate?”</w:t>
        </w:r>
        <w:r>
          <w:t xml:space="preserve"> </w:t>
        </w:r>
        <w:r>
          <w:t xml:space="preserve">-</w:t>
        </w:r>
        <w:r>
          <w:t xml:space="preserve"> </w:t>
        </w:r>
        <w:r>
          <w:t xml:space="preserve">therefore becomes an engineering question:</w:t>
        </w:r>
        <w:r>
          <w:t xml:space="preserve"> </w:t>
        </w:r>
        <w:r>
          <w:t xml:space="preserve">“What mechanism properties</w:t>
        </w:r>
        <w:r>
          <w:t xml:space="preserve"> </w:t>
        </w:r>
        <w:r>
          <w:t xml:space="preserve">produce legitimacy under adversarial conditions and pluralistic values?”</w:t>
        </w:r>
      </w:ins>
    </w:p>
    <w:p>
      <w:ins w:id="10119" w:author="R2 Revision" w:date="2026-05-19T00:00:00Z">
        <w:pPr>
          <w:pStyle w:val="BodyText"/>
        </w:pPr>
        <w:r>
          <w:t xml:space="preserve">To integrate cross-disciplinary perspectives, the framework</w:t>
        </w:r>
        <w:r>
          <w:t xml:space="preserve"> </w:t>
        </w:r>
        <w:r>
          <w:t xml:space="preserve">distinguishes three levels:</w:t>
        </w:r>
      </w:ins>
    </w:p>
    <w:p>
      <w:ins w:id="10120" w:author="R2 Revision" w:date="2026-05-19T00:00:00Z">
        <w:pPr>
          <w:pStyle w:val="BodyText"/>
        </w:pPr>
        <w:r>
          <w:rPr>
            <w:b/>
            <w:bCs/>
          </w:rPr>
          <w:t xml:space="preserve">Normative constraints</w:t>
        </w:r>
        <w:r>
          <w:t xml:space="preserve"> </w:t>
        </w:r>
        <w:r>
          <w:t xml:space="preserve">(philosophical commitments): publicity,</w:t>
        </w:r>
        <w:r>
          <w:t xml:space="preserve"> </w:t>
        </w:r>
        <w:r>
          <w:t xml:space="preserve">non-domination, floor protection, capability enhancement, contextual</w:t>
        </w:r>
        <w:r>
          <w:t xml:space="preserve"> </w:t>
        </w:r>
        <w:r>
          <w:t xml:space="preserve">integrity.</w:t>
        </w:r>
      </w:ins>
    </w:p>
    <w:p>
      <w:ins w:id="10121" w:author="R2 Revision" w:date="2026-05-19T00:00:00Z">
        <w:pPr>
          <w:pStyle w:val="BodyText"/>
        </w:pPr>
        <w:r>
          <w:rPr>
            <w:b/>
            <w:bCs/>
          </w:rPr>
          <w:t xml:space="preserve">Institutional mechanisms</w:t>
        </w:r>
        <w:r>
          <w:t xml:space="preserve"> </w:t>
        </w:r>
        <w:r>
          <w:t xml:space="preserve">(tokenomics primitives): supply,</w:t>
        </w:r>
        <w:r>
          <w:t xml:space="preserve"> </w:t>
        </w:r>
        <w:r>
          <w:t xml:space="preserve">distribution, sinks, incentive design, governance architecture,</w:t>
        </w:r>
        <w:r>
          <w:t xml:space="preserve"> </w:t>
        </w:r>
        <w:r>
          <w:t xml:space="preserve">enforcement and appeals.</w:t>
        </w:r>
      </w:ins>
    </w:p>
    <w:p>
      <w:ins w:id="10122" w:author="R2 Revision" w:date="2026-05-19T00:00:00Z">
        <w:pPr>
          <w:pStyle w:val="BodyText"/>
        </w:pPr>
        <w:r>
          <w:rPr>
            <w:b/>
            <w:bCs/>
          </w:rPr>
          <w:t xml:space="preserve">Outcomes</w:t>
        </w:r>
        <w:r>
          <w:t xml:space="preserve">: economic sustainability, resilience, political legitimacy</w:t>
        </w:r>
        <w:r>
          <w:t xml:space="preserve"> </w:t>
        </w:r>
        <w:r>
          <w:t xml:space="preserve">(participation, contestability, concentration), and socially meaningful</w:t>
        </w:r>
        <w:r>
          <w:t xml:space="preserve"> </w:t>
        </w:r>
        <w:r>
          <w:t xml:space="preserve">gains.</w:t>
        </w:r>
      </w:ins>
    </w:p>
    <w:bookmarkEnd w:id="49"/>
    <w:bookmarkStart w:id="50" w:name="formal-definitions-and-notation"/>
    <w:p>
      <w:ins w:id="10123" w:author="R2 Revision" w:date="2026-05-19T00:00:00Z">
        <w:pPr>
          <w:pStyle w:val="Heading3"/>
        </w:pPr>
        <w:r>
          <w:t xml:space="preserve">2.9.2 Formal Definitions and Notation</w:t>
        </w:r>
      </w:ins>
    </w:p>
    <w:p>
      <w:ins w:id="10124" w:author="R2 Revision" w:date="2026-05-19T00:00:00Z">
        <w:pPr>
          <w:pStyle w:val="FirstParagraph"/>
        </w:pPr>
        <w:r>
          <w:t xml:space="preserve">Definition 1 (Sink and Faucet)</w:t>
        </w:r>
      </w:ins>
    </w:p>
    <w:p>
      <w:ins w:id="10125" w:author="R2 Revision" w:date="2026-05-19T00:00:00Z">
        <w:pPr>
          <w:pStyle w:val="BodyText"/>
        </w:pPr>
        <w:r>
          <w:t xml:space="preserve">A faucet is total net token issuance distributed as rewards or other</w:t>
        </w:r>
        <w:r>
          <w:t xml:space="preserve"> </w:t>
        </w:r>
        <w:r>
          <w:t xml:space="preserve">liquid supply increases over a given time window. A sink is any</w:t>
        </w:r>
        <w:r>
          <w:t xml:space="preserve"> </w:t>
        </w:r>
        <w:r>
          <w:t xml:space="preserve">mechanism that permanently or temporarily removes tokens from</w:t>
        </w:r>
        <w:r>
          <w:t xml:space="preserve"> </w:t>
        </w:r>
        <w:r>
          <w:t xml:space="preserve">circulation: burns, buybacks that retire tokens, or locks that reduce</w:t>
        </w:r>
        <w:r>
          <w:t xml:space="preserve"> </w:t>
        </w:r>
        <w:r>
          <w:t xml:space="preserve">tradeable supply. A system exhibits</w:t>
        </w:r>
        <w:r>
          <w:t xml:space="preserve"> </w:t>
        </w:r>
        <w:r>
          <w:t xml:space="preserve">“sink-before-faucet”</w:t>
        </w:r>
        <w:r>
          <w:t xml:space="preserve"> </w:t>
        </w:r>
        <w:r>
          <w:t xml:space="preserve">discipline when</w:t>
        </w:r>
        <w:r>
          <w:t xml:space="preserve"> </w:t>
        </w:r>
        <w:r>
          <w:t xml:space="preserve">sinks are deployed and observable before (or alongside) large-scale</w:t>
        </w:r>
        <w:r>
          <w:t xml:space="preserve"> </w:t>
        </w:r>
        <w:r>
          <w:t xml:space="preserve">faucets, providing the demand-coupling discipline that Hypothesis 3</w:t>
        </w:r>
        <w:r>
          <w:t xml:space="preserve"> </w:t>
        </w:r>
        <w:r>
          <w:t xml:space="preserve">formalizes.</w:t>
        </w:r>
      </w:ins>
    </w:p>
    <w:p>
      <w:ins w:id="10126" w:author="R2 Revision" w:date="2026-05-19T00:00:00Z">
        <w:pPr>
          <w:pStyle w:val="BodyText"/>
        </w:pPr>
        <w:r>
          <w:t xml:space="preserve">Definition 2 (Spend-to-Reward Ratio, S2R)</w:t>
        </w:r>
      </w:ins>
    </w:p>
    <w:p>
      <w:ins w:id="10127" w:author="R2 Revision" w:date="2026-05-19T00:00:00Z">
        <w:pPr>
          <w:pStyle w:val="BodyText"/>
        </w:pPr>
        <w:r>
          <w:t xml:space="preserve">The Spend-to-Reward Ratio (S2R) is the ratio of demand-side spending</w:t>
        </w:r>
        <w:r>
          <w:t xml:space="preserve"> </w:t>
        </w:r>
        <w:r>
          <w:t xml:space="preserve">(tokens removed via sinks) to supply-side issuance (tokens distributed</w:t>
        </w:r>
        <w:r>
          <w:t xml:space="preserve"> </w:t>
        </w:r>
        <w:r>
          <w:t xml:space="preserve">via faucets) over a given time window. S2R serves as a fiscal</w:t>
        </w:r>
        <w:r>
          <w:t xml:space="preserve"> </w:t>
        </w:r>
        <w:r>
          <w:t xml:space="preserve">sustainability indicator: values below 1.0 mean issuance exceeds</w:t>
        </w:r>
        <w:r>
          <w:t xml:space="preserve"> </w:t>
        </w:r>
        <w:r>
          <w:t xml:space="preserve">spending and the system is subsidy-dependent; values above 1.0 mean</w:t>
        </w:r>
        <w:r>
          <w:t xml:space="preserve"> </w:t>
        </w:r>
        <w:r>
          <w:t xml:space="preserve">spending offsets issuance and the system is demand-financed. Higher S2R</w:t>
        </w:r>
        <w:r>
          <w:t xml:space="preserve"> </w:t>
        </w:r>
        <w:r>
          <w:t xml:space="preserve">implies tighter coupling between usage and token scarcity.</w:t>
        </w:r>
      </w:ins>
    </w:p>
    <w:p>
      <w:ins w:id="10128" w:author="R2 Revision" w:date="2026-05-19T00:00:00Z">
        <w:pPr>
          <w:pStyle w:val="BodyText"/>
        </w:pPr>
        <w:r>
          <w:t xml:space="preserve">Definition 3 (Outcome Domains)</w:t>
        </w:r>
      </w:ins>
    </w:p>
    <w:p>
      <w:ins w:id="10129" w:author="R2 Revision" w:date="2026-05-19T00:00:00Z">
        <w:pPr>
          <w:pStyle w:val="BodyText"/>
        </w:pPr>
        <w:r>
          <w:t xml:space="preserve">Outcomes are grouped into three domains. Economic outcomes include</w:t>
        </w:r>
        <w:r>
          <w:t xml:space="preserve"> </w:t>
        </w:r>
        <w:r>
          <w:t xml:space="preserve">sustainability (revenue and fee flow), market quality (liquidity depth</w:t>
        </w:r>
        <w:r>
          <w:t xml:space="preserve"> </w:t>
        </w:r>
        <w:r>
          <w:t xml:space="preserve">and slippage), resilience (drawdowns and recovery time), and efficiency.</w:t>
        </w:r>
        <w:r>
          <w:t xml:space="preserve"> </w:t>
        </w:r>
        <w:r>
          <w:t xml:space="preserve">Political outcomes include participation rates, concentration (measured</w:t>
        </w:r>
        <w:r>
          <w:t xml:space="preserve"> </w:t>
        </w:r>
        <w:r>
          <w:t xml:space="preserve">by HHI and Gini), procedural justice (appeals, timelocks,</w:t>
        </w:r>
        <w:r>
          <w:t xml:space="preserve"> </w:t>
        </w:r>
        <w:r>
          <w:t xml:space="preserve">contestability), and rule stability. Social outcomes include capability</w:t>
        </w:r>
        <w:r>
          <w:t xml:space="preserve"> </w:t>
        </w:r>
        <w:r>
          <w:t xml:space="preserve">gains, geographic and socioeconomic inclusion, safety, and</w:t>
        </w:r>
        <w:r>
          <w:t xml:space="preserve"> </w:t>
        </w:r>
        <w:r>
          <w:t xml:space="preserve">privacy-preserving participation. The Section 3 empirics use</w:t>
        </w:r>
        <w:r>
          <w:t xml:space="preserve"> </w:t>
        </w:r>
        <w:r>
          <w:t xml:space="preserve">political-domain metrics; economic and social metrics are</w:t>
        </w:r>
        <w:r>
          <w:t xml:space="preserve"> </w:t>
        </w:r>
        <w:r>
          <w:t xml:space="preserve">operationalized in companion studies.</w:t>
        </w:r>
      </w:ins>
    </w:p>
    <w:bookmarkEnd w:id="50"/>
    <w:bookmarkStart w:id="54" w:name="X9849983c1ca6636c589a843190ba12134ed30f1"/>
    <w:p>
      <w:ins w:id="10130" w:author="R2 Revision" w:date="2026-05-19T00:00:00Z">
        <w:pPr>
          <w:pStyle w:val="Heading3"/>
        </w:pPr>
        <w:r>
          <w:t xml:space="preserve">2.9.3 Conceptual Model: From Philosophy to Mechanisms to Outcomes</w:t>
        </w:r>
      </w:ins>
    </w:p>
    <w:p>
      <w:ins w:id="10131" w:author="R2 Revision" w:date="2026-05-19T00:00:00Z">
        <w:pPr>
          <w:pStyle w:val="FirstParagraph"/>
        </w:pPr>
        <w:r>
          <w:t xml:space="preserve">The conceptual model of tokenomics as applied political philosophy</w:t>
        </w:r>
        <w:r>
          <w:t xml:space="preserve"> </w:t>
        </w:r>
        <w:r>
          <w:t xml:space="preserve">organizes the framework across four layers, shown in Figure 1.</w:t>
        </w:r>
      </w:ins>
    </w:p>
    <w:p>
      <w:ins w:id="10132" w:author="R2 Revision" w:date="2026-05-19T00:00:00Z">
        <w:pPr>
          <w:pStyle w:val="BodyText"/>
        </w:pPr>
        <w:r>
          <w:drawing>
            <wp:inline>
              <wp:extent cx="5068482" cy="6099367"/>
              <wp:effectExtent b="0" l="0" r="0" t="0"/>
              <wp:docPr descr="" title="" id="52" name="Picture"/>
              <a:graphic>
                <a:graphicData uri="http://schemas.openxmlformats.org/drawingml/2006/picture">
                  <pic:pic>
                    <pic:nvPicPr>
                      <pic:cNvPr descr="media/image3.png" id="5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68482" cy="609936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Conceptual model: from philosophical constraints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institutional design to outcomes. Philosophical traditions (Layer 1)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constrain institutional design choices (Layer 2), which shape behavioral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equilibria (Layer 3) and produce measurable outcomes across economic,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political, and social domains (Layer 4). Reading the figure: the arrows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trace the design pipeline from philosophical commitments through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measurable outcomes; each lens in the rubric is a constraint 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permissible designs at the corresponding stage.</w:t>
        </w:r>
      </w:ins>
    </w:p>
    <w:p>
      <w:ins w:id="10134" w:author="R2 Revision" w:date="2026-05-19T00:00:00Z">
        <w:pPr>
          <w:pStyle w:val="BodyText"/>
        </w:pPr>
        <w:r>
          <w:t xml:space="preserve">The model’s purpose is explanatory and testable: it identifies where</w:t>
        </w:r>
        <w:r>
          <w:t xml:space="preserve"> </w:t>
        </w:r>
        <w:r>
          <w:t xml:space="preserve">philosophical principles enter as constraints, how they shape design</w:t>
        </w:r>
        <w:r>
          <w:t xml:space="preserve"> </w:t>
        </w:r>
        <w:r>
          <w:t xml:space="preserve">choices, and how those design choices influence outcomes through</w:t>
        </w:r>
        <w:r>
          <w:t xml:space="preserve"> </w:t>
        </w:r>
        <w:r>
          <w:t xml:space="preserve">strategic behavior and system dynamics.</w:t>
        </w:r>
      </w:ins>
    </w:p>
    <w:bookmarkEnd w:id="54"/>
    <w:bookmarkStart w:id="55" w:name="X3451526da5977a8153551804fb0387b0956e381"/>
    <w:p>
      <w:ins w:id="10135" w:author="R2 Revision" w:date="2026-05-19T00:00:00Z">
        <w:pPr>
          <w:pStyle w:val="Heading3"/>
        </w:pPr>
        <w:r>
          <w:t xml:space="preserve">2.9.4 Design Hypotheses (Normative, Testable in Principle)</w:t>
        </w:r>
      </w:ins>
    </w:p>
    <w:p>
      <w:ins w:id="10136" w:author="R2 Revision" w:date="2026-05-19T00:00:00Z">
        <w:pPr>
          <w:pStyle w:val="FirstParagraph"/>
        </w:pPr>
        <w:r>
          <w:t xml:space="preserve">The theoretical framework yields five core design hypotheses linking</w:t>
        </w:r>
        <w:r>
          <w:t xml:space="preserve"> </w:t>
        </w:r>
        <w:r>
          <w:t xml:space="preserve">political-philosophical legitimacy constraints to measurable</w:t>
        </w:r>
        <w:r>
          <w:t xml:space="preserve"> </w:t>
        </w:r>
        <w:r>
          <w:t xml:space="preserve">institutional properties. This paper evaluates these hypotheses</w:t>
        </w:r>
        <w:r>
          <w:t xml:space="preserve"> </w:t>
        </w:r>
        <w:r>
          <w:t xml:space="preserve">primarily using a governance concentration cross-section; hypotheses</w:t>
        </w:r>
        <w:r>
          <w:t xml:space="preserve"> </w:t>
        </w:r>
        <w:r>
          <w:t xml:space="preserve">requiring operational demand, incentive dynamics, or participant outcome</w:t>
        </w:r>
        <w:r>
          <w:t xml:space="preserve"> </w:t>
        </w:r>
        <w:r>
          <w:t xml:space="preserve">data are evaluated in future work or specified as future measurement</w:t>
        </w:r>
        <w:r>
          <w:t xml:space="preserve"> </w:t>
        </w:r>
        <w:r>
          <w:t xml:space="preserve">priorities.</w:t>
        </w:r>
      </w:ins>
    </w:p>
    <w:p>
      <w:ins w:id="10137" w:author="R2 Revision" w:date="2026-05-19T00:00:00Z">
        <w:pPr>
          <w:pStyle w:val="BodyText"/>
        </w:pPr>
        <w:r>
          <w:t xml:space="preserve">Hypothesis 1 (Publicity - Legitimacy Link)</w:t>
        </w:r>
      </w:ins>
    </w:p>
    <w:p>
      <w:ins w:id="10138" w:author="R2 Revision" w:date="2026-05-19T00:00:00Z">
        <w:pPr>
          <w:pStyle w:val="BodyText"/>
        </w:pPr>
        <w:r>
          <w:rPr>
            <w:b/>
            <w:bCs/>
          </w:rPr>
          <w:t xml:space="preserve">Systems that satisfy a strong publicity constraint: transparent rules,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published rationales, and procedurally explicit enforcement, exhibit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fewer legitimacy crises and higher participation persistence than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systems with opaque or discretionary policy.</w:t>
        </w:r>
        <w:r>
          <w:br/>
        </w:r>
        <w:r>
          <w:t xml:space="preserve">Justification: Kant’s publicity principle suggests that political maxims</w:t>
        </w:r>
        <w:r>
          <w:t xml:space="preserve"> </w:t>
        </w:r>
        <w:r>
          <w:t xml:space="preserve">requiring secrecy to succeed are illegitimate; in token systems, secrecy</w:t>
        </w:r>
        <w:r>
          <w:t xml:space="preserve"> </w:t>
        </w:r>
        <w:r>
          <w:t xml:space="preserve">increases perceived arbitrariness and reduces willingness to invest in</w:t>
        </w:r>
        <w:r>
          <w:t xml:space="preserve"> </w:t>
        </w:r>
        <w:r>
          <w:t xml:space="preserve">the future under rule uncertainty.</w:t>
        </w:r>
      </w:ins>
    </w:p>
    <w:p>
      <w:ins w:id="10139" w:author="R2 Revision" w:date="2026-05-19T00:00:00Z">
        <w:pPr>
          <w:pStyle w:val="BodyText"/>
        </w:pPr>
        <w:r>
          <w:t xml:space="preserve">Hypothesis 2 (Contestability - Non-Domination)</w:t>
        </w:r>
      </w:ins>
    </w:p>
    <w:p>
      <w:ins w:id="10140" w:author="R2 Revision" w:date="2026-05-19T00:00:00Z">
        <w:pPr>
          <w:pStyle w:val="BodyText"/>
        </w:pPr>
        <w:r>
          <w:rPr>
            <w:b/>
            <w:bCs/>
          </w:rPr>
          <w:t xml:space="preserve">Introducing contestability mechanisms: appeals with bounded resolution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time, independent oversight, and publishable enforcement criteria,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domination risk and improves long-run operator/user retention,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conditional on adequate measurement integrity.</w:t>
        </w:r>
        <w:r>
          <w:br/>
        </w:r>
        <w:r>
          <w:t xml:space="preserve">Justification: Republican freedom as non-domination requires protection</w:t>
        </w:r>
        <w:r>
          <w:t xml:space="preserve"> </w:t>
        </w:r>
        <w:r>
          <w:t xml:space="preserve">against arbitrary interference; appeals and oversight operationalize</w:t>
        </w:r>
        <w:r>
          <w:t xml:space="preserve"> </w:t>
        </w:r>
        <w:r>
          <w:t xml:space="preserve">that requirement by constraining enforcement discretion.</w:t>
        </w:r>
      </w:ins>
    </w:p>
    <w:p>
      <w:ins w:id="10141" w:author="R2 Revision" w:date="2026-05-19T00:00:00Z">
        <w:pPr>
          <w:pStyle w:val="BodyText"/>
        </w:pPr>
        <w:r>
          <w:t xml:space="preserve">Hypothesis 3 (Sinks Before Faucets)</w:t>
        </w:r>
      </w:ins>
    </w:p>
    <w:p>
      <w:ins w:id="10142" w:author="R2 Revision" w:date="2026-05-19T00:00:00Z">
        <w:pPr>
          <w:pStyle w:val="BodyText"/>
        </w:pPr>
        <w:r>
          <w:rPr>
            <w:b/>
            <w:bCs/>
          </w:rPr>
          <w:t xml:space="preserve">Holding other factors constant, systems that deploy measurable sinks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(burns/locks/fee routing) before large-scale emissions have higher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fiscal sustainability (S2R) and reduced boom-bust amplitude than systems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that rely primarily on emissions to bootstrap growth.</w:t>
        </w:r>
        <w:r>
          <w:br/>
        </w:r>
        <w:r>
          <w:t xml:space="preserve">Justification: In repeated interaction settings, participants discount</w:t>
        </w:r>
        <w:r>
          <w:t xml:space="preserve"> </w:t>
        </w:r>
        <w:r>
          <w:t xml:space="preserve">future rewards when dilution is unconstrained; sinks create credible</w:t>
        </w:r>
        <w:r>
          <w:t xml:space="preserve"> </w:t>
        </w:r>
        <w:r>
          <w:t xml:space="preserve">coupling between real usage and token scarcity/treasury strength.</w:t>
        </w:r>
      </w:ins>
    </w:p>
    <w:p>
      <w:ins w:id="10143" w:author="R2 Revision" w:date="2026-05-19T00:00:00Z">
        <w:pPr>
          <w:pStyle w:val="BodyText"/>
        </w:pPr>
        <w:r>
          <w:t xml:space="preserve">Hypothesis 4 (Service over Presence in DePIN)</w:t>
        </w:r>
      </w:ins>
    </w:p>
    <w:p>
      <w:ins w:id="10144" w:author="R2 Revision" w:date="2026-05-19T00:00:00Z">
        <w:pPr>
          <w:pStyle w:val="BodyText"/>
        </w:pPr>
        <w:r>
          <w:rPr>
            <w:b/>
            <w:bCs/>
          </w:rPr>
          <w:t xml:space="preserve">In DePIN settings, shifting reward weight from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“presence/coverage”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to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“SLA-verified service delivered”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reduces oversupply and increases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demand-weighted efficiency and resilience, relative to presence-mining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regimes.</w:t>
        </w:r>
        <w:r>
          <w:br/>
        </w:r>
        <w:r>
          <w:t xml:space="preserve">Justification: Presence-only incentives reward capital deployment</w:t>
        </w:r>
        <w:r>
          <w:t xml:space="preserve"> </w:t>
        </w:r>
        <w:r>
          <w:t xml:space="preserve">irrespective of marginal social value; service incentives approximate</w:t>
        </w:r>
        <w:r>
          <w:t xml:space="preserve"> </w:t>
        </w:r>
        <w:r>
          <w:t xml:space="preserve">payment for delivered public service capacity, aligning rewards with</w:t>
        </w:r>
        <w:r>
          <w:t xml:space="preserve"> </w:t>
        </w:r>
        <w:r>
          <w:t xml:space="preserve">demand.</w:t>
        </w:r>
      </w:ins>
    </w:p>
    <w:p>
      <w:ins w:id="10145" w:author="R2 Revision" w:date="2026-05-19T00:00:00Z">
        <w:pPr>
          <w:pStyle w:val="BodyText"/>
        </w:pPr>
        <w:r>
          <w:t xml:space="preserve">Hypothesis 5 (Polycentric Adaptation)</w:t>
        </w:r>
      </w:ins>
    </w:p>
    <w:p>
      <w:ins w:id="10146" w:author="R2 Revision" w:date="2026-05-19T00:00:00Z">
        <w:pPr>
          <w:pStyle w:val="BodyText"/>
        </w:pPr>
        <w:r>
          <w:rPr>
            <w:b/>
            <w:bCs/>
          </w:rPr>
          <w:t xml:space="preserve">Polycentric governance structures (multiple centers with localized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authority and budgets) improve adaptation to heterogeneous service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environments (geography, range demand, local constraints) and reduce</w:t>
        </w:r>
        <w:r>
          <w:rPr>
            <w:b/>
            <w:bCs/>
          </w:rPr>
          <w:t xml:space="preserve"> </w:t>
        </w:r>
        <w:r>
          <w:rPr>
            <w:b/>
            <w:bCs/>
          </w:rPr>
          <w:t xml:space="preserve">governance deadlock compared to monocentric governance.</w:t>
        </w:r>
        <w:r>
          <w:br/>
        </w:r>
        <w:r>
          <w:t xml:space="preserve">Justification: Ostrom’s polycentric governance emphasizes multiple</w:t>
        </w:r>
        <w:r>
          <w:t xml:space="preserve"> </w:t>
        </w:r>
        <w:r>
          <w:t xml:space="preserve">overlapping decision centers as an efficient response to complex</w:t>
        </w:r>
        <w:r>
          <w:t xml:space="preserve"> </w:t>
        </w:r>
        <w:r>
          <w:t xml:space="preserve">systems.</w:t>
        </w:r>
      </w:ins>
    </w:p>
    <w:p>
      <w:ins w:id="10147" w:author="R2 Revision" w:date="2026-05-19T00:00:00Z">
        <w:pPr>
          <w:pStyle w:val="BodyText"/>
        </w:pPr>
        <w:r>
          <w:t xml:space="preserve">The five hypotheses map to the five lenses of Table 1 as follows:</w:t>
        </w:r>
        <w:r>
          <w:t xml:space="preserve"> </w:t>
        </w:r>
        <w:r>
          <w:t xml:space="preserve">Hypothesis 1 (Publicity-Legitimacy) operationalizes Kantian Publicity;</w:t>
        </w:r>
        <w:r>
          <w:t xml:space="preserve"> </w:t>
        </w:r>
        <w:r>
          <w:t xml:space="preserve">Hypothesis 2 (Contestability-Non-Domination) operationalizes Pettit’s</w:t>
        </w:r>
        <w:r>
          <w:t xml:space="preserve"> </w:t>
        </w:r>
        <w:r>
          <w:t xml:space="preserve">framework, with contestability as the institutional mechanism scored</w:t>
        </w:r>
        <w:r>
          <w:t xml:space="preserve"> </w:t>
        </w:r>
        <w:r>
          <w:t xml:space="preserve">in Table 1 and non-domination as the philosophical goal-state the</w:t>
        </w:r>
        <w:r>
          <w:t xml:space="preserve"> </w:t>
        </w:r>
        <w:r>
          <w:t xml:space="preserve">mechanism is designed to produce; Hypothesis 5 (Polycentric Adaptation)</w:t>
        </w:r>
        <w:r>
          <w:t xml:space="preserve"> </w:t>
        </w:r>
        <w:r>
          <w:t xml:space="preserve">operationalizes Ostromian polycentricity. Hypotheses 3 (Sinks-before-</w:t>
        </w:r>
        <w:r>
          <w:t xml:space="preserve"> </w:t>
        </w:r>
        <w:r>
          <w:t xml:space="preserve">Faucets) and 4 (Service-over-Presence in DePIN) extend the framework</w:t>
        </w:r>
        <w:r>
          <w:t xml:space="preserve"> </w:t>
        </w:r>
        <w:r>
          <w:t xml:space="preserve">into the fiscal and incentive-design domain; they are anchored in</w:t>
        </w:r>
        <w:r>
          <w:t xml:space="preserve"> </w:t>
        </w:r>
        <w:r>
          <w:t xml:space="preserve">mechanism-design and DePIN-specific economics rather than the</w:t>
        </w:r>
        <w:r>
          <w:t xml:space="preserve"> </w:t>
        </w:r>
        <w:r>
          <w:t xml:space="preserve">political-philosophy traditions of Table 1, and their normative</w:t>
        </w:r>
        <w:r>
          <w:t xml:space="preserve"> </w:t>
        </w:r>
        <w:r>
          <w:t xml:space="preserve">warrant derives from instrumental value (system sustainability and</w:t>
        </w:r>
        <w:r>
          <w:t xml:space="preserve"> </w:t>
        </w:r>
        <w:r>
          <w:t xml:space="preserve">SLA-aligned coordination) rather than from the goal-states the</w:t>
        </w:r>
        <w:r>
          <w:t xml:space="preserve"> </w:t>
        </w:r>
        <w:r>
          <w:t xml:space="preserve">philosophical lenses identify. The Synergy Index of Section 2.10.6</w:t>
        </w:r>
        <w:r>
          <w:t xml:space="preserve"> </w:t>
        </w:r>
        <w:r>
          <w:t xml:space="preserve">aggregates the five lens scores from Table 1; the five hypotheses</w:t>
        </w:r>
        <w:r>
          <w:t xml:space="preserve"> </w:t>
        </w:r>
        <w:r>
          <w:t xml:space="preserve">provide complementary structured tests of philosophy-to-outcomes</w:t>
        </w:r>
        <w:r>
          <w:t xml:space="preserve"> </w:t>
        </w:r>
        <w:r>
          <w:t xml:space="preserve">relationships that this paper specifies as future research priorities</w:t>
        </w:r>
        <w:r>
          <w:t xml:space="preserve"> </w:t>
        </w:r>
        <w:r>
          <w:t xml:space="preserve">(longitudinal evidence required for H3 through H5; cross-sectional</w:t>
        </w:r>
        <w:r>
          <w:t xml:space="preserve"> </w:t>
        </w:r>
        <w:r>
          <w:t xml:space="preserve">evidence for H1 and H2 presented in Section 3).</w:t>
        </w:r>
      </w:ins>
    </w:p>
    <w:bookmarkEnd w:id="55"/>
    <w:bookmarkStart w:id="56" w:name="implications-for-cross-program-relevance"/>
    <w:p>
      <w:ins w:id="10148" w:author="R2 Revision" w:date="2026-05-19T00:00:00Z">
        <w:pPr>
          <w:pStyle w:val="Heading3"/>
        </w:pPr>
        <w:r>
          <w:t xml:space="preserve">2.9.5 Implications for Cross-Program Relevance</w:t>
        </w:r>
      </w:ins>
    </w:p>
    <w:p>
      <w:ins w:id="10149" w:author="R2 Revision" w:date="2026-05-19T00:00:00Z">
        <w:pPr>
          <w:pStyle w:val="FirstParagraph"/>
        </w:pPr>
        <w:r>
          <w:rPr>
            <w:b/>
            <w:bCs/>
          </w:rPr>
          <w:t xml:space="preserve">Political theory programs</w:t>
        </w:r>
        <w:r>
          <w:t xml:space="preserve"> </w:t>
        </w:r>
        <w:r>
          <w:t xml:space="preserve">can treat tokenomics as a novel</w:t>
        </w:r>
        <w:r>
          <w:t xml:space="preserve"> </w:t>
        </w:r>
        <w:r>
          <w:t xml:space="preserve">constitutional domain: public rules with automatic enforcement and</w:t>
        </w:r>
        <w:r>
          <w:t xml:space="preserve"> </w:t>
        </w:r>
        <w:r>
          <w:t xml:space="preserve">low-cost exit.</w:t>
        </w:r>
      </w:ins>
    </w:p>
    <w:p>
      <w:ins w:id="10150" w:author="R2 Revision" w:date="2026-05-19T00:00:00Z">
        <w:pPr>
          <w:pStyle w:val="BodyText"/>
        </w:pPr>
        <w:r>
          <w:rPr>
            <w:b/>
            <w:bCs/>
          </w:rPr>
          <w:t xml:space="preserve">Economics/public policy programs</w:t>
        </w:r>
        <w:r>
          <w:t xml:space="preserve"> </w:t>
        </w:r>
        <w:r>
          <w:t xml:space="preserve">can interpret tokenomics as fiscal</w:t>
        </w:r>
        <w:r>
          <w:t xml:space="preserve"> </w:t>
        </w:r>
        <w:r>
          <w:t xml:space="preserve">and regulatory policy under open entry and adversarial manipulation,</w:t>
        </w:r>
        <w:r>
          <w:t xml:space="preserve"> </w:t>
        </w:r>
        <w:r>
          <w:t xml:space="preserve">requiring mechanism design and institutional economics.</w:t>
        </w:r>
      </w:ins>
    </w:p>
    <w:p>
      <w:ins w:id="10151" w:author="R2 Revision" w:date="2026-05-19T00:00:00Z">
        <w:pPr>
          <w:pStyle w:val="BodyText"/>
        </w:pPr>
        <w:r>
          <w:rPr>
            <w:b/>
            <w:bCs/>
          </w:rPr>
          <w:t xml:space="preserve">Computer science/security programs</w:t>
        </w:r>
        <w:r>
          <w:t xml:space="preserve"> </w:t>
        </w:r>
        <w:r>
          <w:t xml:space="preserve">can frame tokenomics as</w:t>
        </w:r>
        <w:r>
          <w:t xml:space="preserve"> </w:t>
        </w:r>
        <w:r>
          <w:t xml:space="preserve">incentive-aligned security and reliability engineering where</w:t>
        </w:r>
        <w:r>
          <w:t xml:space="preserve"> </w:t>
        </w:r>
        <w:r>
          <w:t xml:space="preserve">verification systems (ℳ) are first-class determinants of institutional</w:t>
        </w:r>
        <w:r>
          <w:t xml:space="preserve"> </w:t>
        </w:r>
        <w:r>
          <w:t xml:space="preserve">feasibility.</w:t>
        </w:r>
      </w:ins>
    </w:p>
    <w:p>
      <w:ins w:id="10152" w:author="R2 Revision" w:date="2026-05-19T00:00:00Z">
        <w:pPr>
          <w:pStyle w:val="BodyText"/>
        </w:pPr>
        <w:r>
          <w:rPr>
            <w:b/>
            <w:bCs/>
          </w:rPr>
          <w:t xml:space="preserve">STS and law</w:t>
        </w:r>
        <w:r>
          <w:t xml:space="preserve"> </w:t>
        </w:r>
        <w:r>
          <w:t xml:space="preserve">can analyze how</w:t>
        </w:r>
        <w:r>
          <w:t xml:space="preserve"> </w:t>
        </w:r>
        <w:r>
          <w:t xml:space="preserve">“code as governance”</w:t>
        </w:r>
        <w:r>
          <w:t xml:space="preserve"> </w:t>
        </w:r>
        <w:r>
          <w:t xml:space="preserve">transforms</w:t>
        </w:r>
        <w:r>
          <w:t xml:space="preserve"> </w:t>
        </w:r>
        <w:r>
          <w:t xml:space="preserve">legitimacy, accountability, and liability structures, and how</w:t>
        </w:r>
        <w:r>
          <w:t xml:space="preserve"> </w:t>
        </w:r>
        <w:r>
          <w:t xml:space="preserve">transparency and contestability affect social acceptance.</w:t>
        </w:r>
      </w:ins>
    </w:p>
    <w:bookmarkEnd w:id="56"/>
    <w:bookmarkStart w:id="60" w:name="Xdc3259beea2fe5a7341eac9cdd6f5c4b4fcfd10"/>
    <w:p>
      <w:ins w:id="10153" w:author="R2 Revision" w:date="2026-05-19T00:00:00Z">
        <w:pPr>
          <w:pStyle w:val="Heading3"/>
        </w:pPr>
        <w:r>
          <w:t xml:space="preserve">2.9.6 Inter-Lens Relationships: A Mutually Reinforcing Architecture</w:t>
        </w:r>
      </w:ins>
    </w:p>
    <w:p>
      <w:ins w:id="10154" w:author="R2 Revision" w:date="2026-05-19T00:00:00Z">
        <w:pPr>
          <w:pStyle w:val="FirstParagraph"/>
        </w:pPr>
        <w:r>
          <w:t xml:space="preserve">The five lenses operationalized in Table 1 are not orthogonal axes</w:t>
        </w:r>
        <w:r>
          <w:t xml:space="preserve"> </w:t>
        </w:r>
        <w:r>
          <w:t xml:space="preserve">but a mutually reinforcing architecture. Publicity (Kant) enables</w:t>
        </w:r>
        <w:r>
          <w:t xml:space="preserve"> </w:t>
        </w:r>
        <w:r>
          <w:t xml:space="preserve">contestability (Pettit): rules that can be publicly stated are rules</w:t>
        </w:r>
        <w:r>
          <w:t xml:space="preserve"> </w:t>
        </w:r>
        <w:r>
          <w:t xml:space="preserve">that can be publicly challenged, while opacity protects arbitrariness</w:t>
        </w:r>
        <w:r>
          <w:t xml:space="preserve"> </w:t>
        </w:r>
        <w:r>
          <w:t xml:space="preserve">from challenge (Cohen 1989 on deliberative democracy as the</w:t>
        </w:r>
        <w:r>
          <w:t xml:space="preserve"> </w:t>
        </w:r>
        <w:r>
          <w:t xml:space="preserve">institutional extension of Kantian publicity; Habermas 1996 on</w:t>
        </w:r>
        <w:r>
          <w:t xml:space="preserve"> </w:t>
        </w:r>
        <w:r>
          <w:t xml:space="preserve">discourse theory of law). Polycentricity (Ostrom) enables knowledge-use</w:t>
        </w:r>
        <w:r>
          <w:t xml:space="preserve"> </w:t>
        </w:r>
        <w:r>
          <w:t xml:space="preserve">(Hayek): distributed institutions aggregate dispersed information that</w:t>
        </w:r>
        <w:r>
          <w:t xml:space="preserve"> </w:t>
        </w:r>
        <w:r>
          <w:t xml:space="preserve">no central authority can possess, instantiating in institutional form</w:t>
        </w:r>
        <w:r>
          <w:t xml:space="preserve"> </w:t>
        </w:r>
        <w:r>
          <w:t xml:space="preserve">what Hayek 1945 identifies as the epistemic case for decentralized</w:t>
        </w:r>
        <w:r>
          <w:t xml:space="preserve"> </w:t>
        </w:r>
        <w:r>
          <w:t xml:space="preserve">coordination. Difference Principle (Rawls) constrains the outcomes</w:t>
        </w:r>
        <w:r>
          <w:t xml:space="preserve"> </w:t>
        </w:r>
        <w:r>
          <w:t xml:space="preserve">contestation can legitimately produce: a contestable governance system</w:t>
        </w:r>
        <w:r>
          <w:t xml:space="preserve"> </w:t>
        </w:r>
        <w:r>
          <w:t xml:space="preserve">that systematically disadvantages the worst-off fails the fairness</w:t>
        </w:r>
        <w:r>
          <w:t xml:space="preserve"> </w:t>
        </w:r>
        <w:r>
          <w:t xml:space="preserve">lens even if it scores well on the contestability mechanism, indicating</w:t>
        </w:r>
        <w:r>
          <w:t xml:space="preserve"> </w:t>
        </w:r>
        <w:r>
          <w:t xml:space="preserve">that procedural and distributive lenses must be evaluated jointly.</w:t>
        </w:r>
        <w:r>
          <w:t xml:space="preserve"> </w:t>
        </w:r>
        <w:r>
          <w:t xml:space="preserve">Knowledge-use (Hayek) requires polycentric institutional substrate</w:t>
        </w:r>
        <w:r>
          <w:t xml:space="preserve"> </w:t>
        </w:r>
        <w:r>
          <w:t xml:space="preserve">(Ostrom) to function: market-like price signals need multiple</w:t>
        </w:r>
        <w:r>
          <w:t xml:space="preserve"> </w:t>
        </w:r>
        <w:r>
          <w:t xml:space="preserve">decision-centers to interpret and act on them; a monocentric system</w:t>
        </w:r>
        <w:r>
          <w:t xml:space="preserve"> </w:t>
        </w:r>
        <w:r>
          <w:t xml:space="preserve">forecloses the institutional preconditions of dispersed coordination.</w:t>
        </w:r>
        <w:r>
          <w:t xml:space="preserve"> </w:t>
        </w:r>
        <w:r>
          <w:t xml:space="preserve">Non-domination as the freedom-state Pettit identifies is itself</w:t>
        </w:r>
        <w:r>
          <w:t xml:space="preserve"> </w:t>
        </w:r>
        <w:r>
          <w:t xml:space="preserve">underwritten by Kantian publicity (Pettit 1997 §4.3): the freedom to</w:t>
        </w:r>
        <w:r>
          <w:t xml:space="preserve"> </w:t>
        </w:r>
        <w:r>
          <w:t xml:space="preserve">contest depends on the publicity of what is contested.</w:t>
        </w:r>
      </w:ins>
    </w:p>
    <w:p>
      <w:ins w:id="10155" w:author="R2 Revision" w:date="2026-05-19T00:00:00Z">
        <w:pPr>
          <w:pStyle w:val="BodyText"/>
        </w:pPr>
        <w:r>
          <w:t xml:space="preserve">The Synergy Index defined in Section 2.10.6 aggregates the five lens</w:t>
        </w:r>
        <w:r>
          <w:t xml:space="preserve"> </w:t>
        </w:r>
        <w:r>
          <w:t xml:space="preserve">scores by arithmetic mean, reflecting the equal-weight assumption that</w:t>
        </w:r>
        <w:r>
          <w:t xml:space="preserve"> </w:t>
        </w:r>
        <w:r>
          <w:t xml:space="preserve">each dimension contributes complementarily to overall legitimacy. The</w:t>
        </w:r>
        <w:r>
          <w:t xml:space="preserve"> </w:t>
        </w:r>
        <w:r>
          <w:t xml:space="preserve">mutually reinforcing structure of the five lenses motivates two</w:t>
        </w:r>
        <w:r>
          <w:t xml:space="preserve"> </w:t>
        </w:r>
        <w:r>
          <w:t xml:space="preserve">alternative aggregations that future work may explore: a geometric</w:t>
        </w:r>
        <w:r>
          <w:t xml:space="preserve"> </w:t>
        </w:r>
        <w:r>
          <w:t xml:space="preserve">mean (emphasizing weakest-link composition; aligned with the</w:t>
        </w:r>
        <w:r>
          <w:t xml:space="preserve"> </w:t>
        </w:r>
        <w:r>
          <w:t xml:space="preserve">weakest-link arguments in companion papers on regulatory accountability</w:t>
        </w:r>
        <w:r>
          <w:t xml:space="preserve"> </w:t>
        </w:r>
        <w:r>
          <w:t xml:space="preserve">in composed systems), or a network-structure scoring that explicitly</w:t>
        </w:r>
        <w:r>
          <w:t xml:space="preserve"> </w:t>
        </w:r>
        <w:r>
          <w:t xml:space="preserve">weights the cross-lens dependencies described above. The arithmetic</w:t>
        </w:r>
        <w:r>
          <w:t xml:space="preserve"> </w:t>
        </w:r>
        <w:r>
          <w:t xml:space="preserve">mean is reported as the headline aggregation in this paper for</w:t>
        </w:r>
        <w:r>
          <w:t xml:space="preserve"> </w:t>
        </w:r>
        <w:r>
          <w:t xml:space="preserve">descriptive simplicity; the philosophical architecture itself</w:t>
        </w:r>
        <w:r>
          <w:t xml:space="preserve"> </w:t>
        </w:r>
        <w:r>
          <w:t xml:space="preserve">recommends weakest-link emphasis for institutions whose legitimacy</w:t>
        </w:r>
        <w:r>
          <w:t xml:space="preserve"> </w:t>
        </w:r>
        <w:r>
          <w:t xml:space="preserve">depends on the joint satisfaction of all five lenses.</w:t>
        </w:r>
      </w:ins>
    </w:p>
    <w:p>
      <w:ins w:id="10156" w:author="R2 Revision" w:date="2026-05-19T00:00:00Z">
        <w:pPr>
          <w:pStyle w:val="BodyText"/>
        </w:pPr>
        <w:r>
          <w:t xml:space="preserve">The five-lens framework instantiates Hurwicz’s (1987) design-perspective</w:t>
        </w:r>
        <w:r>
          <w:t xml:space="preserve"> </w:t>
        </w:r>
        <w:r>
          <w:t xml:space="preserve">program. Token-governance protocols are explicitly invented institutions,</w:t>
        </w:r>
        <w:r>
          <w:t xml:space="preserve"> </w:t>
        </w:r>
        <w:r>
          <w:t xml:space="preserve">and the analytical question is not whether existing institutions satisfy</w:t>
        </w:r>
        <w:r>
          <w:t xml:space="preserve"> </w:t>
        </w:r>
        <w:r>
          <w:t xml:space="preserve">philosophical legitimacy but whether a particular invented institution</w:t>
        </w:r>
        <w:r>
          <w:t xml:space="preserve"> </w:t>
        </w:r>
        <w:r>
          <w:t xml:space="preserve">can be designed to satisfy multiple lens criteria simultaneously under</w:t>
        </w:r>
        <w:r>
          <w:t xml:space="preserve"> </w:t>
        </w:r>
        <w:r>
          <w:t xml:space="preserve">the mechanism-design constraints of incentive compatibility and</w:t>
        </w:r>
        <w:r>
          <w:t xml:space="preserve"> </w:t>
        </w:r>
        <w:r>
          <w:t xml:space="preserve">informational feasibility that bound any implementable rule system. The</w:t>
        </w:r>
        <w:r>
          <w:t xml:space="preserve"> </w:t>
        </w:r>
        <w:r>
          <w:t xml:space="preserve">scoring rubric (Section 2.10) operationalizes this question by treating</w:t>
        </w:r>
        <w:r>
          <w:t xml:space="preserve"> </w:t>
        </w:r>
        <w:r>
          <w:t xml:space="preserve">each lens as a design criterion against which a given protocol can be</w:t>
        </w:r>
        <w:r>
          <w:t xml:space="preserve"> </w:t>
        </w:r>
        <w:r>
          <w:t xml:space="preserve">evaluated, and the cross-protocol concentration evidence (Section 3)</w:t>
        </w:r>
        <w:r>
          <w:t xml:space="preserve"> </w:t>
        </w:r>
        <w:r>
          <w:t xml:space="preserve">shows where current designs systematically fall short of joint-lens</w:t>
        </w:r>
        <w:r>
          <w:t xml:space="preserve"> </w:t>
        </w:r>
        <w:r>
          <w:t xml:space="preserve">satisfaction. Read this way, the paper contributes both to political</w:t>
        </w:r>
        <w:r>
          <w:t xml:space="preserve"> </w:t>
        </w:r>
        <w:r>
          <w:t xml:space="preserve">philosophy (a measurement infrastructure for normative claims about</w:t>
        </w:r>
        <w:r>
          <w:t xml:space="preserve"> </w:t>
        </w:r>
        <w:r>
          <w:t xml:space="preserve">designed institutions) and to mechanism design (a normative extension</w:t>
        </w:r>
        <w:r>
          <w:t xml:space="preserve"> </w:t>
        </w:r>
        <w:r>
          <w:t xml:space="preserve">that adds Pettit-style non-domination, Rawls-style fairness, Ostromian</w:t>
        </w:r>
        <w:r>
          <w:t xml:space="preserve"> </w:t>
        </w:r>
        <w:r>
          <w:t xml:space="preserve">polycentricity, and Hayekian knowledge-use to the classical efficiency-</w:t>
        </w:r>
        <w:r>
          <w:t xml:space="preserve"> </w:t>
        </w:r>
        <w:r>
          <w:t xml:space="preserve">plus-incentive-compatibility criteria Hurwicz 1987 identifies as the</w:t>
        </w:r>
        <w:r>
          <w:t xml:space="preserve"> </w:t>
        </w:r>
        <w:r>
          <w:t xml:space="preserve">bare minimum any institution must satisfy).</w:t>
        </w:r>
      </w:ins>
    </w:p>
    <w:tbl>
      <w:tblPr>
        <w:tblStyle w:val="Table"/>
        <w:tblW w:type="pct" w:w="4881"/>
        <w:tblLayout w:type="fixed"/>
        <w:tblLook w:firstRow="1" w:lastRow="0" w:firstColumn="0" w:lastColumn="0" w:noHBand="0" w:noVBand="0" w:val="0020"/>
      </w:tblPr>
      <w:tblGrid>
        <w:gridCol w:w="1602"/>
        <w:gridCol w:w="1508"/>
        <w:gridCol w:w="1602"/>
        <w:gridCol w:w="1414"/>
        <w:gridCol w:w="1602"/>
      </w:tblGrid>
      <w:tr>
        <w:trPr>
          <w:tblHeader w:val="on"/>
        </w:trPr>
        <w:tc>
          <w:tcPr/>
          <w:p>
            <w:ins w:id="101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Lens</w:t>
              </w:r>
            </w:ins>
          </w:p>
        </w:tc>
        <w:tc>
          <w:tcPr/>
          <w:p>
            <w:ins w:id="101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0 (Absent)</w:t>
              </w:r>
            </w:ins>
          </w:p>
        </w:tc>
        <w:tc>
          <w:tcPr/>
          <w:p>
            <w:ins w:id="101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1 (Minimal)</w:t>
              </w:r>
            </w:ins>
          </w:p>
        </w:tc>
        <w:tc>
          <w:tcPr/>
          <w:p>
            <w:ins w:id="1016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2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(Partial)</w:t>
              </w:r>
            </w:ins>
          </w:p>
        </w:tc>
        <w:tc>
          <w:tcPr/>
          <w:p>
            <w:ins w:id="1016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3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(Exemplary)</w:t>
              </w:r>
            </w:ins>
          </w:p>
        </w:tc>
      </w:tr>
      <w:tr>
        <w:tc>
          <w:tcPr/>
          <w:p>
            <w:ins w:id="10162" w:author="R2 Revision" w:date="2026-05-19T00:00:00Z">
              <w:pPr>
                <w:pStyle w:val="Compact"/>
                <w:jc w:val="left"/>
              </w:pPr>
              <w:r>
                <w:t xml:space="preserve">Kantian</w:t>
              </w:r>
              <w:r>
                <w:t xml:space="preserve"> </w:t>
              </w:r>
              <w:r>
                <w:t xml:space="preserve">Publicity</w:t>
              </w:r>
            </w:ins>
          </w:p>
        </w:tc>
        <w:tc>
          <w:tcPr/>
          <w:p>
            <w:ins w:id="10163" w:author="R2 Revision" w:date="2026-05-19T00:00:00Z">
              <w:pPr>
                <w:pStyle w:val="Compact"/>
                <w:jc w:val="left"/>
              </w:pPr>
              <w:r>
                <w:t xml:space="preserve">No public</w:t>
              </w:r>
              <w:r>
                <w:t xml:space="preserve"> </w:t>
              </w:r>
              <w:r>
                <w:t xml:space="preserve">governance docs</w:t>
              </w:r>
            </w:ins>
          </w:p>
        </w:tc>
        <w:tc>
          <w:tcPr/>
          <w:p>
            <w:ins w:id="10164" w:author="R2 Revision" w:date="2026-05-19T00:00:00Z">
              <w:pPr>
                <w:pStyle w:val="Compact"/>
                <w:jc w:val="left"/>
              </w:pPr>
              <w:r>
                <w:t xml:space="preserve">Rules exist but</w:t>
              </w:r>
              <w:r>
                <w:t xml:space="preserve"> </w:t>
              </w:r>
              <w:r>
                <w:t xml:space="preserve">hard to find</w:t>
              </w:r>
            </w:ins>
          </w:p>
        </w:tc>
        <w:tc>
          <w:tcPr/>
          <w:p>
            <w:ins w:id="10165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rationale</w:t>
              </w:r>
            </w:ins>
          </w:p>
        </w:tc>
        <w:tc>
          <w:tcPr/>
          <w:p>
            <w:ins w:id="10166" w:author="R2 Revision" w:date="2026-05-19T00:00:00Z">
              <w:pPr>
                <w:pStyle w:val="Compact"/>
                <w:jc w:val="left"/>
              </w:pPr>
              <w:r>
                <w:t xml:space="preserve">Public rules +</w:t>
              </w:r>
              <w:r>
                <w:t xml:space="preserve"> </w:t>
              </w:r>
              <w:r>
                <w:t xml:space="preserve">deliberation +</w:t>
              </w:r>
              <w:r>
                <w:t xml:space="preserve"> </w:t>
              </w:r>
              <w:r>
                <w:t xml:space="preserve">justification</w:t>
              </w:r>
            </w:ins>
          </w:p>
        </w:tc>
      </w:tr>
      <w:tr>
        <w:tc>
          <w:tcPr/>
          <w:p>
            <w:ins w:id="10167" w:author="R2 Revision" w:date="2026-05-19T00:00:00Z">
              <w:pPr>
                <w:pStyle w:val="Compact"/>
                <w:jc w:val="left"/>
              </w:pPr>
              <w:r>
                <w:t xml:space="preserve">Rawlsian</w:t>
              </w:r>
              <w:r>
                <w:t xml:space="preserve"> </w:t>
              </w:r>
              <w:r>
                <w:t xml:space="preserve">Fairness</w:t>
              </w:r>
            </w:ins>
          </w:p>
        </w:tc>
        <w:tc>
          <w:tcPr/>
          <w:p>
            <w:ins w:id="10168" w:author="R2 Revision" w:date="2026-05-19T00:00:00Z">
              <w:pPr>
                <w:pStyle w:val="Compact"/>
                <w:jc w:val="left"/>
              </w:pPr>
              <w:r>
                <w:t xml:space="preserve">No</w:t>
              </w:r>
              <w:r>
                <w:t xml:space="preserve"> </w:t>
              </w:r>
              <w:r>
                <w:t xml:space="preserve">floor-raising</w:t>
              </w:r>
              <w:r>
                <w:t xml:space="preserve"> </w:t>
              </w:r>
              <w:r>
                <w:t xml:space="preserve">mechanism</w:t>
              </w:r>
            </w:ins>
          </w:p>
        </w:tc>
        <w:tc>
          <w:tcPr/>
          <w:p>
            <w:ins w:id="10169" w:author="R2 Revision" w:date="2026-05-19T00:00:00Z">
              <w:pPr>
                <w:pStyle w:val="Compact"/>
                <w:jc w:val="left"/>
              </w:pPr>
              <w:r>
                <w:t xml:space="preserve">Basic airdrop</w:t>
              </w:r>
              <w:r>
                <w:t xml:space="preserve"> </w:t>
              </w:r>
              <w:r>
                <w:t xml:space="preserve">only</w:t>
              </w:r>
            </w:ins>
          </w:p>
        </w:tc>
        <w:tc>
          <w:tcPr/>
          <w:p>
            <w:ins w:id="10170" w:author="R2 Revision" w:date="2026-05-19T00:00:00Z">
              <w:pPr>
                <w:pStyle w:val="Compact"/>
                <w:jc w:val="left"/>
              </w:pPr>
              <w:r>
                <w:t xml:space="preserve">Graduated fee</w:t>
              </w:r>
              <w:r>
                <w:t xml:space="preserve"> </w:t>
              </w:r>
              <w:r>
                <w:t xml:space="preserve">tiers or</w:t>
              </w:r>
              <w:r>
                <w:t xml:space="preserve"> </w:t>
              </w:r>
              <w:r>
                <w:t xml:space="preserve">grants</w:t>
              </w:r>
            </w:ins>
          </w:p>
        </w:tc>
        <w:tc>
          <w:tcPr/>
          <w:p>
            <w:ins w:id="10171" w:author="R2 Revision" w:date="2026-05-19T00:00:00Z">
              <w:pPr>
                <w:pStyle w:val="Compact"/>
                <w:jc w:val="left"/>
              </w:pPr>
              <w:r>
                <w:t xml:space="preserve">Systematic</w:t>
              </w:r>
              <w:r>
                <w:t xml:space="preserve"> </w:t>
              </w:r>
              <w:r>
                <w:t xml:space="preserve">equity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measured gaps</w:t>
              </w:r>
            </w:ins>
          </w:p>
        </w:tc>
      </w:tr>
      <w:tr>
        <w:tc>
          <w:tcPr/>
          <w:p>
            <w:ins w:id="10172" w:author="R2 Revision" w:date="2026-05-19T00:00:00Z">
              <w:pPr>
                <w:pStyle w:val="Compact"/>
                <w:jc w:val="left"/>
              </w:pPr>
              <w:r>
                <w:t xml:space="preserve">Pettit</w:t>
              </w:r>
              <w:r>
                <w:t xml:space="preserve"> </w:t>
              </w:r>
              <w:r>
                <w:t xml:space="preserve">Contestation</w:t>
              </w:r>
            </w:ins>
          </w:p>
        </w:tc>
        <w:tc>
          <w:tcPr/>
          <w:p>
            <w:ins w:id="10173" w:author="R2 Revision" w:date="2026-05-19T00:00:00Z">
              <w:pPr>
                <w:pStyle w:val="Compact"/>
                <w:jc w:val="left"/>
              </w:pPr>
              <w:r>
                <w:t xml:space="preserve">No appeals or</w:t>
              </w:r>
              <w:r>
                <w:t xml:space="preserve"> </w:t>
              </w:r>
              <w:r>
                <w:t xml:space="preserve">checks</w:t>
              </w:r>
            </w:ins>
          </w:p>
        </w:tc>
        <w:tc>
          <w:tcPr/>
          <w:p>
            <w:ins w:id="10174" w:author="R2 Revision" w:date="2026-05-19T00:00:00Z">
              <w:pPr>
                <w:pStyle w:val="Compact"/>
                <w:jc w:val="left"/>
              </w:pPr>
              <w:r>
                <w:t xml:space="preserve">Informal</w:t>
              </w:r>
              <w:r>
                <w:t xml:space="preserve"> </w:t>
              </w:r>
              <w:r>
                <w:t xml:space="preserve">complaints</w:t>
              </w:r>
              <w:r>
                <w:t xml:space="preserve"> </w:t>
              </w:r>
              <w:r>
                <w:t xml:space="preserve">possible</w:t>
              </w:r>
            </w:ins>
          </w:p>
        </w:tc>
        <w:tc>
          <w:tcPr/>
          <w:p>
            <w:ins w:id="10175" w:author="R2 Revision" w:date="2026-05-19T00:00:00Z">
              <w:pPr>
                <w:pStyle w:val="Compact"/>
                <w:jc w:val="left"/>
              </w:pPr>
              <w:r>
                <w:t xml:space="preserve">Formal appeal</w:t>
              </w:r>
              <w:r>
                <w:t xml:space="preserve"> </w:t>
              </w:r>
              <w:r>
                <w:t xml:space="preserve">mechanism</w:t>
              </w:r>
              <w:r>
                <w:t xml:space="preserve"> </w:t>
              </w:r>
              <w:r>
                <w:t xml:space="preserve">exists</w:t>
              </w:r>
            </w:ins>
          </w:p>
        </w:tc>
        <w:tc>
          <w:tcPr/>
          <w:p>
            <w:ins w:id="10176" w:author="R2 Revision" w:date="2026-05-19T00:00:00Z">
              <w:pPr>
                <w:pStyle w:val="Compact"/>
                <w:jc w:val="left"/>
              </w:pPr>
              <w:r>
                <w:t xml:space="preserve">Independent</w:t>
              </w:r>
              <w:r>
                <w:t xml:space="preserve"> </w:t>
              </w:r>
              <w:r>
                <w:t xml:space="preserve">arbitration +</w:t>
              </w:r>
              <w:r>
                <w:t xml:space="preserve"> </w:t>
              </w:r>
              <w:r>
                <w:t xml:space="preserve">veto rights</w:t>
              </w:r>
            </w:ins>
          </w:p>
        </w:tc>
      </w:tr>
      <w:tr>
        <w:tc>
          <w:tcPr/>
          <w:p>
            <w:ins w:id="10177" w:author="R2 Revision" w:date="2026-05-19T00:00:00Z">
              <w:pPr>
                <w:pStyle w:val="Compact"/>
                <w:jc w:val="left"/>
              </w:pPr>
              <w:r>
                <w:t xml:space="preserve">Ostrom</w:t>
              </w:r>
              <w:r>
                <w:t xml:space="preserve"> </w:t>
              </w:r>
              <w:r>
                <w:t xml:space="preserve">Polycentricity</w:t>
              </w:r>
            </w:ins>
          </w:p>
        </w:tc>
        <w:tc>
          <w:tcPr/>
          <w:p>
            <w:ins w:id="10178" w:author="R2 Revision" w:date="2026-05-19T00:00:00Z">
              <w:pPr>
                <w:pStyle w:val="Compact"/>
                <w:jc w:val="left"/>
              </w:pPr>
              <w:r>
                <w:t xml:space="preserve">Single decision</w:t>
              </w:r>
              <w:r>
                <w:t xml:space="preserve"> </w:t>
              </w:r>
              <w:r>
                <w:t xml:space="preserve">center</w:t>
              </w:r>
            </w:ins>
          </w:p>
        </w:tc>
        <w:tc>
          <w:tcPr/>
          <w:p>
            <w:ins w:id="10179" w:author="R2 Revision" w:date="2026-05-19T00:00:00Z">
              <w:pPr>
                <w:pStyle w:val="Compact"/>
                <w:jc w:val="left"/>
              </w:pPr>
              <w:r>
                <w:t xml:space="preserve">Advisory</w:t>
              </w:r>
              <w:r>
                <w:t xml:space="preserve"> </w:t>
              </w:r>
              <w:r>
                <w:t xml:space="preserve">subcommittees</w:t>
              </w:r>
            </w:ins>
          </w:p>
        </w:tc>
        <w:tc>
          <w:tcPr/>
          <w:p>
            <w:ins w:id="10180" w:author="R2 Revision" w:date="2026-05-19T00:00:00Z">
              <w:pPr>
                <w:pStyle w:val="Compact"/>
                <w:jc w:val="left"/>
              </w:pPr>
              <w:r>
                <w:t xml:space="preserve">Functional</w:t>
              </w:r>
              <w:r>
                <w:t xml:space="preserve"> </w:t>
              </w:r>
              <w:r>
                <w:t xml:space="preserve">subDAOs with</w:t>
              </w:r>
              <w:r>
                <w:t xml:space="preserve"> </w:t>
              </w:r>
              <w:r>
                <w:t xml:space="preserve">budgets</w:t>
              </w:r>
            </w:ins>
          </w:p>
        </w:tc>
        <w:tc>
          <w:tcPr/>
          <w:p>
            <w:ins w:id="10181" w:author="R2 Revision" w:date="2026-05-19T00:00:00Z">
              <w:pPr>
                <w:pStyle w:val="Compact"/>
                <w:jc w:val="left"/>
              </w:pPr>
              <w:r>
                <w:t xml:space="preserve">Nested</w:t>
              </w:r>
              <w:r>
                <w:t xml:space="preserve"> </w:t>
              </w:r>
              <w:r>
                <w:t xml:space="preserve">governance with</w:t>
              </w:r>
              <w:r>
                <w:t xml:space="preserve"> </w:t>
              </w:r>
              <w:r>
                <w:t xml:space="preserve">local autonomy</w:t>
              </w:r>
            </w:ins>
          </w:p>
        </w:tc>
      </w:tr>
      <w:tr>
        <w:tc>
          <w:tcPr/>
          <w:p>
            <w:ins w:id="10182" w:author="R2 Revision" w:date="2026-05-19T00:00:00Z">
              <w:pPr>
                <w:pStyle w:val="Compact"/>
                <w:jc w:val="left"/>
              </w:pPr>
              <w:r>
                <w:t xml:space="preserve">Hayek</w:t>
              </w:r>
              <w:r>
                <w:t xml:space="preserve"> </w:t>
              </w:r>
              <w:r>
                <w:t xml:space="preserve">Knowledge-use</w:t>
              </w:r>
            </w:ins>
          </w:p>
        </w:tc>
        <w:tc>
          <w:tcPr/>
          <w:p>
            <w:ins w:id="10183" w:author="R2 Revision" w:date="2026-05-19T00:00:00Z">
              <w:pPr>
                <w:pStyle w:val="Compact"/>
                <w:jc w:val="left"/>
              </w:pPr>
              <w:r>
                <w:t xml:space="preserve">Fixed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4" w:author="R2 Revision" w:date="2026-05-19T00:00:00Z">
              <w:pPr>
                <w:pStyle w:val="Compact"/>
                <w:jc w:val="left"/>
              </w:pPr>
              <w:r>
                <w:t xml:space="preserve">Admin-adjusted</w:t>
              </w:r>
              <w:r>
                <w:t xml:space="preserve"> </w:t>
              </w:r>
              <w:r>
                <w:t xml:space="preserve">parameters</w:t>
              </w:r>
            </w:ins>
          </w:p>
        </w:tc>
        <w:tc>
          <w:tcPr/>
          <w:p>
            <w:ins w:id="10185" w:author="R2 Revision" w:date="2026-05-19T00:00:00Z">
              <w:pPr>
                <w:pStyle w:val="Compact"/>
                <w:jc w:val="left"/>
              </w:pPr>
              <w:r>
                <w:t xml:space="preserve">Automated</w:t>
              </w:r>
              <w:r>
                <w:t xml:space="preserve"> </w:t>
              </w:r>
              <w:r>
                <w:t xml:space="preserve">price signals</w:t>
              </w:r>
            </w:ins>
          </w:p>
        </w:tc>
        <w:tc>
          <w:tcPr/>
          <w:p>
            <w:ins w:id="10186" w:author="R2 Revision" w:date="2026-05-19T00:00:00Z">
              <w:pPr>
                <w:pStyle w:val="Compact"/>
                <w:jc w:val="left"/>
              </w:pPr>
              <w:r>
                <w:t xml:space="preserve">Demand-coupled</w:t>
              </w:r>
              <w:r>
                <w:t xml:space="preserve"> </w:t>
              </w:r>
              <w:r>
                <w:t xml:space="preserve">mechanisms +</w:t>
              </w:r>
              <w:r>
                <w:t xml:space="preserve"> </w:t>
              </w:r>
              <w:r>
                <w:t xml:space="preserve">edge feedback</w:t>
              </w:r>
            </w:ins>
          </w:p>
        </w:tc>
      </w:tr>
    </w:tbl>
    <w:p>
      <w:ins w:id="1018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1.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Scoring rubric: philosophical lens evaluation (0 = absent,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3 = exemplary). Each lens has a two-layer structure: an operational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(what we score in each protocol) and a philosophical goal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(the normative warrant the tradition supplies). Kantian Publicity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transparent rules with published rationales;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legitimacy through public reason; Kant 1795</w:t>
        </w:r>
        <w:r>
          <w:rPr>
            <w:i/>
            <w:iCs/>
          </w:rPr>
          <w:t xml:space="preserve"> </w:t>
        </w:r>
        <w:r>
          <w:t xml:space="preserve">Toward Perpetual Peace</w:t>
        </w:r>
        <w:r>
          <w:rPr>
            <w:i/>
            <w:iCs/>
          </w:rPr>
          <w:t xml:space="preserve">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Rawlsian Fairness (operational: floor-raising distributional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mechanisms; goal: Difference Principle protection of the least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advantaged; Rawls 1971 §13, 2001 §13). Pettit Contestation (operational: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formal appeals and veto infrastructure; goal: non-domination as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freedom from arbitrary power; Pettit 1997</w:t>
        </w:r>
        <w:r>
          <w:rPr>
            <w:i/>
            <w:iCs/>
          </w:rPr>
          <w:t xml:space="preserve"> </w:t>
        </w:r>
        <w:r>
          <w:t xml:space="preserve">Republicanism</w:t>
        </w:r>
        <w:r>
          <w:rPr>
            <w:i/>
            <w:iCs/>
          </w:rPr>
          <w:t xml:space="preserve">, building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Skinner 1998</w:t>
        </w:r>
        <w:r>
          <w:rPr>
            <w:i/>
            <w:iCs/>
          </w:rPr>
          <w:t xml:space="preserve"> </w:t>
        </w:r>
        <w:r>
          <w:t xml:space="preserve">Liberty before Liberalism</w:t>
        </w:r>
        <w:r>
          <w:rPr>
            <w:i/>
            <w:iCs/>
          </w:rPr>
          <w:t xml:space="preserve">). Ostrom Polycentricity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(operational: nested decision-centers with local autonomy; goal: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adaptive collective action across heterogeneous environments;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Ostrom 1990</w:t>
        </w:r>
        <w:r>
          <w:rPr>
            <w:i/>
            <w:iCs/>
          </w:rPr>
          <w:t xml:space="preserve"> </w:t>
        </w:r>
        <w:r>
          <w:t xml:space="preserve">Governing the Commons</w:t>
        </w:r>
        <w:r>
          <w:rPr>
            <w:i/>
            <w:iCs/>
          </w:rPr>
          <w:t xml:space="preserve">; V. Ostrom, Tiebout, &amp; Warren 1961).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Hayek Knowledge-use (operational: demand-coupled signal mechanisms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edge feedback; goal: epistemic coordination through dispersed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information; Hayek 1945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“The Use of Knowledge in Society”</w:t>
        </w:r>
        <w:r>
          <w:rPr>
            <w:i/>
            <w:iCs/>
          </w:rPr>
          <w:t xml:space="preserve">).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two-layer structure is made explicit in Table 2’s scoring column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headers and applies symmetrically across all five lenses;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distinction prevents the common conflation of operational mechanism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with philosophical goal-state (e.g., contestation as the institutional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Pettit identifies for non-domination as the freedom-state).</w:t>
        </w:r>
      </w:ins>
    </w:p>
    <w:p>
      <w:ins w:id="10188" w:author="R2 Revision" w:date="2026-05-19T00:00:00Z">
        <w:pPr>
          <w:pStyle w:val="BodyText"/>
        </w:pPr>
        <w:r>
          <w:drawing>
            <wp:inline>
              <wp:extent cx="5303520" cy="3784061"/>
              <wp:effectExtent b="0" l="0" r="0" t="0"/>
              <wp:docPr descr="" title="" id="58" name="Picture"/>
              <a:graphic>
                <a:graphicData uri="http://schemas.openxmlformats.org/drawingml/2006/picture">
                  <pic:pic>
                    <pic:nvPicPr>
                      <pic:cNvPr descr="media/image2.png" id="5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5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303520" cy="3784061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18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Normative framework architecture: five philosophical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lenses are operationalized through a scoring rubric into five testable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design hypotheses. Dashed arrow indicates the empirical feedback loop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governance concentration evidence (Section 3) and case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developed separately. Reading the figure: each axis represents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separate philosophical lens; protocols satisfying multiple lenses occupy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upper-right regions, while concentration on a single lens leaves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others under-protected.</w:t>
        </w:r>
      </w:ins>
    </w:p>
    <w:bookmarkEnd w:id="60"/>
    <w:bookmarkEnd w:id="61"/>
    <w:bookmarkStart w:id="80" w:name="framework-operationalization"/>
    <w:p>
      <w:ins w:id="10190" w:author="R2 Revision" w:date="2026-05-19T00:00:00Z">
        <w:pPr>
          <w:pStyle w:val="Heading2"/>
        </w:pPr>
        <w:r>
          <w:t xml:space="preserve">2.10 Framework Operationalization</w:t>
        </w:r>
      </w:ins>
    </w:p>
    <w:bookmarkStart w:id="62" w:name="approach"/>
    <w:p>
      <w:ins w:id="10191" w:author="R2 Revision" w:date="2026-05-19T00:00:00Z">
        <w:pPr>
          <w:pStyle w:val="Heading3"/>
        </w:pPr>
        <w:r>
          <w:t xml:space="preserve">2.10.1 Approach</w:t>
        </w:r>
      </w:ins>
    </w:p>
    <w:p>
      <w:ins w:id="10192" w:author="R2 Revision" w:date="2026-05-19T00:00:00Z">
        <w:pPr>
          <w:pStyle w:val="FirstParagraph"/>
        </w:pPr>
        <w:r>
          <w:t xml:space="preserve">The framework is operationalized through three components: (1) a</w:t>
        </w:r>
        <w:r>
          <w:t xml:space="preserve"> </w:t>
        </w:r>
        <w:r>
          <w:t xml:space="preserve">structured dataset of protocol and DAO design variables; (2) a</w:t>
        </w:r>
        <w:r>
          <w:t xml:space="preserve"> </w:t>
        </w:r>
        <w:r>
          <w:t xml:space="preserve">philosophy-to-design scoring rubric translating the five normative</w:t>
        </w:r>
        <w:r>
          <w:t xml:space="preserve"> </w:t>
        </w:r>
        <w:r>
          <w:t xml:space="preserve">lenses into observable criteria; and (3) a governance concentration</w:t>
        </w:r>
        <w:r>
          <w:t xml:space="preserve"> </w:t>
        </w:r>
        <w:r>
          <w:t xml:space="preserve">cross-section measuring token distribution across 40 protocols. This</w:t>
        </w:r>
        <w:r>
          <w:t xml:space="preserve"> </w:t>
        </w:r>
        <w:r>
          <w:t xml:space="preserve">paper develops the framework and rubric, and presents the governance</w:t>
        </w:r>
        <w:r>
          <w:t xml:space="preserve"> </w:t>
        </w:r>
        <w:r>
          <w:t xml:space="preserve">concentration cross-section as an empirical illustration. The full</w:t>
        </w:r>
        <w:r>
          <w:t xml:space="preserve"> </w:t>
        </w:r>
        <w:r>
          <w:t xml:space="preserve">quantitative pipeline (regression, panel, and event-study analyses) and</w:t>
        </w:r>
        <w:r>
          <w:t xml:space="preserve"> </w:t>
        </w:r>
        <w:r>
          <w:t xml:space="preserve">qualitative case evidence are specified for future work and developed in</w:t>
        </w:r>
        <w:r>
          <w:t xml:space="preserve"> </w:t>
        </w:r>
        <w:r>
          <w:t xml:space="preserve">separate studies.</w:t>
        </w:r>
      </w:ins>
    </w:p>
    <w:p>
      <w:ins w:id="10193" w:author="R2 Revision" w:date="2026-05-19T00:00:00Z">
        <w:pPr>
          <w:pStyle w:val="BodyText"/>
        </w:pPr>
        <w:r>
          <w:t xml:space="preserve">Each row of Table 1 carries a two-layer structure that Table 2 makes</w:t>
        </w:r>
        <w:r>
          <w:t xml:space="preserve"> </w:t>
        </w:r>
        <w:r>
          <w:t xml:space="preserve">explicit. Layer 1 is the philosophical goal-state: legitimacy through</w:t>
        </w:r>
        <w:r>
          <w:t xml:space="preserve"> </w:t>
        </w:r>
        <w:r>
          <w:t xml:space="preserve">public reason (Kant), distributive fairness (Rawls), non-domination</w:t>
        </w:r>
        <w:r>
          <w:t xml:space="preserve"> </w:t>
        </w:r>
        <w:r>
          <w:t xml:space="preserve">(Pettit), adaptive collective action (Ostrom), and epistemic</w:t>
        </w:r>
        <w:r>
          <w:t xml:space="preserve"> </w:t>
        </w:r>
        <w:r>
          <w:t xml:space="preserve">coordination through dispersed information (Hayek). Layer 2 is the</w:t>
        </w:r>
        <w:r>
          <w:t xml:space="preserve"> </w:t>
        </w:r>
        <w:r>
          <w:t xml:space="preserve">operational mechanism scored in each protocol: transparent rules with</w:t>
        </w:r>
        <w:r>
          <w:t xml:space="preserve"> </w:t>
        </w:r>
        <w:r>
          <w:t xml:space="preserve">published rationale (operationalizing publicity), floor-raising</w:t>
        </w:r>
        <w:r>
          <w:t xml:space="preserve"> </w:t>
        </w:r>
        <w:r>
          <w:t xml:space="preserve">distribution mechanisms (operationalizing fairness), formal appeals and</w:t>
        </w:r>
        <w:r>
          <w:t xml:space="preserve"> </w:t>
        </w:r>
        <w:r>
          <w:t xml:space="preserve">veto rights (operationalizing contestability, which is the institutional</w:t>
        </w:r>
        <w:r>
          <w:t xml:space="preserve"> </w:t>
        </w:r>
        <w:r>
          <w:t xml:space="preserve">mechanism Pettit identifies for non-domination), nested decision-centers</w:t>
        </w:r>
        <w:r>
          <w:t xml:space="preserve"> </w:t>
        </w:r>
        <w:r>
          <w:t xml:space="preserve">(operationalizing polycentricity), and demand-coupled signal mechanisms</w:t>
        </w:r>
        <w:r>
          <w:t xml:space="preserve"> </w:t>
        </w:r>
        <w:r>
          <w:t xml:space="preserve">(operationalizing knowledge-use). The scoring rubric measures Layer 2</w:t>
        </w:r>
        <w:r>
          <w:t xml:space="preserve"> </w:t>
        </w:r>
        <w:r>
          <w:t xml:space="preserve">in each protocol; Layer 1 supplies the normative warrant for why</w:t>
        </w:r>
        <w:r>
          <w:t xml:space="preserve"> </w:t>
        </w:r>
        <w:r>
          <w:t xml:space="preserve">Layer 2 matters. This two-layer structure prevents the common</w:t>
        </w:r>
        <w:r>
          <w:t xml:space="preserve"> </w:t>
        </w:r>
        <w:r>
          <w:t xml:space="preserve">conflation of philosophical goal with institutional mechanism (for</w:t>
        </w:r>
        <w:r>
          <w:t xml:space="preserve"> </w:t>
        </w:r>
        <w:r>
          <w:t xml:space="preserve">example, treating non-domination and contestation interchangeably,</w:t>
        </w:r>
        <w:r>
          <w:t xml:space="preserve"> </w:t>
        </w:r>
        <w:r>
          <w:t xml:space="preserve">when Pettit explicitly distinguishes them: non-domination is the</w:t>
        </w:r>
        <w:r>
          <w:t xml:space="preserve"> </w:t>
        </w:r>
        <w:r>
          <w:t xml:space="preserve">freedom-state; contestation is the mechanism by which legitimate</w:t>
        </w:r>
        <w:r>
          <w:t xml:space="preserve"> </w:t>
        </w:r>
        <w:r>
          <w:t xml:space="preserve">governance produces it).</w:t>
        </w:r>
      </w:ins>
    </w:p>
    <w:bookmarkEnd w:id="62"/>
    <w:bookmarkStart w:id="67" w:name="units-of-analysis-and-sampling-strategy"/>
    <w:p>
      <w:ins w:id="10194" w:author="R2 Revision" w:date="2026-05-19T00:00:00Z">
        <w:pPr>
          <w:pStyle w:val="Heading3"/>
        </w:pPr>
        <w:r>
          <w:t xml:space="preserve">2.10.2 Units of Analysis and Sampling Strategy</w:t>
        </w:r>
      </w:ins>
    </w:p>
    <w:p>
      <w:ins w:id="10195" w:author="R2 Revision" w:date="2026-05-19T00:00:00Z">
        <w:pPr>
          <w:pStyle w:val="FirstParagraph"/>
        </w:pPr>
        <w:r>
          <w:t xml:space="preserve">Holder-list cutoff: the top-1,000 holder cutoff follows established</w:t>
        </w:r>
        <w:r>
          <w:t xml:space="preserve"> </w:t>
        </w:r>
        <w:r>
          <w:t xml:space="preserve">convention in the token-governance concentration literature (Sai et al.,</w:t>
        </w:r>
        <w:r>
          <w:t xml:space="preserve"> </w:t>
        </w:r>
        <w:r>
          <w:t xml:space="preserve">2021 use comparable cutoffs across blockchain governance studies). The</w:t>
        </w:r>
        <w:r>
          <w:t xml:space="preserve"> </w:t>
        </w:r>
        <w:r>
          <w:t xml:space="preserve">cutoff captures the holder population materially relevant to governance</w:t>
        </w:r>
        <w:r>
          <w:t xml:space="preserve"> </w:t>
        </w:r>
        <w:r>
          <w:t xml:space="preserve">decisions; long-tail holders below this threshold collectively hold less</w:t>
        </w:r>
        <w:r>
          <w:t xml:space="preserve"> </w:t>
        </w:r>
        <w:r>
          <w:t xml:space="preserve">than five percent of supply across all sample protocols. Robustness</w:t>
        </w:r>
        <w:r>
          <w:t xml:space="preserve"> </w:t>
        </w:r>
        <w:r>
          <w:t xml:space="preserve">across cutoffs is supported by the Top-1%, Top-5%, and Top-10% columns</w:t>
        </w:r>
        <w:r>
          <w:t xml:space="preserve"> </w:t>
        </w:r>
        <w:r>
          <w:t xml:space="preserve">in Table 4: rank-ordering across protocols is preserved at all three</w:t>
        </w:r>
        <w:r>
          <w:t xml:space="preserve"> </w:t>
        </w:r>
        <w:r>
          <w:t xml:space="preserve">cutoffs (Spearman rho &gt; 0.95 between any two columns), indicating that</w:t>
        </w:r>
        <w:r>
          <w:t xml:space="preserve"> </w:t>
        </w:r>
        <w:r>
          <w:t xml:space="preserve">absolute HHI values may shift modestly with deeper-tail inclusion but</w:t>
        </w:r>
        <w:r>
          <w:t xml:space="preserve"> </w:t>
        </w:r>
        <w:r>
          <w:t xml:space="preserve">cross-protocol comparison remains robust to the cutoff choice. For</w:t>
        </w:r>
        <w:r>
          <w:t xml:space="preserve"> </w:t>
        </w:r>
        <w:r>
          <w:t xml:space="preserve">protocols with fewer than 1,000 unique non-zero holders after exclusion</w:t>
        </w:r>
        <w:r>
          <w:t xml:space="preserve"> </w:t>
        </w:r>
        <w:r>
          <w:t xml:space="preserve">(e.g., ZRO with N = 989), the actual holder count is reported; the</w:t>
        </w:r>
        <w:r>
          <w:t xml:space="preserve"> </w:t>
        </w:r>
        <w:r>
          <w:t xml:space="preserve">1,000-holder cutoff serves as a ceiling rather than a floor.</w:t>
        </w:r>
      </w:ins>
    </w:p>
    <w:p>
      <w:ins w:id="10196" w:author="R2 Revision" w:date="2026-05-19T00:00:00Z">
        <w:pPr>
          <w:pStyle w:val="BodyText"/>
        </w:pPr>
        <w:r>
          <w:t xml:space="preserve">Top-1% and Top-10% columns report literal cumulative shares: Top-1%</w:t>
        </w:r>
        <w:r>
          <w:t xml:space="preserve"> </w:t>
        </w:r>
        <w:r>
          <w:t xml:space="preserve">is the supply share of the single largest holder; Top-10% is the</w:t>
        </w:r>
        <w:r>
          <w:t xml:space="preserve"> </w:t>
        </w:r>
        <w:r>
          <w:t xml:space="preserve">cumulative share of the top 10 holders, both computed as percentages</w:t>
        </w:r>
        <w:r>
          <w:t xml:space="preserve"> </w:t>
        </w:r>
        <w:r>
          <w:t xml:space="preserve">of the post-exclusion top-1,000-holder sample total. The Top-5%</w:t>
        </w:r>
        <w:r>
          <w:t xml:space="preserve"> </w:t>
        </w:r>
        <w:r>
          <w:t xml:space="preserve">column (in the canonical CSV; not displayed in this table) reports</w:t>
        </w:r>
        <w:r>
          <w:t xml:space="preserve"> </w:t>
        </w:r>
        <w:r>
          <w:t xml:space="preserve">the top 5 holders cumulative share under the same convention. For</w:t>
        </w:r>
        <w:r>
          <w:t xml:space="preserve"> </w:t>
        </w:r>
        <w:r>
          <w:t xml:space="preserve">protocols with fewer than 1,000 unique non-zero holders after</w:t>
        </w:r>
        <w:r>
          <w:t xml:space="preserve"> </w:t>
        </w:r>
        <w:r>
          <w:t xml:space="preserve">exclusion, the same literal-top-N convention applies to the actual N.</w:t>
        </w:r>
        <w:r>
          <w:t xml:space="preserve"> </w:t>
        </w:r>
        <w:r>
          <w:t xml:space="preserve">For Hyperliquid (N = 1,886 unique non-zero holders post-exclusion),</w:t>
        </w:r>
        <w:r>
          <w:t xml:space="preserve"> </w:t>
        </w:r>
        <w:r>
          <w:t xml:space="preserve">the top-1,000 holders are sampled and the literal top-1 and top-10</w:t>
        </w:r>
        <w:r>
          <w:t xml:space="preserve"> </w:t>
        </w:r>
        <w:r>
          <w:t xml:space="preserve">shares within that top-1,000 sample are reported.</w:t>
        </w:r>
      </w:ins>
    </w:p>
    <w:p>
      <w:ins w:id="10197" w:author="R2 Revision" w:date="2026-05-19T00:00:00Z">
        <w:pPr>
          <w:pStyle w:val="BodyText"/>
        </w:pPr>
        <w:r>
          <w:t xml:space="preserve">Primary unit:</w:t>
        </w:r>
        <w:r>
          <w:t xml:space="preserve"> </w:t>
        </w:r>
        <w:r>
          <w:rPr>
            <w:b/>
            <w:bCs/>
          </w:rPr>
          <w:t xml:space="preserve">protocol-token system</w:t>
        </w:r>
        <w:r>
          <w:t xml:space="preserve"> </w:t>
        </w:r>
        <w:r>
          <w:t xml:space="preserve">(including its governance</w:t>
        </w:r>
        <w:r>
          <w:t xml:space="preserve"> </w:t>
        </w:r>
        <w:r>
          <w:t xml:space="preserve">institutions).</w:t>
        </w:r>
        <w:r>
          <w:br/>
        </w:r>
        <w:r>
          <w:t xml:space="preserve">Secondary unit:</w:t>
        </w:r>
        <w:r>
          <w:t xml:space="preserve"> </w:t>
        </w:r>
        <w:r>
          <w:rPr>
            <w:b/>
            <w:bCs/>
          </w:rPr>
          <w:t xml:space="preserve">governance episodes/events</w:t>
        </w:r>
        <w:r>
          <w:t xml:space="preserve"> </w:t>
        </w:r>
        <w:r>
          <w:t xml:space="preserve">(emission changes, fee</w:t>
        </w:r>
        <w:r>
          <w:t xml:space="preserve"> </w:t>
        </w:r>
        <w:r>
          <w:t xml:space="preserve">switches, unlocks, enforcement controversies, governance reforms).</w:t>
        </w:r>
      </w:ins>
    </w:p>
    <w:p>
      <w:ins w:id="10198" w:author="R2 Revision" w:date="2026-05-19T00:00:00Z">
        <w:pPr>
          <w:pStyle w:val="BodyText"/>
        </w:pPr>
        <w:r>
          <w:t xml:space="preserve">Protocols were selected to maximize variation across three dimensions:</w:t>
        </w:r>
        <w:r>
          <w:t xml:space="preserve"> </w:t>
        </w:r>
        <w:r>
          <w:t xml:space="preserve">sector (15 DeFi, 15 DePIN, 8 L1/L2 infrastructure protocols where L1</w:t>
        </w:r>
        <w:r>
          <w:t xml:space="preserve"> </w:t>
        </w:r>
        <w:r>
          <w:t xml:space="preserve">denotes a base-layer blockchain like Ethereum and L2 denotes a</w:t>
        </w:r>
        <w:r>
          <w:t xml:space="preserve"> </w:t>
        </w:r>
        <w:r>
          <w:t xml:space="preserve">scaling-layer chain that settles to L1, 2 failed or stagnated</w:t>
        </w:r>
        <w:r>
          <w:t xml:space="preserve"> </w:t>
        </w:r>
        <w:r>
          <w:t xml:space="preserve">protocols included to avoid studying only survivors), maturity</w:t>
        </w:r>
        <w:r>
          <w:t xml:space="preserve"> </w:t>
        </w:r>
        <w:r>
          <w:t xml:space="preserve">(2017-2024 launches), and governance model (token-weighted, delegate,</w:t>
        </w:r>
        <w:r>
          <w:t xml:space="preserve"> </w:t>
        </w:r>
        <w:r>
          <w:t xml:space="preserve">futarchy where futarchy means governance through prediction-market</w:t>
        </w:r>
        <w:r>
          <w:t xml:space="preserve"> </w:t>
        </w:r>
        <w:r>
          <w:t xml:space="preserve">betting on the outcomes of proposed policies). The expanded 40-protocol</w:t>
        </w:r>
        <w:r>
          <w:t xml:space="preserve"> </w:t>
        </w:r>
        <w:r>
          <w:t xml:space="preserve">sample was constructed by adding protocols from the Dune Analytics</w:t>
        </w:r>
        <w:r>
          <w:t xml:space="preserve"> </w:t>
        </w:r>
        <w:r>
          <w:t xml:space="preserve">ecosystem (Dune is a community blockchain-data platform where analysts</w:t>
        </w:r>
        <w:r>
          <w:t xml:space="preserve"> </w:t>
        </w:r>
        <w:r>
          <w:t xml:space="preserve">publish SQL queries that aggregate on-chain transactions into</w:t>
        </w:r>
        <w:r>
          <w:t xml:space="preserve"> </w:t>
        </w:r>
        <w:r>
          <w:t xml:space="preserve">human-readable tables) that met three criteria: (i) publicly traded</w:t>
        </w:r>
        <w:r>
          <w:t xml:space="preserve"> </w:t>
        </w:r>
        <w:r>
          <w:t xml:space="preserve">governance token, (ii) holder data queryable via Dune or</w:t>
        </w:r>
        <w:r>
          <w:t xml:space="preserve"> </w:t>
        </w:r>
        <w:r>
          <w:t xml:space="preserve">Helius DAS API (a Solana-blockchain data service that provides</w:t>
        </w:r>
        <w:r>
          <w:t xml:space="preserve"> </w:t>
        </w:r>
        <w:r>
          <w:t xml:space="preserve">holder-balance queries via the Digital Asset Standard), and (iii) at</w:t>
        </w:r>
        <w:r>
          <w:t xml:space="preserve"> </w:t>
        </w:r>
        <w:r>
          <w:t xml:space="preserve">least 50 non-zero-balance holders after protocol-controlled address</w:t>
        </w:r>
        <w:r>
          <w:t xml:space="preserve"> </w:t>
        </w:r>
        <w:r>
          <w:t xml:space="preserve">exclusion. MetaDAO is included as the sole futarchy-governance protocol</w:t>
        </w:r>
        <w:r>
          <w:t xml:space="preserve"> </w:t>
        </w:r>
        <w:r>
          <w:t xml:space="preserve">in the sample. Solana-native tokens (META, DRIFT, GRASS, W) required a</w:t>
        </w:r>
        <w:r>
          <w:t xml:space="preserve"> </w:t>
        </w:r>
        <w:r>
          <w:t xml:space="preserve">separate data collection pipeline (Helius DAS API) because the primary</w:t>
        </w:r>
        <w:r>
          <w:t xml:space="preserve"> </w:t>
        </w:r>
        <w:r>
          <w:t xml:space="preserve">Ethereum-focused indexer undercounted Solana holders by two orders of</w:t>
        </w:r>
        <w:r>
          <w:t xml:space="preserve"> </w:t>
        </w:r>
        <w:r>
          <w:t xml:space="preserve">magnitude; details are in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.</w:t>
        </w:r>
      </w:ins>
    </w:p>
    <w:p>
      <w:ins w:id="10199" w:author="R2 Revision" w:date="2026-05-19T00:00:00Z">
        <w:pPr>
          <w:pStyle w:val="BodyText"/>
        </w:pPr>
        <w:r>
          <w:drawing>
            <wp:inline>
              <wp:extent cx="5029200" cy="5136435"/>
              <wp:effectExtent b="0" l="0" r="0" t="0"/>
              <wp:docPr descr="" title="" id="65" name="Picture"/>
              <a:graphic>
                <a:graphicData uri="http://schemas.openxmlformats.org/drawingml/2006/picture">
                  <pic:pic>
                    <pic:nvPicPr>
                      <pic:cNvPr descr="media/image1.png" id="6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6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513643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20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Holding-based Herfindahl-Hirschman Index (HHI) across 40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tokens (March 2026 snapshot, top-1,000 holders,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protocol-controlled addresses excluded). Dashed lines indicate category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means. Protocols sorted by category then HHI ascending. Reading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figure: bars show pre-exclusion HHI, with the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(governance-relevant) HHI overlay; the gap between the two indicates how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much of measured concentration was protocol-controlled rather than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governance-relevant.</w:t>
        </w:r>
      </w:ins>
    </w:p>
    <w:p>
      <w:ins w:id="10201" w:author="R2 Revision" w:date="2026-05-19T00:00:00Z">
        <w:pPr>
          <w:pStyle w:val="BodyText"/>
        </w:pPr>
        <w:r>
          <w:t xml:space="preserve">Inequality (Gini) is near-universal across all sectors (range 0.45 to</w:t>
        </w:r>
        <w:r>
          <w:t xml:space="preserve"> </w:t>
        </w:r>
        <w:r>
          <w:t xml:space="preserve">0.99), while concentration (HHI) varies by an order of magnitude (0.004</w:t>
        </w:r>
        <w:r>
          <w:t xml:space="preserve"> </w:t>
        </w:r>
        <w:r>
          <w:t xml:space="preserve">to 0.199 after excluding protocol-controlled addresses). Token wealth</w:t>
        </w:r>
        <w:r>
          <w:t xml:space="preserve"> </w:t>
        </w:r>
        <w:r>
          <w:t xml:space="preserve">inequality is a structural feature of token systems, but governance</w:t>
        </w:r>
        <w:r>
          <w:t xml:space="preserve"> </w:t>
        </w:r>
        <w:r>
          <w:t xml:space="preserve">concentration, how far power concentrates among few addresses, is</w:t>
        </w:r>
        <w:r>
          <w:t xml:space="preserve"> </w:t>
        </w:r>
        <w:r>
          <w:t xml:space="preserve">design-sensitive. Governance structure is a constitutional choice, not</w:t>
        </w:r>
        <w:r>
          <w:t xml:space="preserve"> </w:t>
        </w:r>
        <w:r>
          <w:t xml:space="preserve">an afterthought. Prior work applying the Gini coefficient to eight major</w:t>
        </w:r>
        <w:r>
          <w:t xml:space="preserve"> </w:t>
        </w:r>
        <w:r>
          <w:t xml:space="preserve">cryptocurrencies found inequality levels comparable to real-world</w:t>
        </w:r>
        <w:r>
          <w:t xml:space="preserve"> </w:t>
        </w:r>
        <w:r>
          <w:t xml:space="preserve">economies (Sai, Buckley, &amp; Le Gear, 2021); because permissionless</w:t>
        </w:r>
        <w:r>
          <w:t xml:space="preserve"> </w:t>
        </w:r>
        <w:r>
          <w:t xml:space="preserve">address creation produces millions of near-zero-balance wallets that</w:t>
        </w:r>
        <w:r>
          <w:t xml:space="preserve"> </w:t>
        </w:r>
        <w:r>
          <w:t xml:space="preserve">inflate Gini toward 1.0 regardless of governance structure, the</w:t>
        </w:r>
        <w:r>
          <w:t xml:space="preserve"> </w:t>
        </w:r>
        <w:r>
          <w:t xml:space="preserve">near-universal inequality this sample documents (Gini 0.52 to 0.99) is a</w:t>
        </w:r>
        <w:r>
          <w:t xml:space="preserve"> </w:t>
        </w:r>
        <w:r>
          <w:t xml:space="preserve">measurement artifact of ledger architecture rather than a governance</w:t>
        </w:r>
        <w:r>
          <w:t xml:space="preserve"> </w:t>
        </w:r>
        <w:r>
          <w:t xml:space="preserve">signal, reinforcing the case for HHI as the primary concentration</w:t>
        </w:r>
        <w:r>
          <w:t xml:space="preserve"> </w:t>
        </w:r>
        <w:r>
          <w:t xml:space="preserve">metric.</w:t>
        </w:r>
      </w:ins>
    </w:p>
    <w:p>
      <w:ins w:id="10202" w:author="R2 Revision" w:date="2026-05-19T00:00:00Z">
        <w:pPr>
          <w:pStyle w:val="BodyText"/>
        </w:pPr>
        <w:r>
          <w:t xml:space="preserve">The Anyone Protocol (HHI 0.013; Table 4) demonstrates that governance</w:t>
        </w:r>
        <w:r>
          <w:t xml:space="preserve"> </w:t>
        </w:r>
        <w:r>
          <w:t xml:space="preserve">concentration is a design choice, not an inevitability of DePIN</w:t>
        </w:r>
        <w:r>
          <w:t xml:space="preserve"> </w:t>
        </w:r>
        <w:r>
          <w:t xml:space="preserve">architecture. Five DePIN protocols (Render 0.027, Grass 0.035, DIMO</w:t>
        </w:r>
        <w:r>
          <w:t xml:space="preserve"> </w:t>
        </w:r>
        <w:r>
          <w:t xml:space="preserve">0.025, Anyone 0.013, Filecoin 0.022) achieve concentration levels at or</w:t>
        </w:r>
        <w:r>
          <w:t xml:space="preserve"> </w:t>
        </w:r>
        <w:r>
          <w:t xml:space="preserve">below the DeFi median, indicating that low concentration is achievable</w:t>
        </w:r>
        <w:r>
          <w:t xml:space="preserve"> </w:t>
        </w:r>
        <w:r>
          <w:t xml:space="preserve">in hardware-coordination protocols.</w:t>
        </w:r>
      </w:ins>
    </w:p>
    <w:p>
      <w:ins w:id="10203" w:author="R2 Revision" w:date="2026-05-19T00:00:00Z">
        <w:pPr>
          <w:pStyle w:val="BodyText"/>
        </w:pPr>
        <w:r>
          <w:t xml:space="preserve">Sampling principles: include multiple categories (L1/L2, DeFi,</w:t>
        </w:r>
        <w:r>
          <w:t xml:space="preserve"> </w:t>
        </w:r>
        <w:r>
          <w:t xml:space="preserve">infra/oracles, DePIN, social)</w:t>
        </w:r>
      </w:ins>
    </w:p>
    <w:p>
      <w:ins w:id="10204" w:author="R2 Revision" w:date="2026-05-19T00:00:00Z">
        <w:pPr>
          <w:pStyle w:val="BodyText"/>
        </w:pPr>
        <w:r>
          <w:t xml:space="preserve">include</w:t>
        </w:r>
        <w:r>
          <w:t xml:space="preserve"> </w:t>
        </w:r>
        <w:r>
          <w:t xml:space="preserve">“dead”</w:t>
        </w:r>
        <w:r>
          <w:t xml:space="preserve"> </w:t>
        </w:r>
        <w:r>
          <w:t xml:space="preserve">or stagnated projects to reduce survivorship bias</w:t>
        </w:r>
      </w:ins>
    </w:p>
    <w:p>
      <w:ins w:id="10205" w:author="R2 Revision" w:date="2026-05-19T00:00:00Z">
        <w:pPr>
          <w:pStyle w:val="BodyText"/>
        </w:pPr>
        <w:r>
          <w:t xml:space="preserve">stratify by chain and epoch to control for regime effects</w:t>
        </w:r>
      </w:ins>
    </w:p>
    <w:bookmarkEnd w:id="67"/>
    <w:bookmarkStart w:id="68" w:name="Xaacb50fea6df1cee9492765d6d199ee06417d5d"/>
    <w:p>
      <w:ins w:id="10206" w:author="R2 Revision" w:date="2026-05-19T00:00:00Z">
        <w:pPr>
          <w:pStyle w:val="Heading3"/>
        </w:pPr>
        <w:r>
          <w:t xml:space="preserve">2.10.3 Data Sources (Replicable, Multi-Disciplinary)</w:t>
        </w:r>
      </w:ins>
    </w:p>
    <w:p>
      <w:ins w:id="10207" w:author="R2 Revision" w:date="2026-05-19T00:00:00Z">
        <w:pPr>
          <w:pStyle w:val="FirstParagraph"/>
        </w:pPr>
        <w:r>
          <w:t xml:space="preserve">Four data streams inform the analysis: on-chain data (Dune Analytics,</w:t>
        </w:r>
        <w:r>
          <w:t xml:space="preserve"> </w:t>
        </w:r>
        <w:r>
          <w:t xml:space="preserve">Helius DAS API), protocol documentation (whitepapers, governance forums,</w:t>
        </w:r>
        <w:r>
          <w:t xml:space="preserve"> </w:t>
        </w:r>
        <w:r>
          <w:t xml:space="preserve">parameter docs), analytic aggregators (Token Terminal, DeFiLlama,</w:t>
        </w:r>
        <w:r>
          <w:t xml:space="preserve"> </w:t>
        </w:r>
        <w:r>
          <w:t xml:space="preserve">CoinGecko), and public academic and policy sources. A systematic data</w:t>
        </w:r>
        <w:r>
          <w:t xml:space="preserve"> </w:t>
        </w:r>
        <w:r>
          <w:t xml:space="preserve">coverage gap between DeFi and DePIN protocols (Token Terminal covers</w:t>
        </w:r>
        <w:r>
          <w:t xml:space="preserve"> </w:t>
        </w:r>
        <w:r>
          <w:t xml:space="preserve">approximately 100% of DeFi but only 25% of DePIN) constrains</w:t>
        </w:r>
        <w:r>
          <w:t xml:space="preserve"> </w:t>
        </w:r>
        <w:r>
          <w:t xml:space="preserve">cross-sector regression analysis. Full source provenance, exclusion</w:t>
        </w:r>
        <w:r>
          <w:t xml:space="preserve"> </w:t>
        </w:r>
        <w:r>
          <w:t xml:space="preserve">methodology, the protocols Token Terminal does not cover, and the</w:t>
        </w:r>
        <w:r>
          <w:t xml:space="preserve"> </w:t>
        </w:r>
        <w:r>
          <w:t xml:space="preserve">resulting partial-data subsets are documented in Supplementary File S6.</w:t>
        </w:r>
      </w:ins>
    </w:p>
    <w:p>
      <w:ins w:id="10208" w:author="R2 Revision" w:date="2026-05-19T00:00:00Z">
        <w:pPr>
          <w:pStyle w:val="BodyText"/>
        </w:pPr>
        <w:r>
          <w:t xml:space="preserve">Snapshot date discipline for governance-power data: the Table 7 voting</w:t>
        </w:r>
        <w:r>
          <w:t xml:space="preserve"> </w:t>
        </w:r>
        <w:r>
          <w:t xml:space="preserve">HHI values are computed from a March 2026 snapshot of Tally and</w:t>
        </w:r>
        <w:r>
          <w:t xml:space="preserve"> </w:t>
        </w:r>
        <w:r>
          <w:t xml:space="preserve">Snapshot governance data, consistent with the March 2026 holder-list</w:t>
        </w:r>
        <w:r>
          <w:t xml:space="preserve"> </w:t>
        </w:r>
        <w:r>
          <w:t xml:space="preserve">snapshot used for Table 4 holding HHI. Replication Tally and Snapshot</w:t>
        </w:r>
        <w:r>
          <w:t xml:space="preserve"> </w:t>
        </w:r>
        <w:r>
          <w:t xml:space="preserve">API queries in May 2026 confirmed that voting-power distributions can</w:t>
        </w:r>
        <w:r>
          <w:t xml:space="preserve"> </w:t>
        </w:r>
        <w:r>
          <w:t xml:space="preserve">drift materially over multi-month windows: a fresh Compound Tally pull</w:t>
        </w:r>
        <w:r>
          <w:t xml:space="preserve"> </w:t>
        </w:r>
        <w:r>
          <w:t xml:space="preserve">in May 2026 returned roughly 120 delegates with non-zero voting power,</w:t>
        </w:r>
        <w:r>
          <w:t xml:space="preserve"> </w:t>
        </w:r>
        <w:r>
          <w:t xml:space="preserve">compared with the 100-delegate sample available in March 2026. The Snapshot voter pool for Compound</w:t>
        </w:r>
        <w:r>
          <w:t xml:space="preserve"> </w:t>
        </w:r>
        <w:r>
          <w:t xml:space="preserve">grew from 114 unique voters in March 2026 to 138 by May 2026 over a</w:t>
        </w:r>
        <w:r>
          <w:t xml:space="preserve"> </w:t>
        </w:r>
        <w:r>
          <w:t xml:space="preserve">12-month rolling window. The Table 7 values use March 2026 to maintain</w:t>
        </w:r>
        <w:r>
          <w:t xml:space="preserve"> </w:t>
        </w:r>
        <w:r>
          <w:t xml:space="preserve">cross-table consistency; replication runs using fresh Tally and</w:t>
        </w:r>
        <w:r>
          <w:t xml:space="preserve"> </w:t>
        </w:r>
        <w:r>
          <w:t xml:space="preserve">Snapshot data should expect comparable but not identical voting HHI</w:t>
        </w:r>
        <w:r>
          <w:t xml:space="preserve"> </w:t>
        </w:r>
        <w:r>
          <w:t xml:space="preserve">values, and rank ordering across protocols is the more durable</w:t>
        </w:r>
        <w:r>
          <w:t xml:space="preserve"> </w:t>
        </w:r>
        <w:r>
          <w:t xml:space="preserve">inferential property than absolute magnitude. Section 3.7 reports a</w:t>
        </w:r>
        <w:r>
          <w:t xml:space="preserve"> </w:t>
        </w:r>
        <w:r>
          <w:t xml:space="preserve">PCA-symmetric voting-HHI sensitivity check using both March 2026 and</w:t>
        </w:r>
        <w:r>
          <w:t xml:space="preserve"> </w:t>
        </w:r>
        <w:r>
          <w:t xml:space="preserve">May 2026 data.</w:t>
        </w:r>
      </w:ins>
    </w:p>
    <w:bookmarkEnd w:id="68"/>
    <w:bookmarkStart w:id="70" w:name="codebook-and-rubric"/>
    <w:p>
      <w:ins w:id="10209" w:author="R2 Revision" w:date="2026-05-19T00:00:00Z">
        <w:pPr>
          <w:pStyle w:val="Heading3"/>
        </w:pPr>
        <w:r>
          <w:t xml:space="preserve">2.10.4 Codebook and Rubric</w:t>
        </w:r>
      </w:ins>
    </w:p>
    <w:p>
      <w:ins w:id="10210" w:author="R2 Revision" w:date="2026-05-19T00:00:00Z">
        <w:pPr>
          <w:pStyle w:val="FirstParagraph"/>
        </w:pPr>
        <w:r>
          <w:t xml:space="preserve">Insider taxonomy: the analysis distinguishes two related but distinct</w:t>
        </w:r>
        <w:r>
          <w:t xml:space="preserve"> </w:t>
        </w:r>
        <w:r>
          <w:t xml:space="preserve">constructs. Insider allocation (insider_pct) is the regression covariate</w:t>
        </w:r>
        <w:r>
          <w:t xml:space="preserve"> </w:t>
        </w:r>
        <w:r>
          <w:t xml:space="preserve">measured at token generation event (TGE; the moment a protocol first</w:t>
        </w:r>
        <w:r>
          <w:t xml:space="preserve"> </w:t>
        </w:r>
        <w:r>
          <w:t xml:space="preserve">mints and distributes its token to a defined set of recipients),</w:t>
        </w:r>
        <w:r>
          <w:t xml:space="preserve"> </w:t>
        </w:r>
        <w:r>
          <w:t xml:space="preserve">defined as team_pct + investor_pct from primary tokenomics sources.</w:t>
        </w:r>
        <w:r>
          <w:t xml:space="preserve"> </w:t>
        </w:r>
        <w:r>
          <w:t xml:space="preserve">Insider count fraction in top-10 holders is a descriptive mechanism</w:t>
        </w:r>
        <w:r>
          <w:t xml:space="preserve"> </w:t>
        </w:r>
        <w:r>
          <w:t xml:space="preserve">variable measured post-distribution from holder snapshots, defined as</w:t>
        </w:r>
        <w:r>
          <w:t xml:space="preserve"> </w:t>
        </w:r>
        <w:r>
          <w:t xml:space="preserve">the post-exclusion fraction of wallets in the top-10 classified as</w:t>
        </w:r>
        <w:r>
          <w:t xml:space="preserve"> </w:t>
        </w:r>
        <w:r>
          <w:t xml:space="preserve">insider via a three-tier procedure: Tier 1 uses Blockscout verified-</w:t>
        </w:r>
        <w:r>
          <w:t xml:space="preserve"> </w:t>
        </w:r>
        <w:r>
          <w:t xml:space="preserve">contract labels and Dune exchange tags; Tier 2 uses contract bytecode</w:t>
        </w:r>
        <w:r>
          <w:t xml:space="preserve"> </w:t>
        </w:r>
        <w:r>
          <w:t xml:space="preserve">matching for SafeProxy and GnosisSafe (multi-signature wallets where</w:t>
        </w:r>
        <w:r>
          <w:t xml:space="preserve"> </w:t>
        </w:r>
        <w:r>
          <w:t xml:space="preserve">several authorized parties must each sign a transaction to authorize</w:t>
        </w:r>
        <w:r>
          <w:t xml:space="preserve"> </w:t>
        </w:r>
        <w:r>
          <w:t xml:space="preserve">fund movement, commonly used as protocol treasuries) and vesting</w:t>
        </w:r>
        <w:r>
          <w:t xml:space="preserve"> </w:t>
        </w:r>
        <w:r>
          <w:t xml:space="preserve">contracts; Tier 3 uses Etherscan (an Ethereum blockchain explorer)</w:t>
        </w:r>
        <w:r>
          <w:t xml:space="preserve"> </w:t>
        </w:r>
        <w:r>
          <w:t xml:space="preserve">named-address matching against documented foundation, treasury, and</w:t>
        </w:r>
        <w:r>
          <w:t xml:space="preserve"> </w:t>
        </w:r>
        <w:r>
          <w:t xml:space="preserve">team wallets.</w:t>
        </w:r>
        <w:r>
          <w:t xml:space="preserve"> </w:t>
        </w:r>
        <w:r>
          <w:t xml:space="preserve">Protocol-controlled addresses (PCAs) are excluded from holding HHI</w:t>
        </w:r>
        <w:r>
          <w:t xml:space="preserve"> </w:t>
        </w:r>
        <w:r>
          <w:t xml:space="preserve">computation entirely at the top of the pipeline (126 addresses across 38</w:t>
        </w:r>
        <w:r>
          <w:t xml:space="preserve"> </w:t>
        </w:r>
        <w:r>
          <w:t xml:space="preserve">protocols documented in exclusions_log.csv) and are not counted as</w:t>
        </w:r>
        <w:r>
          <w:t xml:space="preserve"> </w:t>
        </w:r>
        <w:r>
          <w:t xml:space="preserve">insiders for the purposes of the count fraction. Solana-native protocols</w:t>
        </w:r>
        <w:r>
          <w:t xml:space="preserve"> </w:t>
        </w:r>
        <w:r>
          <w:t xml:space="preserve">carry an acknowledged labeling gap: io.net classifies as zero of ten</w:t>
        </w:r>
        <w:r>
          <w:t xml:space="preserve"> </w:t>
        </w:r>
        <w:r>
          <w:t xml:space="preserve">insiders because Solana lacks Blockscout-style contract labels at the</w:t>
        </w:r>
        <w:r>
          <w:t xml:space="preserve"> </w:t>
        </w:r>
        <w:r>
          <w:t xml:space="preserve">scale available on Ethereum and EVM L2s. This is a classification</w:t>
        </w:r>
        <w:r>
          <w:t xml:space="preserve"> </w:t>
        </w:r>
        <w:r>
          <w:t xml:space="preserve">limitation rather than evidence of distributed governance and is flagged</w:t>
        </w:r>
        <w:r>
          <w:t xml:space="preserve"> </w:t>
        </w:r>
        <w:r>
          <w:t xml:space="preserve">in the §4.8 limitations.</w:t>
        </w:r>
      </w:ins>
    </w:p>
    <w:p>
      <w:ins w:id="10211" w:author="R2 Revision" w:date="2026-05-19T00:00:00Z">
        <w:pPr>
          <w:pStyle w:val="BodyText"/>
        </w:pPr>
        <w:r>
          <w:t xml:space="preserve">We code each protocol across standardized dimensions via a</w:t>
        </w:r>
        <w:r>
          <w:t xml:space="preserve"> </w:t>
        </w:r>
        <w:r>
          <w:t xml:space="preserve">machine-readable table capturing metadata, supply and issuance rules,</w:t>
        </w:r>
        <w:r>
          <w:t xml:space="preserve"> </w:t>
        </w:r>
        <w:r>
          <w:t xml:space="preserve">distribution, value routing and sinks, staking and lockup parameters,</w:t>
        </w:r>
        <w:r>
          <w:t xml:space="preserve"> </w:t>
        </w:r>
        <w:r>
          <w:t xml:space="preserve">governance architecture, decentralization metrics, incentive windows,</w:t>
        </w:r>
        <w:r>
          <w:t xml:space="preserve"> </w:t>
        </w:r>
        <w:r>
          <w:t xml:space="preserve">and data/identity posture, plus computed philosophy lens scores (0–3)</w:t>
        </w:r>
        <w:r>
          <w:t xml:space="preserve"> </w:t>
        </w:r>
        <w:r>
          <w:t xml:space="preserve">and evidence links. Full field definitions and the codebook schema are</w:t>
        </w:r>
        <w:r>
          <w:t xml:space="preserve"> </w:t>
        </w:r>
        <w:r>
          <w:t xml:space="preserve">documented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0"/>
    <w:bookmarkStart w:id="73" w:name="X58fc8dd93c94f668489b90f86d609fd21ae00e5"/>
    <w:p>
      <w:ins w:id="10212" w:author="R2 Revision" w:date="2026-05-19T00:00:00Z">
        <w:pPr>
          <w:pStyle w:val="Heading3"/>
        </w:pPr>
        <w:r>
          <w:t xml:space="preserve">2.10.5 Philosophy Scoring Rubric: Translating Normative Theory into Observable Criteria</w:t>
        </w:r>
      </w:ins>
    </w:p>
    <w:p>
      <w:ins w:id="10213" w:author="R2 Revision" w:date="2026-05-19T00:00:00Z">
        <w:pPr>
          <w:pStyle w:val="FirstParagraph"/>
        </w:pPr>
        <w:r>
          <w:t xml:space="preserve">The scoring rubric is a second machine-readable table (</w:t>
        </w:r>
        <w:hyperlink r:id="rId71">
          <w:r>
            <w:rPr>
              <w:rStyle w:val="Hyperlink"/>
              <w:u w:val="single"/>
            </w:rPr>
            <w:t xml:space="preserve">Supplementary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capturing lens_id, criterion_id, criterion definitions, a 0–3 scoring</w:t>
        </w:r>
        <w:r>
          <w:t xml:space="preserve"> </w:t>
        </w:r>
        <w:r>
          <w:t xml:space="preserve">scale per criterion, and default weights; a third table (Supplementary</w:t>
        </w:r>
        <w:r>
          <w:t xml:space="preserve"> </w:t>
        </w:r>
        <w:r>
          <w:t xml:space="preserve">File S3) stores protocol × criterion scores with evidence links, scorer</w:t>
        </w:r>
        <w:r>
          <w:t xml:space="preserve"> </w:t>
        </w:r>
        <w:r>
          <w:t xml:space="preserve">initials, and dates. Each protocol is scored by gathering evidence</w:t>
        </w:r>
        <w:r>
          <w:t xml:space="preserve"> </w:t>
        </w:r>
        <w:r>
          <w:t xml:space="preserve">(documentation, forum threads, code references), assigning 0–3 to each</w:t>
        </w:r>
        <w:r>
          <w:t xml:space="preserve"> </w:t>
        </w:r>
        <w:r>
          <w:t xml:space="preserve">criterion, computing each lens score as a weighted mean, and aggregating</w:t>
        </w:r>
        <w:r>
          <w:t xml:space="preserve"> </w:t>
        </w:r>
        <w:r>
          <w:t xml:space="preserve">into a Synergy Index across lenses with pre-specified weights.</w:t>
        </w:r>
      </w:ins>
    </w:p>
    <w:p>
      <w:ins w:id="10214" w:author="R2 Revision" w:date="2026-05-19T00:00:00Z">
        <w:pPr>
          <w:pStyle w:val="BodyText"/>
        </w:pPr>
        <w:r>
          <w:t xml:space="preserve">Reliability is established by double-coding at least 10% of protocols to</w:t>
        </w:r>
        <w:r>
          <w:t xml:space="preserve"> </w:t>
        </w:r>
        <w:r>
          <w:t xml:space="preserve">estimate inter-rater agreement (Cohen’s κ), with adjudication rules</w:t>
        </w:r>
        <w:r>
          <w:t xml:space="preserve"> </w:t>
        </w:r>
        <w:r>
          <w:t xml:space="preserve">where κ is low; construct validity is established by comparing rubric</w:t>
        </w:r>
        <w:r>
          <w:t xml:space="preserve"> </w:t>
        </w:r>
        <w:r>
          <w:t xml:space="preserve">scores to independent indicators including governance concentration,</w:t>
        </w:r>
        <w:r>
          <w:t xml:space="preserve"> </w:t>
        </w:r>
        <w:r>
          <w:t xml:space="preserve">frequency of rule changes, and appeals outcomes. The operationalization</w:t>
        </w:r>
        <w:r>
          <w:t xml:space="preserve"> </w:t>
        </w:r>
        <w:r>
          <w:t xml:space="preserve">is designed to be legible across disciplines, mapping</w:t>
        </w:r>
        <w:r>
          <w:t xml:space="preserve"> </w:t>
        </w:r>
        <w:r>
          <w:t xml:space="preserve">political-philosophical criteria to measurable institutional features</w:t>
        </w:r>
        <w:r>
          <w:t xml:space="preserve"> </w:t>
        </w:r>
        <w:r>
          <w:t xml:space="preserve">(appeals, publicity, concentration) and enabling empirical tests.</w:t>
        </w:r>
      </w:ins>
    </w:p>
    <w:p>
      <w:ins w:id="10215" w:author="R2 Revision" w:date="2026-05-19T00:00:00Z">
        <w:pPr>
          <w:pStyle w:val="BodyText"/>
        </w:pPr>
        <w:r>
          <w:t xml:space="preserve">Table 2 demonstrates the rubric applied to three protocols spanning the</w:t>
        </w:r>
        <w:r>
          <w:t xml:space="preserve"> </w:t>
        </w:r>
        <w:r>
          <w:t xml:space="preserve">DeFi–DePIN divide; full scoring sheets for all 12 scored protocols,</w:t>
        </w:r>
        <w:r>
          <w:t xml:space="preserve"> </w:t>
        </w:r>
        <w:r>
          <w:t xml:space="preserve">with evidence links, are provided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.</w:t>
        </w:r>
        <w:r>
          <w:t xml:space="preserve"> </w:t>
        </w:r>
        <w:r>
          <w:t xml:space="preserve">Scores are assigned by a single coder; inter-rater reliability testing</w:t>
        </w:r>
        <w:r>
          <w:t xml:space="preserve"> </w:t>
        </w:r>
        <w:r>
          <w:t xml:space="preserve">with a second scorer is specified as future work.</w:t>
        </w:r>
      </w:ins>
    </w:p>
    <w:tbl>
      <w:tblPr>
        <w:tblStyle w:val="Table"/>
        <w:tblW w:type="pct" w:w="4915"/>
        <w:tblLayout w:type="fixed"/>
        <w:tblLook w:firstRow="1" w:lastRow="0" w:firstColumn="0" w:lastColumn="0" w:noHBand="0" w:noVBand="0" w:val="0020"/>
      </w:tblPr>
      <w:tblGrid>
        <w:gridCol w:w="1015"/>
        <w:gridCol w:w="1083"/>
        <w:gridCol w:w="1015"/>
        <w:gridCol w:w="1015"/>
        <w:gridCol w:w="1218"/>
        <w:gridCol w:w="1083"/>
        <w:gridCol w:w="1353"/>
      </w:tblGrid>
      <w:tr>
        <w:trPr>
          <w:tblHeader w:val="on"/>
        </w:trPr>
        <w:tc>
          <w:tcPr/>
          <w:p>
            <w:ins w:id="1021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21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Publicity</w:t>
              </w:r>
            </w:ins>
          </w:p>
        </w:tc>
        <w:tc>
          <w:tcPr/>
          <w:p>
            <w:ins w:id="1021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Fairness</w:t>
              </w:r>
            </w:ins>
          </w:p>
        </w:tc>
        <w:tc>
          <w:tcPr/>
          <w:p>
            <w:ins w:id="1021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Non-Dom.</w:t>
              </w:r>
            </w:ins>
          </w:p>
        </w:tc>
        <w:tc>
          <w:tcPr/>
          <w:p>
            <w:ins w:id="10220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Polycentric</w:t>
              </w:r>
            </w:ins>
          </w:p>
        </w:tc>
        <w:tc>
          <w:tcPr/>
          <w:p>
            <w:ins w:id="1022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Knowledge</w:t>
              </w:r>
            </w:ins>
          </w:p>
        </w:tc>
        <w:tc>
          <w:tcPr/>
          <w:p>
            <w:ins w:id="1022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Key evidence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note</w:t>
              </w:r>
            </w:ins>
          </w:p>
        </w:tc>
      </w:tr>
      <w:tr>
        <w:tc>
          <w:tcPr/>
          <w:p>
            <w:ins w:id="10223" w:author="R2 Revision" w:date="2026-05-19T00:00:00Z">
              <w:pPr>
                <w:pStyle w:val="Compact"/>
                <w:jc w:val="left"/>
              </w:pPr>
              <w:r>
                <w:t xml:space="preserve">Uniswap (DeFi)</w:t>
              </w:r>
            </w:ins>
          </w:p>
        </w:tc>
        <w:tc>
          <w:tcPr/>
          <w:p>
            <w:ins w:id="10224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6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2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29" w:author="R2 Revision" w:date="2026-05-19T00:00:00Z">
              <w:pPr>
                <w:pStyle w:val="Compact"/>
                <w:jc w:val="left"/>
              </w:pPr>
              <w:r>
                <w:t xml:space="preserve">Forum + Snapshot +</w:t>
              </w:r>
              <w:r>
                <w:t xml:space="preserve"> </w:t>
              </w:r>
              <w:r>
                <w:t xml:space="preserve">on-chain vote; HHI</w:t>
              </w:r>
              <w:r>
                <w:t xml:space="preserve"> </w:t>
              </w:r>
              <w:r>
                <w:t xml:space="preserve">0.010; delegate</w:t>
              </w:r>
              <w:r>
                <w:t xml:space="preserve"> </w:t>
              </w:r>
              <w:r>
                <w:t xml:space="preserve">concentration high</w:t>
              </w:r>
            </w:ins>
          </w:p>
        </w:tc>
      </w:tr>
      <w:tr>
        <w:tc>
          <w:tcPr/>
          <w:p>
            <w:ins w:id="10230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  <w:r>
                <w:t xml:space="preserve"> </w:t>
              </w:r>
              <w:r>
                <w:t xml:space="preserve">(DeFi)</w:t>
              </w:r>
            </w:ins>
          </w:p>
        </w:tc>
        <w:tc>
          <w:tcPr/>
          <w:p>
            <w:ins w:id="10231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34" w:author="R2 Revision" w:date="2026-05-19T00:00:00Z">
              <w:pPr>
                <w:pStyle w:val="Compact"/>
                <w:jc w:val="left"/>
              </w:pPr>
              <w:r>
                <w:t xml:space="preserve">0</w:t>
              </w:r>
            </w:ins>
          </w:p>
        </w:tc>
        <w:tc>
          <w:tcPr/>
          <w:p>
            <w:ins w:id="1023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6" w:author="R2 Revision" w:date="2026-05-19T00:00:00Z">
              <w:pPr>
                <w:pStyle w:val="Compact"/>
                <w:jc w:val="left"/>
              </w:pPr>
              <w:r>
                <w:t xml:space="preserve">Zero VC + 31%</w:t>
              </w:r>
              <w:r>
                <w:t xml:space="preserve"> </w:t>
              </w:r>
              <w:r>
                <w:t xml:space="preserve">airdrop; HHI 0.005;</w:t>
              </w:r>
              <w:r>
                <w:t xml:space="preserve"> </w:t>
              </w:r>
              <w:r>
                <w:t xml:space="preserve">Assistance Fund</w:t>
              </w:r>
              <w:r>
                <w:t xml:space="preserve"> </w:t>
              </w:r>
              <w:r>
                <w:t xml:space="preserve">auto-burns 97% of</w:t>
              </w:r>
              <w:r>
                <w:t xml:space="preserve"> </w:t>
              </w:r>
              <w:r>
                <w:t xml:space="preserve">fees</w:t>
              </w:r>
            </w:ins>
          </w:p>
        </w:tc>
      </w:tr>
      <w:tr>
        <w:tc>
          <w:tcPr/>
          <w:p>
            <w:ins w:id="10237" w:author="R2 Revision" w:date="2026-05-19T00:00:00Z">
              <w:pPr>
                <w:pStyle w:val="Compact"/>
                <w:jc w:val="left"/>
              </w:pPr>
              <w:r>
                <w:t xml:space="preserve">Helium (DePIN)</w:t>
              </w:r>
            </w:ins>
          </w:p>
        </w:tc>
        <w:tc>
          <w:tcPr/>
          <w:p>
            <w:ins w:id="10238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39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0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1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2" w:author="R2 Revision" w:date="2026-05-19T00:00:00Z">
              <w:pPr>
                <w:pStyle w:val="Compact"/>
                <w:jc w:val="left"/>
              </w:pPr>
              <w:r>
                <w:t xml:space="preserve">3</w:t>
              </w:r>
            </w:ins>
          </w:p>
        </w:tc>
        <w:tc>
          <w:tcPr/>
          <w:p>
            <w:ins w:id="10243" w:author="R2 Revision" w:date="2026-05-19T00:00:00Z">
              <w:pPr>
                <w:pStyle w:val="Compact"/>
                <w:jc w:val="left"/>
              </w:pPr>
              <w:r>
                <w:t xml:space="preserve">Helium Improvement</w:t>
              </w:r>
              <w:r>
                <w:t xml:space="preserve"> </w:t>
              </w:r>
              <w:r>
                <w:t xml:space="preserve">Proposal (HIP)</w:t>
              </w:r>
              <w:r>
                <w:t xml:space="preserve"> </w:t>
              </w:r>
              <w:r>
                <w:t xml:space="preserve">process public;</w:t>
              </w:r>
              <w:r>
                <w:t xml:space="preserve"> </w:t>
              </w:r>
              <w:r>
                <w:t xml:space="preserve">subDAO structure;</w:t>
              </w:r>
              <w:r>
                <w:t xml:space="preserve"> </w:t>
              </w:r>
              <w:r>
                <w:t xml:space="preserve">HHI 0.074; HIP-147</w:t>
              </w:r>
              <w:r>
                <w:t xml:space="preserve"> </w:t>
              </w:r>
              <w:r>
                <w:t xml:space="preserve">reform</w:t>
              </w:r>
            </w:ins>
          </w:p>
        </w:tc>
      </w:tr>
      <w:tr>
        <w:tc>
          <w:tcPr/>
          <w:p>
            <w:ins w:id="10244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  <w:r>
                <w:t xml:space="preserve"> </w:t>
              </w:r>
              <w:r>
                <w:t xml:space="preserve">(DePIN)</w:t>
              </w:r>
            </w:ins>
          </w:p>
        </w:tc>
        <w:tc>
          <w:tcPr/>
          <w:p>
            <w:ins w:id="10245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4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7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8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49" w:author="R2 Revision" w:date="2026-05-19T00:00:00Z">
              <w:pPr>
                <w:pStyle w:val="Compact"/>
                <w:jc w:val="left"/>
              </w:pPr>
              <w:r>
                <w:t xml:space="preserve">2</w:t>
              </w:r>
            </w:ins>
          </w:p>
        </w:tc>
        <w:tc>
          <w:tcPr/>
          <w:p>
            <w:ins w:id="10250" w:author="R2 Revision" w:date="2026-05-19T00:00:00Z">
              <w:pPr>
                <w:pStyle w:val="Compact"/>
                <w:jc w:val="left"/>
              </w:pPr>
              <w:r>
                <w:t xml:space="preserve">B2B</w:t>
              </w:r>
              <w:r>
                <w:t xml:space="preserve"> </w:t>
              </w:r>
              <w:r>
                <w:t xml:space="preserve">subscription-burn</w:t>
              </w:r>
              <w:r>
                <w:t xml:space="preserve"> </w:t>
              </w:r>
              <w:r>
                <w:t xml:space="preserve">(Real-Time</w:t>
              </w:r>
              <w:r>
                <w:t xml:space="preserve"> </w:t>
              </w:r>
              <w:r>
                <w:t xml:space="preserve">Kinematic GPS</w:t>
              </w:r>
              <w:r>
                <w:t xml:space="preserve"> </w:t>
              </w:r>
              <w:r>
                <w:t xml:space="preserve">service); HHI</w:t>
              </w:r>
              <w:r>
                <w:t xml:space="preserve"> </w:t>
              </w:r>
              <w:r>
                <w:t xml:space="preserve">0.060; Snapshot</w:t>
              </w:r>
              <w:r>
                <w:t xml:space="preserve"> </w:t>
              </w:r>
              <w:r>
                <w:t xml:space="preserve">DAO; demand-coupled</w:t>
              </w:r>
            </w:ins>
          </w:p>
        </w:tc>
      </w:tr>
      <w:tr>
        <w:tc>
          <w:tcPr/>
          <w:p>
            <w:ins w:id="10251" w:author="R2 Revision" w:date="2026-05-19T00:00:00Z">
              <w:pPr>
                <w:pStyle w:val="Compact"/>
                <w:jc w:val="left"/>
              </w:pPr>
              <w:r>
                <w:t xml:space="preserve">Anyone (DePIN)</w:t>
              </w:r>
            </w:ins>
          </w:p>
        </w:tc>
        <w:tc>
          <w:tcPr/>
          <w:p>
            <w:ins w:id="10252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3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4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5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6" w:author="R2 Revision" w:date="2026-05-19T00:00:00Z">
              <w:pPr>
                <w:pStyle w:val="Compact"/>
                <w:jc w:val="left"/>
              </w:pPr>
              <w:r>
                <w:t xml:space="preserve">1</w:t>
              </w:r>
            </w:ins>
          </w:p>
        </w:tc>
        <w:tc>
          <w:tcPr/>
          <w:p>
            <w:ins w:id="10257" w:author="R2 Revision" w:date="2026-05-19T00:00:00Z">
              <w:pPr>
                <w:pStyle w:val="Compact"/>
                <w:jc w:val="left"/>
              </w:pPr>
              <w:r>
                <w:t xml:space="preserve">Low HHI (0.013);</w:t>
              </w:r>
              <w:r>
                <w:t xml:space="preserve"> </w:t>
              </w:r>
              <w:r>
                <w:t xml:space="preserve">early-stage</w:t>
              </w:r>
              <w:r>
                <w:t xml:space="preserve"> </w:t>
              </w:r>
              <w:r>
                <w:t xml:space="preserve">governance; limited</w:t>
              </w:r>
              <w:r>
                <w:t xml:space="preserve"> </w:t>
              </w:r>
              <w:r>
                <w:t xml:space="preserve">formal process</w:t>
              </w:r>
            </w:ins>
          </w:p>
        </w:tc>
      </w:tr>
    </w:tbl>
    <w:p>
      <w:ins w:id="10258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2.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Illustrative rubric scores (0 = absent, 1 = minimal, 2 =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partial, 3 = exemplary). Scores are by a single coder; full evidence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sheets in</w:t>
        </w:r>
        <w:r>
          <w:t xml:space="preserve"> </w:t>
        </w: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rPr>
            <w:i/>
            <w:iCs/>
          </w:rPr>
          <w:t xml:space="preserve">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Columns: Publicity (Kantian; transparent rules with published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rationales), Fairness (Rawlsian; floor protection in distribution),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Non-Dom. (Pettit; formal contestability infrastructure protecting from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arbitrary interference, scored independently of holding concentration),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Polycentric (Ostrom; multiple overlapping decision centers), Knowledge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(Hayek; reliance on dispersed local knowledge in operations).</w:t>
        </w:r>
      </w:ins>
    </w:p>
    <w:bookmarkEnd w:id="73"/>
    <w:bookmarkStart w:id="74" w:name="outcome-variables"/>
    <w:p>
      <w:ins w:id="10259" w:author="R2 Revision" w:date="2026-05-19T00:00:00Z">
        <w:pPr>
          <w:pStyle w:val="Heading3"/>
        </w:pPr>
        <w:r>
          <w:t xml:space="preserve">2.10.6 Outcome Variables</w:t>
        </w:r>
      </w:ins>
    </w:p>
    <w:p>
      <w:ins w:id="10260" w:author="R2 Revision" w:date="2026-05-19T00:00:00Z">
        <w:pPr>
          <w:pStyle w:val="FirstParagraph"/>
        </w:pPr>
        <w:r>
          <w:t xml:space="preserve">Three primary metrics are used. The Herfindahl-Hirschman Index (HHI),</w:t>
        </w:r>
        <w:r>
          <w:t xml:space="preserve"> </w:t>
        </w:r>
        <w:r>
          <w:t xml:space="preserve">ranging from 0 (dispersed) to 1 (monopoly), measures overall token</w:t>
        </w:r>
        <w:r>
          <w:t xml:space="preserve"> </w:t>
        </w:r>
        <w:r>
          <w:t xml:space="preserve">concentration; values above 0.25 indicate high concentration by</w:t>
        </w:r>
        <w:r>
          <w:t xml:space="preserve"> </w:t>
        </w:r>
        <w:r>
          <w:t xml:space="preserve">antitrust standards. Section 3.3 notes no protocol exceeds this</w:t>
        </w:r>
        <w:r>
          <w:t xml:space="preserve"> </w:t>
        </w:r>
        <w:r>
          <w:t xml:space="preserve">threshold. The Gini coefficient captures distributional inequality.</w:t>
        </w:r>
        <w:r>
          <w:t xml:space="preserve"> </w:t>
        </w:r>
        <w:r>
          <w:t xml:space="preserve">Top-N ratios (Top-1, Top-5, Top-10 share) complement HHI by identifying</w:t>
        </w:r>
        <w:r>
          <w:t xml:space="preserve"> </w:t>
        </w:r>
        <w:r>
          <w:t xml:space="preserve">specific whale addresses.</w:t>
        </w:r>
      </w:ins>
    </w:p>
    <w:p>
      <w:ins w:id="10261" w:author="R2 Revision" w:date="2026-05-19T00:00:00Z">
        <w:pPr>
          <w:pStyle w:val="BodyText"/>
        </w:pPr>
        <w:r>
          <w:t xml:space="preserve">The Synergy Index measures institutional design intent across normative</w:t>
        </w:r>
        <w:r>
          <w:t xml:space="preserve"> </w:t>
        </w:r>
        <w:r>
          <w:t xml:space="preserve">traditions as the arithmetic mean of five lens scores, each in 0–3</w:t>
        </w:r>
        <w:r>
          <w:t xml:space="preserve"> </w:t>
        </w:r>
        <w:r>
          <w:t xml:space="preserve">range per Table 1. The lenses measure operational mechanisms: Kantian</w:t>
        </w:r>
        <w:r>
          <w:t xml:space="preserve"> </w:t>
        </w:r>
        <w:r>
          <w:t xml:space="preserve">publicity (transparent rules), Rawlsian fairness (floor-protection</w:t>
        </w:r>
        <w:r>
          <w:t xml:space="preserve"> </w:t>
        </w:r>
        <w:r>
          <w:t xml:space="preserve">mechanisms), Pettit contestability (formal appeals and veto</w:t>
        </w:r>
        <w:r>
          <w:t xml:space="preserve"> </w:t>
        </w:r>
        <w:r>
          <w:t xml:space="preserve">infrastructure; the institutional mechanism Pettit identifies for the</w:t>
        </w:r>
        <w:r>
          <w:t xml:space="preserve"> </w:t>
        </w:r>
        <w:r>
          <w:t xml:space="preserve">goal-state of non-domination), Ostromian polycentricity (nested</w:t>
        </w:r>
        <w:r>
          <w:t xml:space="preserve"> </w:t>
        </w:r>
        <w:r>
          <w:t xml:space="preserve">decision-centers), and Hayekian knowledge-use (demand-coupled signal</w:t>
        </w:r>
        <w:r>
          <w:t xml:space="preserve"> </w:t>
        </w:r>
        <w:r>
          <w:t xml:space="preserve">mechanisms). The arithmetic-mean aggregation gives equal weight across</w:t>
        </w:r>
        <w:r>
          <w:t xml:space="preserve"> </w:t>
        </w:r>
        <w:r>
          <w:t xml:space="preserve">these five dimensions on the assumption that they are mutually</w:t>
        </w:r>
        <w:r>
          <w:t xml:space="preserve"> </w:t>
        </w:r>
        <w:r>
          <w:t xml:space="preserve">reinforcing rather than substitutable (see Section 2.9.6 on inter-lens</w:t>
        </w:r>
        <w:r>
          <w:t xml:space="preserve"> </w:t>
        </w:r>
        <w:r>
          <w:t xml:space="preserve">relationships); alternative aggregations are possible, with the</w:t>
        </w:r>
        <w:r>
          <w:t xml:space="preserve"> </w:t>
        </w:r>
        <w:r>
          <w:t xml:space="preserve">geometric mean emphasizing the weakest dimension (a</w:t>
        </w:r>
        <w:r>
          <w:t xml:space="preserve"> </w:t>
        </w:r>
        <w:r>
          <w:t xml:space="preserve">‘weakest-link’</w:t>
        </w:r>
        <w:r>
          <w:t xml:space="preserve"> </w:t>
        </w:r>
        <w:r>
          <w:t xml:space="preserve">framing aligned with companion-paper composition arguments; Zukowski</w:t>
        </w:r>
        <w:r>
          <w:t xml:space="preserve"> </w:t>
        </w:r>
        <w:r>
          <w:t xml:space="preserve">2026c). Three additional dimensions from the literature review</w:t>
        </w:r>
        <w:r>
          <w:t xml:space="preserve"> </w:t>
        </w:r>
        <w:r>
          <w:t xml:space="preserve">(capabilities, contextual integrity, cosmopolitan inclusion) are</w:t>
        </w:r>
        <w:r>
          <w:t xml:space="preserve"> </w:t>
        </w:r>
        <w:r>
          <w:t xml:space="preserve">reserved for future evaluation due to non-comparable cross-protocol</w:t>
        </w:r>
        <w:r>
          <w:t xml:space="preserve"> </w:t>
        </w:r>
        <w:r>
          <w:t xml:space="preserve">measurement; their omission is discussed in Section 4.8 limitations.</w:t>
        </w:r>
      </w:ins>
    </w:p>
    <w:p>
      <w:ins w:id="10262" w:author="R2 Revision" w:date="2026-05-19T00:00:00Z">
        <w:pPr>
          <w:pStyle w:val="BodyText"/>
        </w:pPr>
        <w:r>
          <w:t xml:space="preserve">Full metric definitions, computation procedures, and Dune query</w:t>
        </w:r>
        <w:r>
          <w:t xml:space="preserve"> </w:t>
        </w:r>
        <w:r>
          <w:t xml:space="preserve">specifications are provided in</w:t>
        </w:r>
        <w:r>
          <w:t xml:space="preserve"> </w:t>
        </w: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.</w:t>
        </w:r>
      </w:ins>
    </w:p>
    <w:bookmarkEnd w:id="74"/>
    <w:bookmarkStart w:id="76" w:name="testability-and-empirical-pipeline"/>
    <w:p>
      <w:ins w:id="10263" w:author="R2 Revision" w:date="2026-05-19T00:00:00Z">
        <w:pPr>
          <w:pStyle w:val="Heading3"/>
        </w:pPr>
        <w:r>
          <w:t xml:space="preserve">2.10.7 Testability and Empirical Pipeline</w:t>
        </w:r>
      </w:ins>
    </w:p>
    <w:p>
      <w:ins w:id="10264" w:author="R2 Revision" w:date="2026-05-19T00:00:00Z">
        <w:pPr>
          <w:pStyle w:val="FirstParagraph"/>
        </w:pPr>
        <w:r>
          <w:t xml:space="preserve">The five design hypotheses are testable in principle through</w:t>
        </w:r>
        <w:r>
          <w:t xml:space="preserve"> </w:t>
        </w:r>
        <w:r>
          <w:t xml:space="preserve">cross-sectional governance analysis (this paper), longitudinal panel</w:t>
        </w:r>
        <w:r>
          <w:t xml:space="preserve"> </w:t>
        </w:r>
        <w:r>
          <w:t xml:space="preserve">models, event studies around governance decisions, and qualitative</w:t>
        </w:r>
        <w:r>
          <w:t xml:space="preserve"> </w:t>
        </w:r>
        <w:r>
          <w:t xml:space="preserve">process tracing. This paper reports the cross-sectional governance</w:t>
        </w:r>
        <w:r>
          <w:t xml:space="preserve"> </w:t>
        </w:r>
        <w:r>
          <w:t xml:space="preserve">concentration analysis (Section 3). The full quantitative pipeline,</w:t>
        </w:r>
        <w:r>
          <w:t xml:space="preserve"> </w:t>
        </w:r>
        <w:r>
          <w:t xml:space="preserve">including panel regressions, event-study specifications, and robustness</w:t>
        </w:r>
        <w:r>
          <w:t xml:space="preserve"> </w:t>
        </w:r>
        <w:r>
          <w:t xml:space="preserve">protocols, is documented in supplementary material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for replication and extension by future researchers.</w:t>
        </w:r>
      </w:ins>
    </w:p>
    <w:bookmarkEnd w:id="76"/>
    <w:bookmarkStart w:id="77" w:name="ethical-and-practical-considerations"/>
    <w:p>
      <w:ins w:id="10265" w:author="R2 Revision" w:date="2026-05-19T00:00:00Z">
        <w:pPr>
          <w:pStyle w:val="Heading3"/>
        </w:pPr>
        <w:r>
          <w:t xml:space="preserve">2.10.8 Ethical and Practical Considerations</w:t>
        </w:r>
      </w:ins>
    </w:p>
    <w:p>
      <w:ins w:id="10266" w:author="R2 Revision" w:date="2026-05-19T00:00:00Z">
        <w:pPr>
          <w:pStyle w:val="FirstParagraph"/>
        </w:pPr>
        <w:r>
          <w:t xml:space="preserve">All data are drawn from public sources: on-chain transactions, published</w:t>
        </w:r>
        <w:r>
          <w:t xml:space="preserve"> </w:t>
        </w:r>
        <w:r>
          <w:t xml:space="preserve">governance proposals, and open protocol documentation. No private or</w:t>
        </w:r>
        <w:r>
          <w:t xml:space="preserve"> </w:t>
        </w:r>
        <w:r>
          <w:t xml:space="preserve">proprietary data are used. The scoring rubric relies on publicly</w:t>
        </w:r>
        <w:r>
          <w:t xml:space="preserve"> </w:t>
        </w:r>
        <w:r>
          <w:t xml:space="preserve">observable design features. We compute governance token distribution</w:t>
        </w:r>
        <w:r>
          <w:t xml:space="preserve"> </w:t>
        </w:r>
        <w:r>
          <w:t xml:space="preserve">data from Dune Analytics multi-chain queries. The author is employed by</w:t>
        </w:r>
        <w:r>
          <w:t xml:space="preserve"> </w:t>
        </w:r>
        <w:r>
          <w:t xml:space="preserve">Borderless Capital, a cryptocurrency-focused investment firm, and may</w:t>
        </w:r>
        <w:r>
          <w:t xml:space="preserve"> </w:t>
        </w:r>
        <w:r>
          <w:t xml:space="preserve">hold or have held positions in some protocols analyzed; a complete</w:t>
        </w:r>
        <w:r>
          <w:t xml:space="preserve"> </w:t>
        </w:r>
        <w:r>
          <w:t xml:space="preserve">disclosure is provided in the Conflict of Interest statement</w:t>
        </w:r>
        <w:r>
          <w:t xml:space="preserve"> </w:t>
        </w:r>
        <w:r>
          <w:t xml:space="preserve">accompanying this submission.</w:t>
        </w:r>
      </w:ins>
    </w:p>
    <w:bookmarkEnd w:id="77"/>
    <w:bookmarkStart w:id="78" w:name="worked-example-optimism-protocol-scoring"/>
    <w:p>
      <w:ins w:id="10267" w:author="R2 Revision" w:date="2026-05-19T00:00:00Z">
        <w:pPr>
          <w:pStyle w:val="Heading3"/>
        </w:pPr>
        <w:r>
          <w:t xml:space="preserve">2.10.9 Worked Example: Optimism Protocol Scoring</w:t>
        </w:r>
      </w:ins>
    </w:p>
    <w:p>
      <w:ins w:id="10268" w:author="R2 Revision" w:date="2026-05-19T00:00:00Z">
        <w:pPr>
          <w:pStyle w:val="FirstParagraph"/>
        </w:pPr>
        <w:r>
          <w:t xml:space="preserve">To illustrate the rubric application from Section 2.10.5 and Table 1,</w:t>
        </w:r>
        <w:r>
          <w:t xml:space="preserve"> </w:t>
        </w:r>
        <w:r>
          <w:t xml:space="preserve">we walk through Optimism’s per-lens scoring with the operational</w:t>
        </w:r>
        <w:r>
          <w:t xml:space="preserve"> </w:t>
        </w:r>
        <w:r>
          <w:t xml:space="preserve">mechanism (Layer 2 per Section 2.10.1) on which each lens is scored</w:t>
        </w:r>
        <w:r>
          <w:t xml:space="preserve"> </w:t>
        </w:r>
        <w:r>
          <w:t xml:space="preserve">and the published evidence supporting the assigned score. Optimism is</w:t>
        </w:r>
        <w:r>
          <w:t xml:space="preserve"> </w:t>
        </w:r>
        <w:r>
          <w:t xml:space="preserve">chosen because its bicameral architecture (Token House plus Citizens’</w:t>
        </w:r>
        <w:r>
          <w:t xml:space="preserve"> </w:t>
        </w:r>
        <w:r>
          <w:t xml:space="preserve">House) exercises multiple lenses simultaneously and because the</w:t>
        </w:r>
        <w:r>
          <w:t xml:space="preserve"> </w:t>
        </w:r>
        <w:r>
          <w:t xml:space="preserve">protocol publishes governance documentation at a level of detail that</w:t>
        </w:r>
        <w:r>
          <w:t xml:space="preserve"> </w:t>
        </w:r>
        <w:r>
          <w:t xml:space="preserve">enables verifiable scoring.</w:t>
        </w:r>
      </w:ins>
    </w:p>
    <w:p>
      <w:ins w:id="10269" w:author="R2 Revision" w:date="2026-05-19T00:00:00Z">
        <w:pPr>
          <w:pStyle w:val="BodyText"/>
        </w:pPr>
        <w:r>
          <w:rPr>
            <w:b/>
            <w:bCs/>
          </w:rPr>
          <w:t xml:space="preserve">Kantian Publicity (score: 3, Exemplary).</w:t>
        </w:r>
        <w:r>
          <w:t xml:space="preserve"> </w:t>
        </w:r>
        <w:r>
          <w:t xml:space="preserve">Optimism publishes</w:t>
        </w:r>
        <w:r>
          <w:t xml:space="preserve"> </w:t>
        </w:r>
        <w:r>
          <w:t xml:space="preserve">governance proposals on Snapshot and Tally with explicit rationales</w:t>
        </w:r>
        <w:r>
          <w:t xml:space="preserve"> </w:t>
        </w:r>
        <w:r>
          <w:t xml:space="preserve">(Optimism Governance Forum; Optimism, 2024). The Citizens’ House</w:t>
        </w:r>
        <w:r>
          <w:t xml:space="preserve"> </w:t>
        </w:r>
        <w:r>
          <w:t xml:space="preserve">process includes published deliberation periods, and Token House</w:t>
        </w:r>
        <w:r>
          <w:t xml:space="preserve"> </w:t>
        </w:r>
        <w:r>
          <w:t xml:space="preserve">proposals require multi-stage review with public commentary periods.</w:t>
        </w:r>
        <w:r>
          <w:t xml:space="preserve"> </w:t>
        </w:r>
        <w:r>
          <w:t xml:space="preserve">The published-rules-plus-deliberation-plus-justification criterion of</w:t>
        </w:r>
        <w:r>
          <w:t xml:space="preserve"> </w:t>
        </w:r>
        <w:r>
          <w:t xml:space="preserve">Table 1 is satisfied: proposals are not merely visible but accompanied</w:t>
        </w:r>
        <w:r>
          <w:t xml:space="preserve"> </w:t>
        </w:r>
        <w:r>
          <w:t xml:space="preserve">by rationale and stakeholder commentary.</w:t>
        </w:r>
      </w:ins>
    </w:p>
    <w:p>
      <w:ins w:id="10270" w:author="R2 Revision" w:date="2026-05-19T00:00:00Z">
        <w:pPr>
          <w:pStyle w:val="BodyText"/>
        </w:pPr>
        <w:r>
          <w:rPr>
            <w:b/>
            <w:bCs/>
          </w:rPr>
          <w:t xml:space="preserve">Rawlsian Fairness (score: 3, Exemplary).</w:t>
        </w:r>
        <w:r>
          <w:t xml:space="preserve"> </w:t>
        </w:r>
        <w:r>
          <w:t xml:space="preserve">Optimism’s Retroactive</w:t>
        </w:r>
        <w:r>
          <w:t xml:space="preserve"> </w:t>
        </w:r>
        <w:r>
          <w:t xml:space="preserve">Public Goods Funding (RetroPGF) program explicitly compensates</w:t>
        </w:r>
        <w:r>
          <w:t xml:space="preserve"> </w:t>
        </w:r>
        <w:r>
          <w:t xml:space="preserve">public-goods contributors who would not be captured by token-weighted</w:t>
        </w:r>
        <w:r>
          <w:t xml:space="preserve"> </w:t>
        </w:r>
        <w:r>
          <w:t xml:space="preserve">governance alone; RetroPGF rounds are documented with measured</w:t>
        </w:r>
        <w:r>
          <w:t xml:space="preserve"> </w:t>
        </w:r>
        <w:r>
          <w:t xml:space="preserve">distributional gaps relative to the broader holder base. Combined with</w:t>
        </w:r>
        <w:r>
          <w:t xml:space="preserve"> </w:t>
        </w:r>
        <w:r>
          <w:t xml:space="preserve">the Citizens’ House (reputation-weighted, not token-weighted), Optimism</w:t>
        </w:r>
        <w:r>
          <w:t xml:space="preserve"> </w:t>
        </w:r>
        <w:r>
          <w:t xml:space="preserve">operationalizes the floor-raising mechanism Table 1 specifies at the</w:t>
        </w:r>
        <w:r>
          <w:t xml:space="preserve"> </w:t>
        </w:r>
        <w:r>
          <w:t xml:space="preserve">Exemplary tier (systematic equity mechanisms plus measured gaps).</w:t>
        </w:r>
      </w:ins>
    </w:p>
    <w:p>
      <w:ins w:id="10271" w:author="R2 Revision" w:date="2026-05-19T00:00:00Z">
        <w:pPr>
          <w:pStyle w:val="BodyText"/>
        </w:pPr>
        <w:r>
          <w:rPr>
            <w:b/>
            <w:bCs/>
          </w:rPr>
          <w:t xml:space="preserve">Pettit Contestation (score: 3, Exemplary).</w:t>
        </w:r>
        <w:r>
          <w:t xml:space="preserve"> </w:t>
        </w:r>
        <w:r>
          <w:t xml:space="preserve">The Citizens’ House</w:t>
        </w:r>
        <w:r>
          <w:t xml:space="preserve"> </w:t>
        </w:r>
        <w:r>
          <w:t xml:space="preserve">exercises formal veto power over economic parameters proposed by the</w:t>
        </w:r>
        <w:r>
          <w:t xml:space="preserve"> </w:t>
        </w:r>
        <w:r>
          <w:t xml:space="preserve">Token House, with dynamic veto thresholds that lower the trigger when</w:t>
        </w:r>
        <w:r>
          <w:t xml:space="preserve"> </w:t>
        </w:r>
        <w:r>
          <w:t xml:space="preserve">multiple stakeholder groups align (Optimism, 2024). This is the precise</w:t>
        </w:r>
        <w:r>
          <w:t xml:space="preserve"> </w:t>
        </w:r>
        <w:r>
          <w:t xml:space="preserve">Independent-arbitration-plus-veto-rights mechanism Table 1 specifies</w:t>
        </w:r>
        <w:r>
          <w:t xml:space="preserve"> </w:t>
        </w:r>
        <w:r>
          <w:t xml:space="preserve">at the Exemplary tier. The two-layer-framing distinction is relevant</w:t>
        </w:r>
        <w:r>
          <w:t xml:space="preserve"> </w:t>
        </w:r>
        <w:r>
          <w:t xml:space="preserve">here: the operational mechanism scored (contestability) is present at</w:t>
        </w:r>
        <w:r>
          <w:t xml:space="preserve"> </w:t>
        </w:r>
        <w:r>
          <w:t xml:space="preserve">exemplary level; the philosophical goal-state Pettit identifies</w:t>
        </w:r>
        <w:r>
          <w:t xml:space="preserve"> </w:t>
        </w:r>
        <w:r>
          <w:t xml:space="preserve">(non-domination) is a separate question that depends on the practical</w:t>
        </w:r>
        <w:r>
          <w:t xml:space="preserve"> </w:t>
        </w:r>
        <w:r>
          <w:t xml:space="preserve">efficacy of veto exercise, which Section 3.5 documents as constrained</w:t>
        </w:r>
        <w:r>
          <w:t xml:space="preserve"> </w:t>
        </w:r>
        <w:r>
          <w:t xml:space="preserve">by Token House delegation amplification (3.6x).</w:t>
        </w:r>
      </w:ins>
    </w:p>
    <w:p>
      <w:ins w:id="10272" w:author="R2 Revision" w:date="2026-05-19T00:00:00Z">
        <w:pPr>
          <w:pStyle w:val="BodyText"/>
        </w:pPr>
        <w:r>
          <w:rPr>
            <w:b/>
            <w:bCs/>
          </w:rPr>
          <w:t xml:space="preserve">Ostrom Polycentricity (score: 3, Exemplary).</w:t>
        </w:r>
        <w:r>
          <w:t xml:space="preserve"> </w:t>
        </w:r>
        <w:r>
          <w:t xml:space="preserve">The bicameral</w:t>
        </w:r>
        <w:r>
          <w:t xml:space="preserve"> </w:t>
        </w:r>
        <w:r>
          <w:t xml:space="preserve">architecture (Token House plus Citizens’ House) plus the OP Working</w:t>
        </w:r>
        <w:r>
          <w:t xml:space="preserve"> </w:t>
        </w:r>
        <w:r>
          <w:t xml:space="preserve">Group ecosystem instantiates nested governance with local autonomy at</w:t>
        </w:r>
        <w:r>
          <w:t xml:space="preserve"> </w:t>
        </w:r>
        <w:r>
          <w:t xml:space="preserve">the Exemplary tier. Distinct decision-centers govern: protocol parameter</w:t>
        </w:r>
        <w:r>
          <w:t xml:space="preserve"> </w:t>
        </w:r>
        <w:r>
          <w:t xml:space="preserve">changes (Token House), economic-parameter veto (Citizens’ House),</w:t>
        </w:r>
        <w:r>
          <w:t xml:space="preserve"> </w:t>
        </w:r>
        <w:r>
          <w:t xml:space="preserve">public-goods funding (RetroPGF), and operational coordination across</w:t>
        </w:r>
        <w:r>
          <w:t xml:space="preserve"> </w:t>
        </w:r>
        <w:r>
          <w:t xml:space="preserve">the Superchain.</w:t>
        </w:r>
      </w:ins>
    </w:p>
    <w:p>
      <w:ins w:id="10273" w:author="R2 Revision" w:date="2026-05-19T00:00:00Z">
        <w:pPr>
          <w:pStyle w:val="BodyText"/>
        </w:pPr>
        <w:r>
          <w:rPr>
            <w:b/>
            <w:bCs/>
          </w:rPr>
          <w:t xml:space="preserve">Hayek Knowledge-use (score: 2, Partial).</w:t>
        </w:r>
        <w:r>
          <w:t xml:space="preserve"> </w:t>
        </w:r>
        <w:r>
          <w:t xml:space="preserve">Optimism does not employ</w:t>
        </w:r>
        <w:r>
          <w:t xml:space="preserve"> </w:t>
        </w:r>
        <w:r>
          <w:t xml:space="preserve">DePIN-style demand-coupled emission mechanisms; the OP token does not</w:t>
        </w:r>
        <w:r>
          <w:t xml:space="preserve"> </w:t>
        </w:r>
        <w:r>
          <w:t xml:space="preserve">have demand-coupled signal aggregation that directly maps to Hayek’s</w:t>
        </w:r>
        <w:r>
          <w:t xml:space="preserve"> </w:t>
        </w:r>
        <w:r>
          <w:t xml:space="preserve">knowledge-problem framing. However, sequencer-revenue split mechanisms</w:t>
        </w:r>
        <w:r>
          <w:t xml:space="preserve"> </w:t>
        </w:r>
        <w:r>
          <w:t xml:space="preserve">and Superchain governance signals provide automated price-signal-like</w:t>
        </w:r>
        <w:r>
          <w:t xml:space="preserve"> </w:t>
        </w:r>
        <w:r>
          <w:t xml:space="preserve">coordination. The criterion at the Partial tier (automated price</w:t>
        </w:r>
        <w:r>
          <w:t xml:space="preserve"> </w:t>
        </w:r>
        <w:r>
          <w:t xml:space="preserve">signals) is satisfied; the Exemplary tier (demand-coupled mechanisms</w:t>
        </w:r>
        <w:r>
          <w:t xml:space="preserve"> </w:t>
        </w:r>
        <w:r>
          <w:t xml:space="preserve">with edge feedback) is not because the OP token’s emission and value</w:t>
        </w:r>
        <w:r>
          <w:t xml:space="preserve"> </w:t>
        </w:r>
        <w:r>
          <w:t xml:space="preserve">capture do not directly track end-user demand signals.</w:t>
        </w:r>
      </w:ins>
    </w:p>
    <w:p>
      <w:ins w:id="10274" w:author="R2 Revision" w:date="2026-05-19T00:00:00Z">
        <w:pPr>
          <w:pStyle w:val="BodyText"/>
        </w:pPr>
        <w:r>
          <w:rPr>
            <w:b/>
            <w:bCs/>
          </w:rPr>
          <w:t xml:space="preserve">Synergy Index for Optimism: (3 + 3 + 3 + 3 + 2) / 5 = 2.8.</w:t>
        </w:r>
        <w:r>
          <w:t xml:space="preserve"> </w:t>
        </w:r>
        <w:r>
          <w:t xml:space="preserve">Among</w:t>
        </w:r>
        <w:r>
          <w:t xml:space="preserve"> </w:t>
        </w:r>
        <w:r>
          <w:t xml:space="preserve">the highest scores in the protocol sample. The framework correctly</w:t>
        </w:r>
        <w:r>
          <w:t xml:space="preserve"> </w:t>
        </w:r>
        <w:r>
          <w:t xml:space="preserve">identifies Optimism as a protocol with strong philosophical-design</w:t>
        </w:r>
        <w:r>
          <w:t xml:space="preserve"> </w:t>
        </w:r>
        <w:r>
          <w:t xml:space="preserve">investment across publicity, fairness, contestability, and</w:t>
        </w:r>
        <w:r>
          <w:t xml:space="preserve"> </w:t>
        </w:r>
        <w:r>
          <w:t xml:space="preserve">polycentricity dimensions, while flagging the knowledge-use dimension</w:t>
        </w:r>
        <w:r>
          <w:t xml:space="preserve"> </w:t>
        </w:r>
        <w:r>
          <w:t xml:space="preserve">as the weakest. The Synergy Index does not, however, capture the</w:t>
        </w:r>
        <w:r>
          <w:t xml:space="preserve"> </w:t>
        </w:r>
        <w:r>
          <w:t xml:space="preserve">voting-power-concentration gap documented in Table 7: Optimism’s</w:t>
        </w:r>
        <w:r>
          <w:t xml:space="preserve"> </w:t>
        </w:r>
        <w:r>
          <w:t xml:space="preserve">Token House delegation amplifies voting concentration 3.6x above the</w:t>
        </w:r>
        <w:r>
          <w:t xml:space="preserve"> </w:t>
        </w:r>
        <w:r>
          <w:t xml:space="preserve">post-exclusion holding HHI baseline, raising the cross-lens question</w:t>
        </w:r>
        <w:r>
          <w:t xml:space="preserve"> </w:t>
        </w:r>
        <w:r>
          <w:t xml:space="preserve">Section 4.1 surfaces about whether the institutional mechanisms scored</w:t>
        </w:r>
        <w:r>
          <w:t xml:space="preserve"> </w:t>
        </w:r>
        <w:r>
          <w:t xml:space="preserve">in Table 1 actually produce the goal-states the philosophical</w:t>
        </w:r>
        <w:r>
          <w:t xml:space="preserve"> </w:t>
        </w:r>
        <w:r>
          <w:t xml:space="preserve">traditions identify. The Citizens’ House provides a structural</w:t>
        </w:r>
        <w:r>
          <w:t xml:space="preserve"> </w:t>
        </w:r>
        <w:r>
          <w:t xml:space="preserve">accountability layer that operates outside the token-weighted HHI</w:t>
        </w:r>
        <w:r>
          <w:t xml:space="preserve"> </w:t>
        </w:r>
        <w:r>
          <w:t xml:space="preserve">measurement framework, partially addressing this gap; the empirical</w:t>
        </w:r>
        <w:r>
          <w:t xml:space="preserve"> </w:t>
        </w:r>
        <w:r>
          <w:t xml:space="preserve">measurement of whether Citizens’ House veto exercises constrain Token</w:t>
        </w:r>
        <w:r>
          <w:t xml:space="preserve"> </w:t>
        </w:r>
        <w:r>
          <w:t xml:space="preserve">House outcomes is future work (see Section 4.9).</w:t>
        </w:r>
      </w:ins>
    </w:p>
    <w:p>
      <w:ins w:id="10275" w:author="R2 Revision" w:date="2026-05-19T00:00:00Z">
        <w:pPr>
          <w:pStyle w:val="BodyText"/>
        </w:pPr>
        <w:r>
          <w:t xml:space="preserve">The Optimism case illustrates how the framework’s two-layer structure</w:t>
        </w:r>
        <w:r>
          <w:t xml:space="preserve"> </w:t>
        </w:r>
        <w:r>
          <w:t xml:space="preserve">operates in practice: Layer 2 scoring (operational mechanisms) reports</w:t>
        </w:r>
        <w:r>
          <w:t xml:space="preserve"> </w:t>
        </w:r>
        <w:r>
          <w:t xml:space="preserve">high marks across four lenses; Layer 1 philosophical goal-state</w:t>
        </w:r>
        <w:r>
          <w:t xml:space="preserve"> </w:t>
        </w:r>
        <w:r>
          <w:t xml:space="preserve">analysis (cross-lens implications of empirical concentration data)</w:t>
        </w:r>
        <w:r>
          <w:t xml:space="preserve"> </w:t>
        </w:r>
        <w:r>
          <w:t xml:space="preserve">surfaces residual concerns about practical efficacy. The framework is</w:t>
        </w:r>
        <w:r>
          <w:t xml:space="preserve"> </w:t>
        </w:r>
        <w:r>
          <w:t xml:space="preserve">designed to support both layers of analysis; the Synergy Index</w:t>
        </w:r>
        <w:r>
          <w:t xml:space="preserve"> </w:t>
        </w:r>
        <w:r>
          <w:t xml:space="preserve">captures Layer 2 (institutional design intent); Section 3.5 plus</w:t>
        </w:r>
        <w:r>
          <w:t xml:space="preserve"> </w:t>
        </w:r>
        <w:r>
          <w:t xml:space="preserve">Section 4.1 mapping captures Layer 1 (goal-state outcomes).</w:t>
        </w:r>
      </w:ins>
    </w:p>
    <w:bookmarkEnd w:id="78"/>
    <w:bookmarkStart w:id="79" w:name="generalizable-pca-exclusion-methodology"/>
    <w:p>
      <w:ins w:id="10276" w:author="R2 Revision" w:date="2026-05-19T00:00:00Z">
        <w:pPr>
          <w:pStyle w:val="Heading3"/>
        </w:pPr>
        <w:r>
          <w:t xml:space="preserve">2.10.10 Generalizable PCA Exclusion Methodology</w:t>
        </w:r>
      </w:ins>
    </w:p>
    <w:p>
      <w:ins w:id="10277" w:author="R2 Revision" w:date="2026-05-19T00:00:00Z">
        <w:pPr>
          <w:pStyle w:val="FirstParagraph"/>
        </w:pPr>
        <w:r>
          <w:t xml:space="preserve">The protocol-controlled-address (PCA) exclusion methodology applied</w:t>
        </w:r>
        <w:r>
          <w:t xml:space="preserve"> </w:t>
        </w:r>
        <w:r>
          <w:t xml:space="preserve">across Sections 3.2 through 3.5 generalizes beyond this paper’s</w:t>
        </w:r>
        <w:r>
          <w:t xml:space="preserve"> </w:t>
        </w:r>
        <w:r>
          <w:t xml:space="preserve">specific protocol set. Any cross-protocol governance HHI analysis on</w:t>
        </w:r>
        <w:r>
          <w:t xml:space="preserve"> </w:t>
        </w:r>
        <w:r>
          <w:t xml:space="preserve">ERC-20 (the Ethereum standard for fungible tokens) or SPL (Solana</w:t>
        </w:r>
        <w:r>
          <w:t xml:space="preserve"> </w:t>
        </w:r>
        <w:r>
          <w:t xml:space="preserve">Program Library; Solana’s analog for fungible tokens) token holders</w:t>
        </w:r>
        <w:r>
          <w:t xml:space="preserve"> </w:t>
        </w:r>
        <w:r>
          <w:t xml:space="preserve">should apply the five PCA classes documented below before computing</w:t>
        </w:r>
        <w:r>
          <w:t xml:space="preserve"> </w:t>
        </w:r>
        <w:r>
          <w:t xml:space="preserve">concentration metrics. The</w:t>
        </w:r>
        <w:r>
          <w:t xml:space="preserve"> </w:t>
        </w:r>
        <w:r>
          <w:t xml:space="preserve">methodology contribution is not just the specific exclusions applied</w:t>
        </w:r>
        <w:r>
          <w:t xml:space="preserve"> </w:t>
        </w:r>
        <w:r>
          <w:t xml:space="preserve">to this paper’s 40-protocol sample (Supplementary File S6 contains</w:t>
        </w:r>
        <w:r>
          <w:t xml:space="preserve"> </w:t>
        </w:r>
        <w:r>
          <w:t xml:space="preserve">the address-by-address documentation), but the generalizable typology</w:t>
        </w:r>
        <w:r>
          <w:t xml:space="preserve"> </w:t>
        </w:r>
        <w:r>
          <w:t xml:space="preserve">that future replication and extension work can apply uniformly.</w:t>
        </w:r>
      </w:ins>
    </w:p>
    <w:p>
      <w:ins w:id="10278" w:author="R2 Revision" w:date="2026-05-19T00:00:00Z">
        <w:pPr>
          <w:pStyle w:val="BodyText"/>
        </w:pPr>
        <w:r>
          <w:rPr>
            <w:b/>
            <w:bCs/>
          </w:rPr>
          <w:t xml:space="preserve">Class 1: Burn-destination addresses.</w:t>
        </w:r>
        <w:r>
          <w:t xml:space="preserve"> </w:t>
        </w:r>
        <w:r>
          <w:t xml:space="preserve">Canonical burn addresses</w:t>
        </w:r>
        <w:r>
          <w:t xml:space="preserve"> </w:t>
        </w:r>
        <w:r>
          <w:t xml:space="preserve">(0x000…000 and 0x000…000dead on EVM chains; chain-specific</w:t>
        </w:r>
        <w:r>
          <w:t xml:space="preserve"> </w:t>
        </w:r>
        <w:r>
          <w:t xml:space="preserve">patterns; protocol-specific burn destinations confirmed via official</w:t>
        </w:r>
        <w:r>
          <w:t xml:space="preserve"> </w:t>
        </w:r>
        <w:r>
          <w:t xml:space="preserve">documentation, Blockscout/Etherscan labels, or Alchemy/Arkham labels)</w:t>
        </w:r>
        <w:r>
          <w:t xml:space="preserve"> </w:t>
        </w:r>
        <w:r>
          <w:t xml:space="preserve">should be excluded from governance HHI computation. These addresses</w:t>
        </w:r>
        <w:r>
          <w:t xml:space="preserve"> </w:t>
        </w:r>
        <w:r>
          <w:t xml:space="preserve">hold tokens that are inert by construction and cannot participate in</w:t>
        </w:r>
        <w:r>
          <w:t xml:space="preserve"> </w:t>
        </w:r>
        <w:r>
          <w:t xml:space="preserve">governance under any condition; including them in the holding</w:t>
        </w:r>
        <w:r>
          <w:t xml:space="preserve"> </w:t>
        </w:r>
        <w:r>
          <w:t xml:space="preserve">distribution inflates the holding denominator and understates effective</w:t>
        </w:r>
        <w:r>
          <w:t xml:space="preserve"> </w:t>
        </w:r>
        <w:r>
          <w:t xml:space="preserve">concentration. The Uniswap 0x000…000dead exclusion (102.46M UNI, 11.27</w:t>
        </w:r>
        <w:r>
          <w:t xml:space="preserve"> </w:t>
        </w:r>
        <w:r>
          <w:t xml:space="preserve">percent of supply at measurement) is the canonical case in this paper;</w:t>
        </w:r>
        <w:r>
          <w:t xml:space="preserve"> </w:t>
        </w:r>
        <w:r>
          <w:t xml:space="preserve">the Hyperliquid burn-pattern addresses (0x222…222 and 0xfefe…fefe)</w:t>
        </w:r>
        <w:r>
          <w:t xml:space="preserve"> </w:t>
        </w:r>
        <w:r>
          <w:t xml:space="preserve">were caught by a confirmed-pattern methodology. The universal</w:t>
        </w:r>
        <w:r>
          <w:t xml:space="preserve"> </w:t>
        </w:r>
        <w:r>
          <w:t xml:space="preserve">burn-rule applied here is generalizable to any ERC-20 or SPL token</w:t>
        </w:r>
        <w:r>
          <w:t xml:space="preserve"> </w:t>
        </w:r>
        <w:r>
          <w:t xml:space="preserve">governance analysis.</w:t>
        </w:r>
      </w:ins>
    </w:p>
    <w:p>
      <w:ins w:id="10279" w:author="R2 Revision" w:date="2026-05-19T00:00:00Z">
        <w:pPr>
          <w:pStyle w:val="BodyText"/>
        </w:pPr>
        <w:r>
          <w:rPr>
            <w:b/>
            <w:bCs/>
          </w:rPr>
          <w:t xml:space="preserve">Class 2: Foundation and treasury custody.</w:t>
        </w:r>
        <w:r>
          <w:t xml:space="preserve"> </w:t>
        </w:r>
        <w:r>
          <w:t xml:space="preserve">Protocol-controlled</w:t>
        </w:r>
        <w:r>
          <w:t xml:space="preserve"> </w:t>
        </w:r>
        <w:r>
          <w:t xml:space="preserve">foundation and treasury custody addresses should be excluded. These</w:t>
        </w:r>
        <w:r>
          <w:t xml:space="preserve"> </w:t>
        </w:r>
        <w:r>
          <w:t xml:space="preserve">addresses hold tokens that are governance-relevant in principle (the</w:t>
        </w:r>
        <w:r>
          <w:t xml:space="preserve"> </w:t>
        </w:r>
        <w:r>
          <w:t xml:space="preserve">foundation may delegate or vote with them) but are structurally</w:t>
        </w:r>
        <w:r>
          <w:t xml:space="preserve"> </w:t>
        </w:r>
        <w:r>
          <w:t xml:space="preserve">distinct from independent holder concentration: the foundation</w:t>
        </w:r>
        <w:r>
          <w:t xml:space="preserve"> </w:t>
        </w:r>
        <w:r>
          <w:t xml:space="preserve">position represents institutional rather than community ownership.</w:t>
        </w:r>
        <w:r>
          <w:t xml:space="preserve"> </w:t>
        </w:r>
        <w:r>
          <w:t xml:space="preserve">Specific cases in this paper: Optimism Foundation GnosisSafe</w:t>
        </w:r>
        <w:r>
          <w:t xml:space="preserve"> </w:t>
        </w:r>
        <w:r>
          <w:t xml:space="preserve">(0x2a82ae142…; 32 percent of pre-exclusion top-1000 OP); Arbitrum</w:t>
        </w:r>
        <w:r>
          <w:t xml:space="preserve"> </w:t>
        </w:r>
        <w:r>
          <w:t xml:space="preserve">FixedDelegateErc20Wallet (0xf3fc178157…; 30 percent of pre-exclusion</w:t>
        </w:r>
        <w:r>
          <w:t xml:space="preserve"> </w:t>
        </w:r>
        <w:r>
          <w:t xml:space="preserve">top-1000 ARB); WeatherXM treasury (74.8 percent of pre-exclusion</w:t>
        </w:r>
        <w:r>
          <w:t xml:space="preserve"> </w:t>
        </w:r>
        <w:r>
          <w:t xml:space="preserve">top-1000 WXM); DIMO Foundation (52.3 percent of pre-exclusion top-1000</w:t>
        </w:r>
        <w:r>
          <w:t xml:space="preserve"> </w:t>
        </w:r>
        <w:r>
          <w:t xml:space="preserve">DIMO). The methodology requires per-protocol identification typically</w:t>
        </w:r>
        <w:r>
          <w:t xml:space="preserve"> </w:t>
        </w:r>
        <w:r>
          <w:t xml:space="preserve">via Blockscout verified-contract labels, GnosisSafeProxyFactory creation</w:t>
        </w:r>
        <w:r>
          <w:t xml:space="preserve"> </w:t>
        </w:r>
        <w:r>
          <w:t xml:space="preserve">records, or foundation disclosures.</w:t>
        </w:r>
      </w:ins>
    </w:p>
    <w:p>
      <w:ins w:id="10280" w:author="R2 Revision" w:date="2026-05-19T00:00:00Z">
        <w:pPr>
          <w:pStyle w:val="BodyText"/>
        </w:pPr>
        <w:r>
          <w:rPr>
            <w:b/>
            <w:bCs/>
          </w:rPr>
          <w:t xml:space="preserve">Class 3: Staking-aggregation contracts.</w:t>
        </w:r>
        <w:r>
          <w:t xml:space="preserve"> </w:t>
        </w:r>
        <w:r>
          <w:t xml:space="preserve">Staking contracts that</w:t>
        </w:r>
        <w:r>
          <w:t xml:space="preserve"> </w:t>
        </w:r>
        <w:r>
          <w:t xml:space="preserve">aggregate underlying staker holdings into a single custody address</w:t>
        </w:r>
        <w:r>
          <w:t xml:space="preserve"> </w:t>
        </w:r>
        <w:r>
          <w:t xml:space="preserve">should be excluded from holding HHI computation, with the caveat that</w:t>
        </w:r>
        <w:r>
          <w:t xml:space="preserve"> </w:t>
        </w:r>
        <w:r>
          <w:t xml:space="preserve">underlying stakers retain pass-through voting power. The stkAAVE</w:t>
        </w:r>
        <w:r>
          <w:t xml:space="preserve"> </w:t>
        </w:r>
        <w:r>
          <w:t xml:space="preserve">staking contract (0x4da27a545c0c…; 21.9 percent of post-PCA-exclusion</w:t>
        </w:r>
        <w:r>
          <w:t xml:space="preserve"> </w:t>
        </w:r>
        <w:r>
          <w:t xml:space="preserve">top-1000 AAVE) is the canonical case; AAVE stakers vote through</w:t>
        </w:r>
        <w:r>
          <w:t xml:space="preserve"> </w:t>
        </w:r>
        <w:r>
          <w:t xml:space="preserve">stkAAVE rather than the contract itself making governance decisions.</w:t>
        </w:r>
        <w:r>
          <w:t xml:space="preserve"> </w:t>
        </w:r>
        <w:r>
          <w:t xml:space="preserve">The sGMX RewardTracker plays an analogous role for GMX. The exclusion</w:t>
        </w:r>
        <w:r>
          <w:t xml:space="preserve"> </w:t>
        </w:r>
        <w:r>
          <w:t xml:space="preserve">is methodologically warranted at the holding-HHI computation step</w:t>
        </w:r>
        <w:r>
          <w:t xml:space="preserve"> </w:t>
        </w:r>
        <w:r>
          <w:t xml:space="preserve">because the contract is not an independent governance participant;</w:t>
        </w:r>
        <w:r>
          <w:t xml:space="preserve"> </w:t>
        </w:r>
        <w:r>
          <w:t xml:space="preserve">the exclusion at the voting-HHI computation step (Section 3.7</w:t>
        </w:r>
        <w:r>
          <w:t xml:space="preserve"> </w:t>
        </w:r>
        <w:r>
          <w:t xml:space="preserve">PCA-symmetric robustness check) is methodologically distinct: stkAAVE</w:t>
        </w:r>
        <w:r>
          <w:t xml:space="preserve"> </w:t>
        </w:r>
        <w:r>
          <w:t xml:space="preserve">votes as a single delegate per Tally’s data model, even though the</w:t>
        </w:r>
        <w:r>
          <w:t xml:space="preserve"> </w:t>
        </w:r>
        <w:r>
          <w:t xml:space="preserve">underlying voters are dispersed. The paper treats the holding-side</w:t>
        </w:r>
        <w:r>
          <w:t xml:space="preserve"> </w:t>
        </w:r>
        <w:r>
          <w:t xml:space="preserve">exclusion as canonical and reports the voting-side exclusion as a</w:t>
        </w:r>
        <w:r>
          <w:t xml:space="preserve"> </w:t>
        </w:r>
        <w:r>
          <w:t xml:space="preserve">sensitivity check.</w:t>
        </w:r>
      </w:ins>
    </w:p>
    <w:p>
      <w:ins w:id="10281" w:author="R2 Revision" w:date="2026-05-19T00:00:00Z">
        <w:pPr>
          <w:pStyle w:val="BodyText"/>
        </w:pPr>
        <w:r>
          <w:rPr>
            <w:b/>
            <w:bCs/>
          </w:rPr>
          <w:t xml:space="preserve">Class 4: Bridge custody and migration addresses.</w:t>
        </w:r>
        <w:r>
          <w:t xml:space="preserve"> </w:t>
        </w:r>
        <w:r>
          <w:t xml:space="preserve">Bridge custody</w:t>
        </w:r>
        <w:r>
          <w:t xml:space="preserve"> </w:t>
        </w:r>
        <w:r>
          <w:t xml:space="preserve">addresses (Wormhole token bridge for cross-chain wrapped tokens; the</w:t>
        </w:r>
        <w:r>
          <w:t xml:space="preserve"> </w:t>
        </w:r>
        <w:r>
          <w:t xml:space="preserve">GRT BridgeEscrow for L1-to-Arbitrum custody; LayerZero canonical</w:t>
        </w:r>
        <w:r>
          <w:t xml:space="preserve"> </w:t>
        </w:r>
        <w:r>
          <w:t xml:space="preserve">bridges) hold tokens in transit or as cross-chain accounting positions;</w:t>
        </w:r>
        <w:r>
          <w:t xml:space="preserve"> </w:t>
        </w:r>
        <w:r>
          <w:t xml:space="preserve">these are not governance-participating holders. Migration contracts</w:t>
        </w:r>
        <w:r>
          <w:t xml:space="preserve"> </w:t>
        </w:r>
        <w:r>
          <w:t xml:space="preserve">(the SYRUP Migrator for MPL-to-SYRUP migration; the Polygon</w:t>
        </w:r>
        <w:r>
          <w:t xml:space="preserve"> </w:t>
        </w:r>
        <w:r>
          <w:t xml:space="preserve">StakeManagerProxy for MATIC-to-POL transition) hold tokens during</w:t>
        </w:r>
        <w:r>
          <w:t xml:space="preserve"> </w:t>
        </w:r>
        <w:r>
          <w:t xml:space="preserve">migration windows and should be excluded.</w:t>
        </w:r>
      </w:ins>
    </w:p>
    <w:p>
      <w:ins w:id="10282" w:author="R2 Revision" w:date="2026-05-19T00:00:00Z">
        <w:pPr>
          <w:pStyle w:val="BodyText"/>
        </w:pPr>
        <w:r>
          <w:rPr>
            <w:b/>
            <w:bCs/>
          </w:rPr>
          <w:t xml:space="preserve">Class 5: Centralized exchange custody.</w:t>
        </w:r>
        <w:r>
          <w:t xml:space="preserve"> </w:t>
        </w:r>
        <w:r>
          <w:t xml:space="preserve">Centralized exchange (CEX)</w:t>
        </w:r>
        <w:r>
          <w:t xml:space="preserve"> </w:t>
        </w:r>
        <w:r>
          <w:t xml:space="preserve">hot and cold wallets that custody customer deposits should be</w:t>
        </w:r>
        <w:r>
          <w:t xml:space="preserve"> </w:t>
        </w:r>
        <w:r>
          <w:t xml:space="preserve">excluded from governance HHI computation. Customer-deposited tokens</w:t>
        </w:r>
        <w:r>
          <w:t xml:space="preserve"> </w:t>
        </w:r>
        <w:r>
          <w:t xml:space="preserve">held in CEX custody are not governance-participating holdings: the</w:t>
        </w:r>
        <w:r>
          <w:t xml:space="preserve"> </w:t>
        </w:r>
        <w:r>
          <w:t xml:space="preserve">exchange holds custody of tokens belonging to many individual</w:t>
        </w:r>
        <w:r>
          <w:t xml:space="preserve"> </w:t>
        </w:r>
        <w:r>
          <w:t xml:space="preserve">customers, and exchange operational practice is to abstain from</w:t>
        </w:r>
        <w:r>
          <w:t xml:space="preserve"> </w:t>
        </w:r>
        <w:r>
          <w:t xml:space="preserve">governance voting on customer-held tokens. Specific cases in this</w:t>
        </w:r>
        <w:r>
          <w:t xml:space="preserve"> </w:t>
        </w:r>
        <w:r>
          <w:t xml:space="preserve">paper: Binance hot wallets across OP, ENS, GRT, AAVE, COMP, UNI,</w:t>
        </w:r>
        <w:r>
          <w:t xml:space="preserve"> </w:t>
        </w:r>
        <w:r>
          <w:t xml:space="preserve">ARB, and other protocols (the canonical Binance address</w:t>
        </w:r>
        <w:r>
          <w:t xml:space="preserve"> </w:t>
        </w:r>
        <w:r>
          <w:t xml:space="preserve">0xf977…41acec is the most common case); Bithumb 162</w:t>
        </w:r>
        <w:r>
          <w:t xml:space="preserve"> </w:t>
        </w:r>
        <w:r>
          <w:t xml:space="preserve">(0x54d1…22cbf9) and Upbit 59 (0x377b…190873) on AXL; analogous</w:t>
        </w:r>
        <w:r>
          <w:t xml:space="preserve"> </w:t>
        </w:r>
        <w:r>
          <w:t xml:space="preserve">patterns on other protocols. CEX address identification relies on</w:t>
        </w:r>
        <w:r>
          <w:t xml:space="preserve"> </w:t>
        </w:r>
        <w:r>
          <w:t xml:space="preserve">public name tags (Etherscan, Arkham, hildobby compilations) and</w:t>
        </w:r>
        <w:r>
          <w:t xml:space="preserve"> </w:t>
        </w:r>
        <w:r>
          <w:t xml:space="preserve">behavioral signals (high transfer volume, many counterparties, no</w:t>
        </w:r>
        <w:r>
          <w:t xml:space="preserve"> </w:t>
        </w:r>
        <w:r>
          <w:t xml:space="preserve">governance participation history).</w:t>
        </w:r>
      </w:ins>
    </w:p>
    <w:p>
      <w:ins w:id="10283" w:author="R2 Revision" w:date="2026-05-19T00:00:00Z">
        <w:pPr>
          <w:pStyle w:val="BodyText"/>
        </w:pPr>
        <w:r>
          <w:t xml:space="preserve">Across the five classes, this paper excludes 126 PCA addresses across</w:t>
        </w:r>
        <w:r>
          <w:t xml:space="preserve"> </w:t>
        </w:r>
        <w:r>
          <w:t xml:space="preserve">38 protocols (Supplementary File S6 and the supplementary</w:t>
        </w:r>
        <w:r>
          <w:t xml:space="preserve"> </w:t>
        </w:r>
        <w:r>
          <w:rPr>
            <w:rStyle w:val="VerbatimChar"/>
          </w:rPr>
          <w:t xml:space="preserve">data/processed/exclusions_log.csv</w:t>
        </w:r>
        <w:r>
          <w:t xml:space="preserve">). The generalizable methodological</w:t>
        </w:r>
        <w:r>
          <w:t xml:space="preserve"> </w:t>
        </w:r>
        <w:r>
          <w:t xml:space="preserve">contribution: any future cross-protocol governance HHI analysis should</w:t>
        </w:r>
        <w:r>
          <w:t xml:space="preserve"> </w:t>
        </w:r>
        <w:r>
          <w:t xml:space="preserve">apply the five-class PCA exclusion uniformly before reporting holding</w:t>
        </w:r>
        <w:r>
          <w:t xml:space="preserve"> </w:t>
        </w:r>
        <w:r>
          <w:t xml:space="preserve">concentration metrics. The specific addresses depend on the protocol</w:t>
        </w:r>
        <w:r>
          <w:t xml:space="preserve"> </w:t>
        </w:r>
        <w:r>
          <w:t xml:space="preserve">sample; the methodology is sample-independent.</w:t>
        </w:r>
      </w:ins>
    </w:p>
    <w:bookmarkEnd w:id="79"/>
    <w:bookmarkEnd w:id="80"/>
    <w:bookmarkEnd w:id="81"/>
    <w:bookmarkStart w:id="111" w:name="results"/>
    <w:p>
      <w:ins w:id="10284" w:author="R2 Revision" w:date="2026-05-19T00:00:00Z">
        <w:pPr>
          <w:pStyle w:val="Heading1"/>
        </w:pPr>
        <w:r>
          <w:t xml:space="preserve">3 Results</w:t>
        </w:r>
      </w:ins>
    </w:p>
    <w:bookmarkStart w:id="82" w:name="scope-and-claims-boundary"/>
    <w:p>
      <w:ins w:id="10285" w:author="R2 Revision" w:date="2026-05-19T00:00:00Z">
        <w:pPr>
          <w:pStyle w:val="Heading2"/>
        </w:pPr>
        <w:r>
          <w:t xml:space="preserve">3.1 Scope and Claims Boundary</w:t>
        </w:r>
      </w:ins>
    </w:p>
    <w:p>
      <w:ins w:id="10286" w:author="R2 Revision" w:date="2026-05-19T00:00:00Z">
        <w:pPr>
          <w:pStyle w:val="FirstParagraph"/>
        </w:pPr>
        <w:r>
          <w:t xml:space="preserve">The cross-section covers 40 protocols across four sectors (DePIN, DeFi,</w:t>
        </w:r>
        <w:r>
          <w:t xml:space="preserve"> </w:t>
        </w:r>
        <w:r>
          <w:t xml:space="preserve">infrastructure, social). Table 3 delimits the claims boundary: all</w:t>
        </w:r>
        <w:r>
          <w:t xml:space="preserve"> </w:t>
        </w:r>
        <w:r>
          <w:t xml:space="preserve">findings are descriptive within the observed scope. All claims are</w:t>
        </w:r>
        <w:r>
          <w:t xml:space="preserve"> </w:t>
        </w:r>
        <w:r>
          <w:t xml:space="preserve">descriptive within the observed scope. The governance data represent a</w:t>
        </w:r>
        <w:r>
          <w:t xml:space="preserve"> </w:t>
        </w:r>
        <w:r>
          <w:t xml:space="preserve">March 2026 snapshot, not a time series. Causal claims about the</w:t>
        </w:r>
        <w:r>
          <w:t xml:space="preserve"> </w:t>
        </w:r>
        <w:r>
          <w:t xml:space="preserve">relationship between institutional design and governance outcomes</w:t>
        </w:r>
        <w:r>
          <w:t xml:space="preserve"> </w:t>
        </w:r>
        <w:r>
          <w:t xml:space="preserve">require the longitudinal evidence beyond the scope of this paper. All</w:t>
        </w:r>
        <w:r>
          <w:t xml:space="preserve"> </w:t>
        </w:r>
        <w:r>
          <w:t xml:space="preserve">governance token distributions were queried from Dune Analytics</w:t>
        </w:r>
        <w:r>
          <w:t xml:space="preserve"> </w:t>
        </w:r>
        <w:r>
          <w:t xml:space="preserve">multi-chain queries. Concentration metrics are point-in-time snapshots;</w:t>
        </w:r>
        <w:r>
          <w:t xml:space="preserve"> </w:t>
        </w:r>
        <w:r>
          <w:t xml:space="preserve">trajectory analysis requires the longitudinal extension specified in the</w:t>
        </w:r>
        <w:r>
          <w:t xml:space="preserve"> </w:t>
        </w:r>
        <w:r>
          <w:t xml:space="preserve">Future Research discussion (Section 4.9).</w:t>
        </w:r>
      </w:ins>
    </w:p>
    <w:tbl>
      <w:tblPr>
        <w:tblStyle w:val="Table"/>
        <w:tblW w:type="pct" w:w="4953"/>
        <w:tblLayout w:type="fixed"/>
        <w:tblLook w:firstRow="1" w:lastRow="0" w:firstColumn="0" w:lastColumn="0" w:noHBand="0" w:noVBand="0" w:val="0020"/>
      </w:tblPr>
      <w:tblGrid>
        <w:gridCol w:w="900"/>
        <w:gridCol w:w="900"/>
        <w:gridCol w:w="6043"/>
      </w:tblGrid>
      <w:tr>
        <w:trPr>
          <w:tblHeader w:val="on"/>
        </w:trPr>
        <w:tc>
          <w:tcPr/>
          <w:p>
            <w:ins w:id="1028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Claim</w:t>
              </w:r>
            </w:ins>
          </w:p>
        </w:tc>
        <w:tc>
          <w:tcPr/>
          <w:p>
            <w:ins w:id="1028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Evidence Grade</w:t>
              </w:r>
            </w:ins>
          </w:p>
        </w:tc>
        <w:tc>
          <w:tcPr/>
          <w:p>
            <w:ins w:id="1028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Pointer</w:t>
              </w:r>
            </w:ins>
          </w:p>
        </w:tc>
      </w:tr>
      <w:tr>
        <w:tc>
          <w:tcPr/>
          <w:p>
            <w:ins w:id="10290" w:author="R2 Revision" w:date="2026-05-19T00:00:00Z">
              <w:pPr>
                <w:pStyle w:val="Compact"/>
                <w:jc w:val="left"/>
              </w:pPr>
              <w:r>
                <w:t xml:space="preserve">Governance</w:t>
              </w:r>
              <w:r>
                <w:t xml:space="preserve"> </w:t>
              </w:r>
              <w:r>
                <w:t xml:space="preserve">concentration is</w:t>
              </w:r>
              <w:r>
                <w:t xml:space="preserve"> </w:t>
              </w:r>
              <w:r>
                <w:t xml:space="preserve">descriptively higher in</w:t>
              </w:r>
              <w:r>
                <w:t xml:space="preserve"> </w:t>
              </w:r>
              <w:r>
                <w:t xml:space="preserve">DePIN than DeFi</w:t>
              </w:r>
            </w:ins>
          </w:p>
        </w:tc>
        <w:tc>
          <w:tcPr/>
          <w:p>
            <w:ins w:id="10291" w:author="R2 Revision" w:date="2026-05-19T00:00:00Z">
              <w:pPr>
                <w:pStyle w:val="Compact"/>
                <w:jc w:val="left"/>
              </w:pPr>
              <w:r>
                <w:t xml:space="preserve">Descriptive</w:t>
              </w:r>
            </w:ins>
          </w:p>
        </w:tc>
        <w:tc>
          <w:tcPr/>
          <w:p>
            <w:ins w:id="10292" w:author="R2 Revision" w:date="2026-05-19T00:00:00Z">
              <w:pPr>
                <w:pStyle w:val="Compact"/>
                <w:jc w:val="left"/>
              </w:pPr>
              <w:r>
                <w:t xml:space="preserve">Table 4</w:t>
              </w:r>
            </w:ins>
          </w:p>
        </w:tc>
      </w:tr>
      <w:tr>
        <w:tc>
          <w:tcPr/>
          <w:p>
            <w:ins w:id="10293" w:author="R2 Revision" w:date="2026-05-19T00:00:00Z">
              <w:pPr>
                <w:pStyle w:val="Compact"/>
                <w:jc w:val="left"/>
              </w:pPr>
              <w:r>
                <w:t xml:space="preserve">The scoring rubric</w:t>
              </w:r>
              <w:r>
                <w:t xml:space="preserve"> </w:t>
              </w:r>
              <w:r>
                <w:t xml:space="preserve">translates philosophy</w:t>
              </w:r>
              <w:r>
                <w:t xml:space="preserve"> </w:t>
              </w:r>
              <w:r>
                <w:t xml:space="preserve">into measurement</w:t>
              </w:r>
            </w:ins>
          </w:p>
        </w:tc>
        <w:tc>
          <w:tcPr/>
          <w:p>
            <w:ins w:id="10294" w:author="R2 Revision" w:date="2026-05-19T00:00:00Z">
              <w:pPr>
                <w:pStyle w:val="Compact"/>
                <w:jc w:val="left"/>
              </w:pPr>
              <w:r>
                <w:t xml:space="preserve">Methodological</w:t>
              </w:r>
            </w:ins>
          </w:p>
        </w:tc>
        <w:tc>
          <w:tcPr/>
          <w:p>
            <w:ins w:id="10295" w:author="R2 Revision" w:date="2026-05-19T00:00:00Z">
              <w:pPr>
                <w:pStyle w:val="Compact"/>
                <w:jc w:val="left"/>
              </w:pPr>
              <w:r>
                <w:t xml:space="preserve">Table 1 +</w:t>
              </w:r>
              <w:r>
                <w:t xml:space="preserve"> </w:t>
              </w:r>
              <w:hyperlink r:id="rId69">
                <w:r>
                  <w:rPr>
                    <w:rStyle w:val="Hyperlink"/>
                    <w:u w:val="single"/>
                  </w:rPr>
                  <w:t xml:space="preserve">Supplementary File</w:t>
                </w:r>
                <w:r>
                  <w:rPr>
                    <w:rStyle w:val="Hyperlink"/>
                    <w:u w:val="single"/>
                  </w:rPr>
                  <w:t xml:space="preserve"> </w:t>
                </w:r>
                <w:r>
                  <w:rPr>
                    <w:rStyle w:val="Hyperlink"/>
                    <w:u w:val="single"/>
                  </w:rPr>
                  <w:t xml:space="preserve">S1</w:t>
                </w:r>
              </w:hyperlink>
            </w:ins>
          </w:p>
        </w:tc>
      </w:tr>
      <w:tr>
        <w:tc>
          <w:tcPr/>
          <w:p>
            <w:ins w:id="10296" w:author="R2 Revision" w:date="2026-05-19T00:00:00Z">
              <w:pPr>
                <w:pStyle w:val="Compact"/>
                <w:jc w:val="left"/>
              </w:pPr>
              <w:r>
                <w:t xml:space="preserve">Five core design</w:t>
              </w:r>
              <w:r>
                <w:t xml:space="preserve"> </w:t>
              </w:r>
              <w:r>
                <w:t xml:space="preserve">hypotheses follow from</w:t>
              </w:r>
              <w:r>
                <w:t xml:space="preserve"> </w:t>
              </w:r>
              <w:r>
                <w:t xml:space="preserve">the normative framework</w:t>
              </w:r>
            </w:ins>
          </w:p>
        </w:tc>
        <w:tc>
          <w:tcPr/>
          <w:p>
            <w:ins w:id="10297" w:author="R2 Revision" w:date="2026-05-19T00:00:00Z">
              <w:pPr>
                <w:pStyle w:val="Compact"/>
                <w:jc w:val="left"/>
              </w:pPr>
              <w:r>
                <w:t xml:space="preserve">Theoretical</w:t>
              </w:r>
            </w:ins>
          </w:p>
        </w:tc>
        <w:tc>
          <w:tcPr/>
          <w:p>
            <w:ins w:id="10298" w:author="R2 Revision" w:date="2026-05-19T00:00:00Z">
              <w:pPr>
                <w:pStyle w:val="Compact"/>
                <w:jc w:val="left"/>
              </w:pPr>
              <w:r>
                <w:t xml:space="preserve">Section 4.1</w:t>
              </w:r>
            </w:ins>
          </w:p>
        </w:tc>
      </w:tr>
    </w:tbl>
    <w:p>
      <w:ins w:id="1029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3.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Claims boundary: what this paper does and does not claim.</w:t>
        </w:r>
      </w:ins>
    </w:p>
    <w:bookmarkEnd w:id="82"/>
    <w:bookmarkStart w:id="83" w:name="cross-protocol-concentration"/>
    <w:p>
      <w:ins w:id="10300" w:author="R2 Revision" w:date="2026-05-19T00:00:00Z">
        <w:pPr>
          <w:pStyle w:val="Heading2"/>
        </w:pPr>
        <w:r>
          <w:t xml:space="preserve">3.2 Cross-Protocol Concentration</w:t>
        </w:r>
      </w:ins>
    </w:p>
    <w:p>
      <w:ins w:id="10301" w:author="R2 Revision" w:date="2026-05-19T00:00:00Z">
        <w:pPr>
          <w:pStyle w:val="FirstParagraph"/>
        </w:pPr>
        <w:r>
          <w:t xml:space="preserve">A measurement caveat: the 0.25 HHI antitrust threshold is borrowed from</w:t>
        </w:r>
        <w:r>
          <w:t xml:space="preserve"> </w:t>
        </w:r>
        <w:r>
          <w:t xml:space="preserve">market-concentration analysis (DOJ Horizontal Merger Guidelines) and is</w:t>
        </w:r>
        <w:r>
          <w:t xml:space="preserve"> </w:t>
        </w:r>
        <w:r>
          <w:t xml:space="preserve">reported here as a benchmark for descriptive interpretation only. A</w:t>
        </w:r>
        <w:r>
          <w:t xml:space="preserve"> </w:t>
        </w:r>
        <w:r>
          <w:t xml:space="preserve">market-concentration threshold is not equivalent to a</w:t>
        </w:r>
        <w:r>
          <w:t xml:space="preserve"> </w:t>
        </w:r>
        <w:r>
          <w:t xml:space="preserve">democratic-legitimacy threshold; a protocol may have HHI below 0.25</w:t>
        </w:r>
        <w:r>
          <w:t xml:space="preserve"> </w:t>
        </w:r>
        <w:r>
          <w:t xml:space="preserve">while remaining politically dominated through quorum rules (the</w:t>
        </w:r>
        <w:r>
          <w:t xml:space="preserve"> </w:t>
        </w:r>
        <w:r>
          <w:t xml:space="preserve">minimum fraction of voting power required for a proposal to pass; a</w:t>
        </w:r>
        <w:r>
          <w:t xml:space="preserve"> </w:t>
        </w:r>
        <w:r>
          <w:t xml:space="preserve">high quorum may concentrate decisive influence in whoever holds enough</w:t>
        </w:r>
        <w:r>
          <w:t xml:space="preserve"> </w:t>
        </w:r>
        <w:r>
          <w:t xml:space="preserve">tokens to meet it), delegation patterns, or proposal-rights</w:t>
        </w:r>
        <w:r>
          <w:t xml:space="preserve"> </w:t>
        </w:r>
        <w:r>
          <w:t xml:space="preserve">concentration. The HHI captures one</w:t>
        </w:r>
        <w:r>
          <w:t xml:space="preserve"> </w:t>
        </w:r>
        <w:r>
          <w:t xml:space="preserve">dimension of concentration (post-exclusion holding distribution) and is</w:t>
        </w:r>
        <w:r>
          <w:t xml:space="preserve"> </w:t>
        </w:r>
        <w:r>
          <w:t xml:space="preserve">not a sufficient condition for distributed governance.</w:t>
        </w:r>
      </w:ins>
    </w:p>
    <w:p>
      <w:ins w:id="10302" w:author="R2 Revision" w:date="2026-05-19T00:00:00Z">
        <w:pPr>
          <w:pStyle w:val="BodyText"/>
        </w:pPr>
        <w:r>
          <w:t xml:space="preserve">Governance concentration spans two orders of magnitude across the</w:t>
        </w:r>
        <w:r>
          <w:t xml:space="preserve"> </w:t>
        </w:r>
        <w:r>
          <w:t xml:space="preserve">40-protocol sample (Table 4): HHI ranges from 0.005 (Hyperliquid) to</w:t>
        </w:r>
        <w:r>
          <w:t xml:space="preserve"> </w:t>
        </w:r>
        <w:r>
          <w:t xml:space="preserve">0.199 (Livepeer), with a median near 0.04. DePIN protocols cluster in</w:t>
        </w:r>
        <w:r>
          <w:t xml:space="preserve"> </w:t>
        </w:r>
        <w:r>
          <w:t xml:space="preserve">the upper half of this distribution. Livepeer is the clearest structural</w:t>
        </w:r>
        <w:r>
          <w:t xml:space="preserve"> </w:t>
        </w:r>
        <w:r>
          <w:t xml:space="preserve">outlier; excluding it leaves a distribution in which DePIN still</w:t>
        </w:r>
        <w:r>
          <w:t xml:space="preserve"> </w:t>
        </w:r>
        <w:r>
          <w:t xml:space="preserve">exhibits higher concentration than DeFi but without a dominant leverage</w:t>
        </w:r>
        <w:r>
          <w:t xml:space="preserve"> </w:t>
        </w:r>
        <w:r>
          <w:t xml:space="preserve">point.</w:t>
        </w:r>
      </w:ins>
    </w:p>
    <w:p>
      <w:ins w:id="10303" w:author="R2 Revision" w:date="2026-05-19T00:00:00Z">
        <w:pPr>
          <w:pStyle w:val="BodyText"/>
        </w:pPr>
        <w:r>
          <w:t xml:space="preserve">Concentration metrics are computed from Dune Analytics multi-chain</w:t>
        </w:r>
        <w:r>
          <w:t xml:space="preserve"> </w:t>
        </w:r>
        <w:r>
          <w:t xml:space="preserve">queries and the Helius DAS API for Solana SPL tokens (March 2026</w:t>
        </w:r>
        <w:r>
          <w:t xml:space="preserve"> </w:t>
        </w:r>
        <w:r>
          <w:t xml:space="preserve">snapshot, top-1000 holders per protocol), after excluding 126</w:t>
        </w:r>
        <w:r>
          <w:t xml:space="preserve"> </w:t>
        </w:r>
        <w:r>
          <w:t xml:space="preserve">protocol-controlled addresses across 38 protocols (staking contracts,</w:t>
        </w:r>
        <w:r>
          <w:t xml:space="preserve"> </w:t>
        </w:r>
        <w:r>
          <w:t xml:space="preserve">exchange custodians, vesting locks, protocol treasuries; see</w:t>
        </w:r>
        <w:r>
          <w:t xml:space="preserve"> 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).</w:t>
        </w:r>
        <w:r>
          <w:t xml:space="preserve"> </w:t>
        </w:r>
        <w:r>
          <w:t xml:space="preserve">Solana-native tokens use getTokenAccounts with page-based pagination to</w:t>
        </w:r>
        <w:r>
          <w:t xml:space="preserve"> </w:t>
        </w:r>
        <w:r>
          <w:t xml:space="preserve">correct systematic undercounting in Dune’s indexed tables. Replication</w:t>
        </w:r>
        <w:r>
          <w:t xml:space="preserve"> </w:t>
        </w:r>
        <w:r>
          <w:t xml:space="preserve">scripts and input CSVs are listed in Supplementary File S5.</w:t>
        </w:r>
      </w:ins>
    </w:p>
    <w:p>
      <w:ins w:id="10304" w:author="R2 Revision" w:date="2026-05-19T00:00:00Z">
        <w:pPr>
          <w:pStyle w:val="BodyText"/>
        </w:pPr>
        <w:r>
          <w:t xml:space="preserve">Three additional DePIN protocols are included to improve statistical</w:t>
        </w:r>
        <w:r>
          <w:t xml:space="preserve"> </w:t>
        </w:r>
        <w:r>
          <w:t xml:space="preserve">power for the subsidy analysis: Aethir (ATH, Ethereum, GPU compute,</w:t>
        </w:r>
        <w:r>
          <w:t xml:space="preserve"> </w:t>
        </w:r>
        <w:r>
          <w:t xml:space="preserve">$156M annualized revenue (Token Terminal, April 2026)), Hivemapper</w:t>
        </w:r>
        <w:r>
          <w:t xml:space="preserve"> </w:t>
        </w:r>
        <w:r>
          <w:t xml:space="preserve">(HONEY, Solana, mapping), and io.net (IO, Solana, GPU compute, $21M</w:t>
        </w:r>
        <w:r>
          <w:t xml:space="preserve"> </w:t>
        </w:r>
        <w:r>
          <w:t xml:space="preserve">revenue).</w:t>
        </w:r>
        <w:r>
          <w:t xml:space="preserve"> </w:t>
        </w:r>
        <w:r>
          <w:t xml:space="preserve">Governance concentration was computed using the same methodology (Dune</w:t>
        </w:r>
        <w:r>
          <w:t xml:space="preserve"> </w:t>
        </w:r>
        <w:r>
          <w:t xml:space="preserve">for ERC-20 tokens, Helius for Solana SPL tokens, top-1000 holders,</w:t>
        </w:r>
        <w:r>
          <w:t xml:space="preserve"> </w:t>
        </w:r>
        <w:r>
          <w:t xml:space="preserve">exchange-labeled and protocol-controlled addresses excluded).</w:t>
        </w:r>
      </w:ins>
    </w:p>
    <w:tbl>
      <w:tblPr>
        <w:tblStyle w:val="Table"/>
        <w:tblW w:type="pct" w:w="4889"/>
        <w:tblLayout w:type="fixed"/>
        <w:tblLook w:firstRow="1" w:lastRow="0" w:firstColumn="0" w:lastColumn="0" w:noHBand="0" w:noVBand="0" w:val="0020"/>
      </w:tblPr>
      <w:tblGrid>
        <w:gridCol w:w="1232"/>
        <w:gridCol w:w="1056"/>
        <w:gridCol w:w="1232"/>
        <w:gridCol w:w="792"/>
        <w:gridCol w:w="704"/>
        <w:gridCol w:w="792"/>
        <w:gridCol w:w="880"/>
        <w:gridCol w:w="1056"/>
      </w:tblGrid>
      <w:tr>
        <w:trPr>
          <w:tblHeader w:val="on"/>
        </w:trPr>
        <w:tc>
          <w:tcPr/>
          <w:p>
            <w:ins w:id="10305" w:author="R2 Revision" w:date="2026-05-19T00:00:00Z">
              <w:pPr>
                <w:pStyle w:val="Compact"/>
                <w:jc w:val="left"/>
              </w:pPr>
              <w:r>
                <w:t xml:space="preserve">Protocol</w:t>
              </w:r>
            </w:ins>
          </w:p>
        </w:tc>
        <w:tc>
          <w:tcPr/>
          <w:p>
            <w:ins w:id="10306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</w:ins>
          </w:p>
        </w:tc>
        <w:tc>
          <w:tcPr/>
          <w:p>
            <w:ins w:id="10307" w:author="R2 Revision" w:date="2026-05-19T00:00:00Z">
              <w:pPr>
                <w:pStyle w:val="Compact"/>
                <w:jc w:val="left"/>
              </w:pPr>
              <w:r>
                <w:t xml:space="preserve">Category</w:t>
              </w:r>
            </w:ins>
          </w:p>
        </w:tc>
        <w:tc>
          <w:tcPr/>
          <w:p>
            <w:ins w:id="10308" w:author="R2 Revision" w:date="2026-05-19T00:00:00Z">
              <w:pPr>
                <w:pStyle w:val="Compact"/>
                <w:jc w:val="left"/>
              </w:pPr>
              <w:r>
                <w:t xml:space="preserve">HHI</w:t>
              </w:r>
            </w:ins>
          </w:p>
        </w:tc>
        <w:tc>
          <w:tcPr/>
          <w:p>
            <w:ins w:id="10309" w:author="R2 Revision" w:date="2026-05-19T00:00:00Z">
              <w:pPr>
                <w:pStyle w:val="Compact"/>
                <w:jc w:val="left"/>
              </w:pPr>
              <w:r>
                <w:t xml:space="preserve">Gini</w:t>
              </w:r>
            </w:ins>
          </w:p>
        </w:tc>
        <w:tc>
          <w:tcPr/>
          <w:p>
            <w:ins w:id="10310" w:author="R2 Revision" w:date="2026-05-19T00:00:00Z">
              <w:pPr>
                <w:pStyle w:val="Compact"/>
                <w:jc w:val="left"/>
              </w:pPr>
              <w:r>
                <w:t xml:space="preserve">Top-1%</w:t>
              </w:r>
            </w:ins>
          </w:p>
        </w:tc>
        <w:tc>
          <w:tcPr/>
          <w:p>
            <w:ins w:id="10311" w:author="R2 Revision" w:date="2026-05-19T00:00:00Z">
              <w:pPr>
                <w:pStyle w:val="Compact"/>
                <w:jc w:val="left"/>
              </w:pPr>
              <w:r>
                <w:t xml:space="preserve">Top-10%</w:t>
              </w:r>
            </w:ins>
          </w:p>
        </w:tc>
        <w:tc>
          <w:tcPr/>
          <w:p>
            <w:ins w:id="10312" w:author="R2 Revision" w:date="2026-05-19T00:00:00Z">
              <w:pPr>
                <w:pStyle w:val="Compact"/>
                <w:jc w:val="left"/>
              </w:pPr>
              <w:r>
                <w:t xml:space="preserve">N</w:t>
              </w:r>
            </w:ins>
          </w:p>
        </w:tc>
      </w:tr>
      <w:tr>
        <w:tc>
          <w:tcPr/>
          <w:p>
            <w:ins w:id="10313" w:author="R2 Revision" w:date="2026-05-19T00:00:00Z">
              <w:pPr>
                <w:pStyle w:val="Compact"/>
                <w:jc w:val="left"/>
              </w:pPr>
              <w:r>
                <w:t xml:space="preserve">Hivemapper</w:t>
              </w:r>
            </w:ins>
          </w:p>
        </w:tc>
        <w:tc>
          <w:tcPr/>
          <w:p>
            <w:ins w:id="10314" w:author="R2 Revision" w:date="2026-05-19T00:00:00Z">
              <w:pPr>
                <w:pStyle w:val="Compact"/>
                <w:jc w:val="left"/>
              </w:pPr>
              <w:r>
                <w:t xml:space="preserve">HONEY</w:t>
              </w:r>
            </w:ins>
          </w:p>
        </w:tc>
        <w:tc>
          <w:tcPr/>
          <w:p>
            <w:ins w:id="1031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16" w:author="R2 Revision" w:date="2026-05-19T00:00:00Z">
              <w:pPr>
                <w:pStyle w:val="Compact"/>
                <w:jc w:val="left"/>
              </w:pPr>
              <w:r>
                <w:t xml:space="preserve">0.018</w:t>
              </w:r>
            </w:ins>
          </w:p>
        </w:tc>
        <w:tc>
          <w:tcPr/>
          <w:p>
            <w:ins w:id="1031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18" w:author="R2 Revision" w:date="2026-05-19T00:00:00Z">
              <w:pPr>
                <w:pStyle w:val="Compact"/>
                <w:jc w:val="left"/>
              </w:pPr>
              <w:r>
                <w:t xml:space="preserve">5.7%</w:t>
              </w:r>
            </w:ins>
          </w:p>
        </w:tc>
        <w:tc>
          <w:tcPr/>
          <w:p>
            <w:ins w:id="10319" w:author="R2 Revision" w:date="2026-05-19T00:00:00Z">
              <w:pPr>
                <w:pStyle w:val="Compact"/>
                <w:jc w:val="left"/>
              </w:pPr>
              <w:r>
                <w:t xml:space="preserve">31.1%</w:t>
              </w:r>
            </w:ins>
          </w:p>
        </w:tc>
        <w:tc>
          <w:tcPr/>
          <w:p>
            <w:ins w:id="1032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21" w:author="R2 Revision" w:date="2026-05-19T00:00:00Z">
              <w:pPr>
                <w:pStyle w:val="Compact"/>
                <w:jc w:val="left"/>
              </w:pPr>
              <w:r>
                <w:t xml:space="preserve">Morpheus AI</w:t>
              </w:r>
            </w:ins>
          </w:p>
        </w:tc>
        <w:tc>
          <w:tcPr/>
          <w:p>
            <w:ins w:id="10322" w:author="R2 Revision" w:date="2026-05-19T00:00:00Z">
              <w:pPr>
                <w:pStyle w:val="Compact"/>
                <w:jc w:val="left"/>
              </w:pPr>
              <w:r>
                <w:t xml:space="preserve">MOR</w:t>
              </w:r>
            </w:ins>
          </w:p>
        </w:tc>
        <w:tc>
          <w:tcPr/>
          <w:p>
            <w:ins w:id="1032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24" w:author="R2 Revision" w:date="2026-05-19T00:00:00Z">
              <w:pPr>
                <w:pStyle w:val="Compact"/>
                <w:jc w:val="left"/>
              </w:pPr>
              <w:r>
                <w:t xml:space="preserve">0.0464</w:t>
              </w:r>
            </w:ins>
          </w:p>
        </w:tc>
        <w:tc>
          <w:tcPr/>
          <w:p>
            <w:ins w:id="1032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26" w:author="R2 Revision" w:date="2026-05-19T00:00:00Z">
              <w:pPr>
                <w:pStyle w:val="Compact"/>
                <w:jc w:val="left"/>
              </w:pPr>
              <w:r>
                <w:t xml:space="preserve">12.6%</w:t>
              </w:r>
            </w:ins>
          </w:p>
        </w:tc>
        <w:tc>
          <w:tcPr/>
          <w:p>
            <w:ins w:id="10327" w:author="R2 Revision" w:date="2026-05-19T00:00:00Z">
              <w:pPr>
                <w:pStyle w:val="Compact"/>
                <w:jc w:val="left"/>
              </w:pPr>
              <w:r>
                <w:t xml:space="preserve">55.4%</w:t>
              </w:r>
            </w:ins>
          </w:p>
        </w:tc>
        <w:tc>
          <w:tcPr/>
          <w:p>
            <w:ins w:id="10328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329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0" w:author="R2 Revision" w:date="2026-05-19T00:00:00Z">
              <w:pPr>
                <w:pStyle w:val="Compact"/>
                <w:jc w:val="left"/>
              </w:pPr>
              <w:r>
                <w:t xml:space="preserve">RENDER</w:t>
              </w:r>
            </w:ins>
          </w:p>
        </w:tc>
        <w:tc>
          <w:tcPr/>
          <w:p>
            <w:ins w:id="1033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32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33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334" w:author="R2 Revision" w:date="2026-05-19T00:00:00Z">
              <w:pPr>
                <w:pStyle w:val="Compact"/>
                <w:jc w:val="left"/>
              </w:pPr>
              <w:r>
                <w:t xml:space="preserve">9.9% 4</w:t>
              </w:r>
            </w:ins>
          </w:p>
        </w:tc>
        <w:tc>
          <w:tcPr/>
          <w:p>
            <w:ins w:id="10335" w:author="R2 Revision" w:date="2026-05-19T00:00:00Z">
              <w:pPr>
                <w:pStyle w:val="Compact"/>
                <w:jc w:val="left"/>
              </w:pPr>
              <w:r>
                <w:t xml:space="preserve">3.1% 9</w:t>
              </w:r>
            </w:ins>
          </w:p>
        </w:tc>
        <w:tc>
          <w:tcPr/>
          <w:p>
            <w:ins w:id="10336" w:author="R2 Revision" w:date="2026-05-19T00:00:00Z">
              <w:pPr>
                <w:pStyle w:val="Compact"/>
                <w:jc w:val="left"/>
              </w:pPr>
              <w:r>
                <w:t xml:space="preserve">99</w:t>
              </w:r>
            </w:ins>
          </w:p>
        </w:tc>
      </w:tr>
      <w:tr>
        <w:tc>
          <w:tcPr/>
          <w:p>
            <w:ins w:id="10337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8" w:author="R2 Revision" w:date="2026-05-19T00:00:00Z">
              <w:pPr>
                <w:pStyle w:val="Compact"/>
                <w:jc w:val="left"/>
              </w:pPr>
              <w:r>
                <w:t xml:space="preserve">GRASS</w:t>
              </w:r>
            </w:ins>
          </w:p>
        </w:tc>
        <w:tc>
          <w:tcPr/>
          <w:p>
            <w:ins w:id="1033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0" w:author="R2 Revision" w:date="2026-05-19T00:00:00Z">
              <w:pPr>
                <w:pStyle w:val="Compact"/>
                <w:jc w:val="left"/>
              </w:pPr>
              <w:r>
                <w:t xml:space="preserve">0.0352</w:t>
              </w:r>
            </w:ins>
          </w:p>
        </w:tc>
        <w:tc>
          <w:tcPr/>
          <w:p>
            <w:ins w:id="10341" w:author="R2 Revision" w:date="2026-05-19T00:00:00Z">
              <w:pPr>
                <w:pStyle w:val="Compact"/>
                <w:jc w:val="left"/>
              </w:pPr>
              <w:r>
                <w:t xml:space="preserve">0.76</w:t>
              </w:r>
            </w:ins>
          </w:p>
        </w:tc>
        <w:tc>
          <w:tcPr/>
          <w:p>
            <w:ins w:id="10342" w:author="R2 Revision" w:date="2026-05-19T00:00:00Z">
              <w:pPr>
                <w:pStyle w:val="Compact"/>
                <w:jc w:val="left"/>
              </w:pPr>
              <w:r>
                <w:t xml:space="preserve">16.0%</w:t>
              </w:r>
            </w:ins>
          </w:p>
        </w:tc>
        <w:tc>
          <w:tcPr/>
          <w:p>
            <w:ins w:id="10343" w:author="R2 Revision" w:date="2026-05-19T00:00:00Z">
              <w:pPr>
                <w:pStyle w:val="Compact"/>
                <w:jc w:val="left"/>
              </w:pPr>
              <w:r>
                <w:t xml:space="preserve">38.2%</w:t>
              </w:r>
            </w:ins>
          </w:p>
        </w:tc>
        <w:tc>
          <w:tcPr/>
          <w:p>
            <w:ins w:id="10344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45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6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34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48" w:author="R2 Revision" w:date="2026-05-19T00:00:00Z">
              <w:pPr>
                <w:pStyle w:val="Compact"/>
                <w:jc w:val="left"/>
              </w:pPr>
              <w:r>
                <w:t xml:space="preserve">0.0249</w:t>
              </w:r>
            </w:ins>
          </w:p>
        </w:tc>
        <w:tc>
          <w:tcPr/>
          <w:p>
            <w:ins w:id="10349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350" w:author="R2 Revision" w:date="2026-05-19T00:00:00Z">
              <w:pPr>
                <w:pStyle w:val="Compact"/>
                <w:jc w:val="left"/>
              </w:pPr>
              <w:r>
                <w:t xml:space="preserve">5.9% 3</w:t>
              </w:r>
            </w:ins>
          </w:p>
        </w:tc>
        <w:tc>
          <w:tcPr/>
          <w:p>
            <w:ins w:id="10351" w:author="R2 Revision" w:date="2026-05-19T00:00:00Z">
              <w:pPr>
                <w:pStyle w:val="Compact"/>
                <w:jc w:val="left"/>
              </w:pPr>
              <w:r>
                <w:t xml:space="preserve">9.3% 9</w:t>
              </w:r>
            </w:ins>
          </w:p>
        </w:tc>
        <w:tc>
          <w:tcPr/>
          <w:p>
            <w:ins w:id="10352" w:author="R2 Revision" w:date="2026-05-19T00:00:00Z">
              <w:pPr>
                <w:pStyle w:val="Compact"/>
                <w:jc w:val="left"/>
              </w:pPr>
              <w:r>
                <w:t xml:space="preserve">98</w:t>
              </w:r>
            </w:ins>
          </w:p>
        </w:tc>
      </w:tr>
      <w:tr>
        <w:tc>
          <w:tcPr/>
          <w:p>
            <w:ins w:id="10353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  <w:r>
                <w:t xml:space="preserve"> </w:t>
              </w:r>
              <w:r>
                <w:t xml:space="preserve">Protocol</w:t>
              </w:r>
            </w:ins>
          </w:p>
        </w:tc>
        <w:tc>
          <w:tcPr/>
          <w:p>
            <w:ins w:id="10354" w:author="R2 Revision" w:date="2026-05-19T00:00:00Z">
              <w:pPr>
                <w:pStyle w:val="Compact"/>
                <w:jc w:val="left"/>
              </w:pPr>
              <w:r>
                <w:t xml:space="preserve">ANYONE</w:t>
              </w:r>
            </w:ins>
          </w:p>
        </w:tc>
        <w:tc>
          <w:tcPr/>
          <w:p>
            <w:ins w:id="1035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56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357" w:author="R2 Revision" w:date="2026-05-19T00:00:00Z">
              <w:pPr>
                <w:pStyle w:val="Compact"/>
                <w:jc w:val="left"/>
              </w:pPr>
              <w:r>
                <w:t xml:space="preserve">0.71</w:t>
              </w:r>
            </w:ins>
          </w:p>
        </w:tc>
        <w:tc>
          <w:tcPr/>
          <w:p>
            <w:ins w:id="10358" w:author="R2 Revision" w:date="2026-05-19T00:00:00Z">
              <w:pPr>
                <w:pStyle w:val="Compact"/>
                <w:jc w:val="left"/>
              </w:pPr>
              <w:r>
                <w:t xml:space="preserve">4.7% 3</w:t>
              </w:r>
            </w:ins>
          </w:p>
        </w:tc>
        <w:tc>
          <w:tcPr/>
          <w:p>
            <w:ins w:id="10359" w:author="R2 Revision" w:date="2026-05-19T00:00:00Z">
              <w:pPr>
                <w:pStyle w:val="Compact"/>
                <w:jc w:val="left"/>
              </w:pPr>
              <w:r>
                <w:t xml:space="preserve">0.1% 9</w:t>
              </w:r>
            </w:ins>
          </w:p>
        </w:tc>
        <w:tc>
          <w:tcPr/>
          <w:p>
            <w:ins w:id="10360" w:author="R2 Revision" w:date="2026-05-19T00:00:00Z">
              <w:pPr>
                <w:pStyle w:val="Compact"/>
                <w:jc w:val="left"/>
              </w:pPr>
              <w:r>
                <w:t xml:space="preserve">97</w:t>
              </w:r>
            </w:ins>
          </w:p>
        </w:tc>
      </w:tr>
      <w:tr>
        <w:tc>
          <w:tcPr/>
          <w:p>
            <w:ins w:id="10361" w:author="R2 Revision" w:date="2026-05-19T00:00:00Z">
              <w:pPr>
                <w:pStyle w:val="Compact"/>
                <w:jc w:val="left"/>
              </w:pPr>
              <w:r>
                <w:t xml:space="preserve">Filecoin</w:t>
              </w:r>
            </w:ins>
          </w:p>
        </w:tc>
        <w:tc>
          <w:tcPr/>
          <w:p>
            <w:ins w:id="10362" w:author="R2 Revision" w:date="2026-05-19T00:00:00Z">
              <w:pPr>
                <w:pStyle w:val="Compact"/>
                <w:jc w:val="left"/>
              </w:pPr>
              <w:r>
                <w:t xml:space="preserve">FIL</w:t>
              </w:r>
            </w:ins>
          </w:p>
        </w:tc>
        <w:tc>
          <w:tcPr/>
          <w:p>
            <w:ins w:id="1036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64" w:author="R2 Revision" w:date="2026-05-19T00:00:00Z">
              <w:pPr>
                <w:pStyle w:val="Compact"/>
                <w:jc w:val="left"/>
              </w:pPr>
              <w:r>
                <w:t xml:space="preserve">0.0221</w:t>
              </w:r>
            </w:ins>
          </w:p>
        </w:tc>
        <w:tc>
          <w:tcPr/>
          <w:p>
            <w:ins w:id="10365" w:author="R2 Revision" w:date="2026-05-19T00:00:00Z">
              <w:pPr>
                <w:pStyle w:val="Compact"/>
                <w:jc w:val="left"/>
              </w:pPr>
              <w:r>
                <w:t xml:space="preserve">0.74</w:t>
              </w:r>
            </w:ins>
          </w:p>
        </w:tc>
        <w:tc>
          <w:tcPr/>
          <w:p>
            <w:ins w:id="10366" w:author="R2 Revision" w:date="2026-05-19T00:00:00Z">
              <w:pPr>
                <w:pStyle w:val="Compact"/>
                <w:jc w:val="left"/>
              </w:pPr>
              <w:r>
                <w:t xml:space="preserve">9.3%</w:t>
              </w:r>
            </w:ins>
          </w:p>
        </w:tc>
        <w:tc>
          <w:tcPr/>
          <w:p>
            <w:ins w:id="10367" w:author="R2 Revision" w:date="2026-05-19T00:00:00Z">
              <w:pPr>
                <w:pStyle w:val="Compact"/>
                <w:jc w:val="left"/>
              </w:pPr>
              <w:r>
                <w:t xml:space="preserve">35.6%</w:t>
              </w:r>
            </w:ins>
          </w:p>
        </w:tc>
        <w:tc>
          <w:tcPr/>
          <w:p>
            <w:ins w:id="1036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69" w:author="R2 Revision" w:date="2026-05-19T00:00:00Z">
              <w:pPr>
                <w:pStyle w:val="Compact"/>
                <w:jc w:val="left"/>
              </w:pPr>
              <w:r>
                <w:t xml:space="preserve">Helium</w:t>
              </w:r>
            </w:ins>
          </w:p>
        </w:tc>
        <w:tc>
          <w:tcPr/>
          <w:p>
            <w:ins w:id="10370" w:author="R2 Revision" w:date="2026-05-19T00:00:00Z">
              <w:pPr>
                <w:pStyle w:val="Compact"/>
                <w:jc w:val="left"/>
              </w:pPr>
              <w:r>
                <w:t xml:space="preserve">HNT</w:t>
              </w:r>
            </w:ins>
          </w:p>
        </w:tc>
        <w:tc>
          <w:tcPr/>
          <w:p>
            <w:ins w:id="1037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72" w:author="R2 Revision" w:date="2026-05-19T00:00:00Z">
              <w:pPr>
                <w:pStyle w:val="Compact"/>
                <w:jc w:val="left"/>
              </w:pPr>
              <w:r>
                <w:t xml:space="preserve">0.0745</w:t>
              </w:r>
            </w:ins>
          </w:p>
        </w:tc>
        <w:tc>
          <w:tcPr/>
          <w:p>
            <w:ins w:id="10373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74" w:author="R2 Revision" w:date="2026-05-19T00:00:00Z">
              <w:pPr>
                <w:pStyle w:val="Compact"/>
                <w:jc w:val="left"/>
              </w:pPr>
              <w:r>
                <w:t xml:space="preserve">16.5%</w:t>
              </w:r>
            </w:ins>
          </w:p>
        </w:tc>
        <w:tc>
          <w:tcPr/>
          <w:p>
            <w:ins w:id="10375" w:author="R2 Revision" w:date="2026-05-19T00:00:00Z">
              <w:pPr>
                <w:pStyle w:val="Compact"/>
                <w:jc w:val="left"/>
              </w:pPr>
              <w:r>
                <w:t xml:space="preserve">76.4%</w:t>
              </w:r>
            </w:ins>
          </w:p>
        </w:tc>
        <w:tc>
          <w:tcPr/>
          <w:p>
            <w:ins w:id="103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377" w:author="R2 Revision" w:date="2026-05-19T00:00:00Z">
              <w:pPr>
                <w:pStyle w:val="Compact"/>
                <w:jc w:val="left"/>
              </w:pPr>
              <w:r>
                <w:t xml:space="preserve">IoTeX</w:t>
              </w:r>
            </w:ins>
          </w:p>
        </w:tc>
        <w:tc>
          <w:tcPr/>
          <w:p>
            <w:ins w:id="10378" w:author="R2 Revision" w:date="2026-05-19T00:00:00Z">
              <w:pPr>
                <w:pStyle w:val="Compact"/>
                <w:jc w:val="left"/>
              </w:pPr>
              <w:r>
                <w:t xml:space="preserve">IOTX</w:t>
              </w:r>
            </w:ins>
          </w:p>
        </w:tc>
        <w:tc>
          <w:tcPr/>
          <w:p>
            <w:ins w:id="1037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0" w:author="R2 Revision" w:date="2026-05-19T00:00:00Z">
              <w:pPr>
                <w:pStyle w:val="Compact"/>
                <w:jc w:val="left"/>
              </w:pPr>
              <w:r>
                <w:t xml:space="preserve">0.1885</w:t>
              </w:r>
            </w:ins>
          </w:p>
        </w:tc>
        <w:tc>
          <w:tcPr/>
          <w:p>
            <w:ins w:id="1038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382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83" w:author="R2 Revision" w:date="2026-05-19T00:00:00Z">
              <w:pPr>
                <w:pStyle w:val="Compact"/>
                <w:jc w:val="left"/>
              </w:pPr>
              <w:r>
                <w:t xml:space="preserve">90.4%</w:t>
              </w:r>
            </w:ins>
          </w:p>
        </w:tc>
        <w:tc>
          <w:tcPr/>
          <w:p>
            <w:ins w:id="10384" w:author="R2 Revision" w:date="2026-05-19T00:00:00Z">
              <w:pPr>
                <w:pStyle w:val="Compact"/>
                <w:jc w:val="left"/>
              </w:pPr>
              <w:r>
                <w:t xml:space="preserve">994</w:t>
              </w:r>
            </w:ins>
          </w:p>
        </w:tc>
      </w:tr>
      <w:tr>
        <w:tc>
          <w:tcPr/>
          <w:p>
            <w:ins w:id="10385" w:author="R2 Revision" w:date="2026-05-19T00:00:00Z">
              <w:pPr>
                <w:pStyle w:val="Compact"/>
                <w:jc w:val="left"/>
              </w:pPr>
              <w:r>
                <w:t xml:space="preserve">io.net</w:t>
              </w:r>
            </w:ins>
          </w:p>
        </w:tc>
        <w:tc>
          <w:tcPr/>
          <w:p>
            <w:ins w:id="10386" w:author="R2 Revision" w:date="2026-05-19T00:00:00Z">
              <w:pPr>
                <w:pStyle w:val="Compact"/>
                <w:jc w:val="left"/>
              </w:pPr>
              <w:r>
                <w:t xml:space="preserve">IO</w:t>
              </w:r>
            </w:ins>
          </w:p>
        </w:tc>
        <w:tc>
          <w:tcPr/>
          <w:p>
            <w:ins w:id="1038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88" w:author="R2 Revision" w:date="2026-05-19T00:00:00Z">
              <w:pPr>
                <w:pStyle w:val="Compact"/>
                <w:jc w:val="left"/>
              </w:pPr>
              <w:r>
                <w:t xml:space="preserve">0.1251</w:t>
              </w:r>
            </w:ins>
          </w:p>
        </w:tc>
        <w:tc>
          <w:tcPr/>
          <w:p>
            <w:ins w:id="1038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390" w:author="R2 Revision" w:date="2026-05-19T00:00:00Z">
              <w:pPr>
                <w:pStyle w:val="Compact"/>
                <w:jc w:val="left"/>
              </w:pPr>
              <w:r>
                <w:t xml:space="preserve">33.5%</w:t>
              </w:r>
            </w:ins>
          </w:p>
        </w:tc>
        <w:tc>
          <w:tcPr/>
          <w:p>
            <w:ins w:id="10391" w:author="R2 Revision" w:date="2026-05-19T00:00:00Z">
              <w:pPr>
                <w:pStyle w:val="Compact"/>
                <w:jc w:val="left"/>
              </w:pPr>
              <w:r>
                <w:t xml:space="preserve">61.2%</w:t>
              </w:r>
            </w:ins>
          </w:p>
        </w:tc>
        <w:tc>
          <w:tcPr/>
          <w:p>
            <w:ins w:id="103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393" w:author="R2 Revision" w:date="2026-05-19T00:00:00Z">
              <w:pPr>
                <w:pStyle w:val="Compact"/>
                <w:jc w:val="left"/>
              </w:pPr>
              <w:r>
                <w:t xml:space="preserve">GEODNET</w:t>
              </w:r>
            </w:ins>
          </w:p>
        </w:tc>
        <w:tc>
          <w:tcPr/>
          <w:p>
            <w:ins w:id="10394" w:author="R2 Revision" w:date="2026-05-19T00:00:00Z">
              <w:pPr>
                <w:pStyle w:val="Compact"/>
                <w:jc w:val="left"/>
              </w:pPr>
              <w:r>
                <w:t xml:space="preserve">GEOD</w:t>
              </w:r>
            </w:ins>
          </w:p>
        </w:tc>
        <w:tc>
          <w:tcPr/>
          <w:p>
            <w:ins w:id="10395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396" w:author="R2 Revision" w:date="2026-05-19T00:00:00Z">
              <w:pPr>
                <w:pStyle w:val="Compact"/>
                <w:jc w:val="left"/>
              </w:pPr>
              <w:r>
                <w:t xml:space="preserve">0.0605</w:t>
              </w:r>
            </w:ins>
          </w:p>
        </w:tc>
        <w:tc>
          <w:tcPr/>
          <w:p>
            <w:ins w:id="10397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398" w:author="R2 Revision" w:date="2026-05-19T00:00:00Z">
              <w:pPr>
                <w:pStyle w:val="Compact"/>
                <w:jc w:val="left"/>
              </w:pPr>
              <w:r>
                <w:t xml:space="preserve">16.2%</w:t>
              </w:r>
            </w:ins>
          </w:p>
        </w:tc>
        <w:tc>
          <w:tcPr/>
          <w:p>
            <w:ins w:id="10399" w:author="R2 Revision" w:date="2026-05-19T00:00:00Z">
              <w:pPr>
                <w:pStyle w:val="Compact"/>
                <w:jc w:val="left"/>
              </w:pPr>
              <w:r>
                <w:t xml:space="preserve">62.3%</w:t>
              </w:r>
            </w:ins>
          </w:p>
        </w:tc>
        <w:tc>
          <w:tcPr/>
          <w:p>
            <w:ins w:id="1040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401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402" w:author="R2 Revision" w:date="2026-05-19T00:00:00Z">
              <w:pPr>
                <w:pStyle w:val="Compact"/>
                <w:jc w:val="left"/>
              </w:pPr>
              <w:r>
                <w:t xml:space="preserve">WXM</w:t>
              </w:r>
            </w:ins>
          </w:p>
        </w:tc>
        <w:tc>
          <w:tcPr/>
          <w:p>
            <w:ins w:id="10403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04" w:author="R2 Revision" w:date="2026-05-19T00:00:00Z">
              <w:pPr>
                <w:pStyle w:val="Compact"/>
                <w:jc w:val="left"/>
              </w:pPr>
              <w:r>
                <w:t xml:space="preserve">0.1479</w:t>
              </w:r>
            </w:ins>
          </w:p>
        </w:tc>
        <w:tc>
          <w:tcPr/>
          <w:p>
            <w:ins w:id="104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406" w:author="R2 Revision" w:date="2026-05-19T00:00:00Z">
              <w:pPr>
                <w:pStyle w:val="Compact"/>
                <w:jc w:val="left"/>
              </w:pPr>
              <w:r>
                <w:t xml:space="preserve">35.0%</w:t>
              </w:r>
            </w:ins>
          </w:p>
        </w:tc>
        <w:tc>
          <w:tcPr/>
          <w:p>
            <w:ins w:id="10407" w:author="R2 Revision" w:date="2026-05-19T00:00:00Z">
              <w:pPr>
                <w:pStyle w:val="Compact"/>
                <w:jc w:val="left"/>
              </w:pPr>
              <w:r>
                <w:t xml:space="preserve">77.9%</w:t>
              </w:r>
            </w:ins>
          </w:p>
        </w:tc>
        <w:tc>
          <w:tcPr/>
          <w:p>
            <w:ins w:id="10408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09" w:author="R2 Revision" w:date="2026-05-19T00:00:00Z">
              <w:pPr>
                <w:pStyle w:val="Compact"/>
                <w:jc w:val="left"/>
              </w:pPr>
              <w:r>
                <w:t xml:space="preserve">Pokt Network</w:t>
              </w:r>
            </w:ins>
          </w:p>
        </w:tc>
        <w:tc>
          <w:tcPr/>
          <w:p>
            <w:ins w:id="10410" w:author="R2 Revision" w:date="2026-05-19T00:00:00Z">
              <w:pPr>
                <w:pStyle w:val="Compact"/>
                <w:jc w:val="left"/>
              </w:pPr>
              <w:r>
                <w:t xml:space="preserve">POKT</w:t>
              </w:r>
            </w:ins>
          </w:p>
        </w:tc>
        <w:tc>
          <w:tcPr/>
          <w:p>
            <w:ins w:id="10411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12" w:author="R2 Revision" w:date="2026-05-19T00:00:00Z">
              <w:pPr>
                <w:pStyle w:val="Compact"/>
                <w:jc w:val="left"/>
              </w:pPr>
              <w:r>
                <w:t xml:space="preserve">0.0899</w:t>
              </w:r>
            </w:ins>
          </w:p>
        </w:tc>
        <w:tc>
          <w:tcPr/>
          <w:p>
            <w:ins w:id="10413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14" w:author="R2 Revision" w:date="2026-05-19T00:00:00Z">
              <w:pPr>
                <w:pStyle w:val="Compact"/>
                <w:jc w:val="left"/>
              </w:pPr>
              <w:r>
                <w:t xml:space="preserve">25.7%</w:t>
              </w:r>
            </w:ins>
          </w:p>
        </w:tc>
        <w:tc>
          <w:tcPr/>
          <w:p>
            <w:ins w:id="10415" w:author="R2 Revision" w:date="2026-05-19T00:00:00Z">
              <w:pPr>
                <w:pStyle w:val="Compact"/>
                <w:jc w:val="left"/>
              </w:pPr>
              <w:r>
                <w:t xml:space="preserve">66.7%</w:t>
              </w:r>
            </w:ins>
          </w:p>
        </w:tc>
        <w:tc>
          <w:tcPr/>
          <w:p>
            <w:ins w:id="1041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17" w:author="R2 Revision" w:date="2026-05-19T00:00:00Z">
              <w:pPr>
                <w:pStyle w:val="Compact"/>
                <w:jc w:val="left"/>
              </w:pPr>
              <w:r>
                <w:t xml:space="preserve">Aethir</w:t>
              </w:r>
            </w:ins>
          </w:p>
        </w:tc>
        <w:tc>
          <w:tcPr/>
          <w:p>
            <w:ins w:id="10418" w:author="R2 Revision" w:date="2026-05-19T00:00:00Z">
              <w:pPr>
                <w:pStyle w:val="Compact"/>
                <w:jc w:val="left"/>
              </w:pPr>
              <w:r>
                <w:t xml:space="preserve">ATH</w:t>
              </w:r>
            </w:ins>
          </w:p>
        </w:tc>
        <w:tc>
          <w:tcPr/>
          <w:p>
            <w:ins w:id="10419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0" w:author="R2 Revision" w:date="2026-05-19T00:00:00Z">
              <w:pPr>
                <w:pStyle w:val="Compact"/>
                <w:jc w:val="left"/>
              </w:pPr>
              <w:r>
                <w:t xml:space="preserve">0.0868</w:t>
              </w:r>
            </w:ins>
          </w:p>
        </w:tc>
        <w:tc>
          <w:tcPr/>
          <w:p>
            <w:ins w:id="10421" w:author="R2 Revision" w:date="2026-05-19T00:00:00Z">
              <w:pPr>
                <w:pStyle w:val="Compact"/>
                <w:jc w:val="left"/>
              </w:pPr>
              <w:r>
                <w:t xml:space="preserve">0.95</w:t>
              </w:r>
            </w:ins>
          </w:p>
        </w:tc>
        <w:tc>
          <w:tcPr/>
          <w:p>
            <w:ins w:id="10422" w:author="R2 Revision" w:date="2026-05-19T00:00:00Z">
              <w:pPr>
                <w:pStyle w:val="Compact"/>
                <w:jc w:val="left"/>
              </w:pPr>
              <w:r>
                <w:t xml:space="preserve">18.3%</w:t>
              </w:r>
            </w:ins>
          </w:p>
        </w:tc>
        <w:tc>
          <w:tcPr/>
          <w:p>
            <w:ins w:id="10423" w:author="R2 Revision" w:date="2026-05-19T00:00:00Z">
              <w:pPr>
                <w:pStyle w:val="Compact"/>
                <w:jc w:val="left"/>
              </w:pPr>
              <w:r>
                <w:t xml:space="preserve">68.7%</w:t>
              </w:r>
            </w:ins>
          </w:p>
        </w:tc>
        <w:tc>
          <w:tcPr/>
          <w:p>
            <w:ins w:id="10424" w:author="R2 Revision" w:date="2026-05-19T00:00:00Z">
              <w:pPr>
                <w:pStyle w:val="Compact"/>
                <w:jc w:val="left"/>
              </w:pPr>
              <w:r>
                <w:t xml:space="preserve">993</w:t>
              </w:r>
            </w:ins>
          </w:p>
        </w:tc>
      </w:tr>
      <w:tr>
        <w:tc>
          <w:tcPr/>
          <w:p>
            <w:ins w:id="10425" w:author="R2 Revision" w:date="2026-05-19T00:00:00Z">
              <w:pPr>
                <w:pStyle w:val="Compact"/>
                <w:jc w:val="left"/>
              </w:pPr>
              <w:r>
                <w:t xml:space="preserve">Livepeer</w:t>
              </w:r>
            </w:ins>
          </w:p>
        </w:tc>
        <w:tc>
          <w:tcPr/>
          <w:p>
            <w:ins w:id="10426" w:author="R2 Revision" w:date="2026-05-19T00:00:00Z">
              <w:pPr>
                <w:pStyle w:val="Compact"/>
                <w:jc w:val="left"/>
              </w:pPr>
              <w:r>
                <w:t xml:space="preserve">LPT</w:t>
              </w:r>
            </w:ins>
          </w:p>
        </w:tc>
        <w:tc>
          <w:tcPr/>
          <w:p>
            <w:ins w:id="10427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428" w:author="R2 Revision" w:date="2026-05-19T00:00:00Z">
              <w:pPr>
                <w:pStyle w:val="Compact"/>
                <w:jc w:val="left"/>
              </w:pPr>
              <w:r>
                <w:t xml:space="preserve">0.1989</w:t>
              </w:r>
            </w:ins>
          </w:p>
        </w:tc>
        <w:tc>
          <w:tcPr/>
          <w:p>
            <w:ins w:id="10429" w:author="R2 Revision" w:date="2026-05-19T00:00:00Z">
              <w:pPr>
                <w:pStyle w:val="Compact"/>
                <w:jc w:val="left"/>
              </w:pPr>
              <w:r>
                <w:t xml:space="preserve">0.94</w:t>
              </w:r>
            </w:ins>
          </w:p>
        </w:tc>
        <w:tc>
          <w:tcPr/>
          <w:p>
            <w:ins w:id="10430" w:author="R2 Revision" w:date="2026-05-19T00:00:00Z">
              <w:pPr>
                <w:pStyle w:val="Compact"/>
                <w:jc w:val="left"/>
              </w:pPr>
              <w:r>
                <w:t xml:space="preserve">42.9%</w:t>
              </w:r>
            </w:ins>
          </w:p>
        </w:tc>
        <w:tc>
          <w:tcPr/>
          <w:p>
            <w:ins w:id="10431" w:author="R2 Revision" w:date="2026-05-19T00:00:00Z">
              <w:pPr>
                <w:pStyle w:val="Compact"/>
                <w:jc w:val="left"/>
              </w:pPr>
              <w:r>
                <w:t xml:space="preserve">73.7%</w:t>
              </w:r>
            </w:ins>
          </w:p>
        </w:tc>
        <w:tc>
          <w:tcPr/>
          <w:p>
            <w:ins w:id="10432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33" w:author="R2 Revision" w:date="2026-05-19T00:00:00Z">
              <w:pPr>
                <w:pStyle w:val="Compact"/>
                <w:jc w:val="left"/>
              </w:pPr>
              <w:r>
                <w:t xml:space="preserve">Hyperliquid</w:t>
              </w:r>
            </w:ins>
          </w:p>
        </w:tc>
        <w:tc>
          <w:tcPr/>
          <w:p>
            <w:ins w:id="10434" w:author="R2 Revision" w:date="2026-05-19T00:00:00Z">
              <w:pPr>
                <w:pStyle w:val="Compact"/>
                <w:jc w:val="left"/>
              </w:pPr>
              <w:r>
                <w:t xml:space="preserve">HYPE</w:t>
              </w:r>
            </w:ins>
          </w:p>
        </w:tc>
        <w:tc>
          <w:tcPr/>
          <w:p>
            <w:ins w:id="1043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36" w:author="R2 Revision" w:date="2026-05-19T00:00:00Z">
              <w:pPr>
                <w:pStyle w:val="Compact"/>
                <w:jc w:val="left"/>
              </w:pPr>
              <w:r>
                <w:t xml:space="preserve">0.0045</w:t>
              </w:r>
            </w:ins>
          </w:p>
        </w:tc>
        <w:tc>
          <w:tcPr/>
          <w:p>
            <w:ins w:id="10437" w:author="R2 Revision" w:date="2026-05-19T00:00:00Z">
              <w:pPr>
                <w:pStyle w:val="Compact"/>
                <w:jc w:val="left"/>
              </w:pPr>
              <w:r>
                <w:t xml:space="preserve">0.73</w:t>
              </w:r>
            </w:ins>
          </w:p>
        </w:tc>
        <w:tc>
          <w:tcPr/>
          <w:p>
            <w:ins w:id="10438" w:author="R2 Revision" w:date="2026-05-19T00:00:00Z">
              <w:pPr>
                <w:pStyle w:val="Compact"/>
                <w:jc w:val="left"/>
              </w:pPr>
              <w:r>
                <w:t xml:space="preserve">2.2%</w:t>
              </w:r>
            </w:ins>
          </w:p>
        </w:tc>
        <w:tc>
          <w:tcPr/>
          <w:p>
            <w:ins w:id="10439" w:author="R2 Revision" w:date="2026-05-19T00:00:00Z">
              <w:pPr>
                <w:pStyle w:val="Compact"/>
                <w:jc w:val="left"/>
              </w:pPr>
              <w:r>
                <w:t xml:space="preserve">14.5%</w:t>
              </w:r>
            </w:ins>
          </w:p>
        </w:tc>
        <w:tc>
          <w:tcPr/>
          <w:p>
            <w:ins w:id="10440" w:author="R2 Revision" w:date="2026-05-19T00:00:00Z">
              <w:pPr>
                <w:pStyle w:val="Compact"/>
                <w:jc w:val="left"/>
              </w:pPr>
              <w:r>
                <w:t xml:space="preserve">1886</w:t>
              </w:r>
            </w:ins>
          </w:p>
        </w:tc>
      </w:tr>
      <w:tr>
        <w:tc>
          <w:tcPr/>
          <w:p>
            <w:ins w:id="10441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442" w:author="R2 Revision" w:date="2026-05-19T00:00:00Z">
              <w:pPr>
                <w:pStyle w:val="Compact"/>
                <w:jc w:val="left"/>
              </w:pPr>
              <w:r>
                <w:t xml:space="preserve">LDO</w:t>
              </w:r>
            </w:ins>
          </w:p>
        </w:tc>
        <w:tc>
          <w:tcPr/>
          <w:p>
            <w:ins w:id="1044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44" w:author="R2 Revision" w:date="2026-05-19T00:00:00Z">
              <w:pPr>
                <w:pStyle w:val="Compact"/>
                <w:jc w:val="left"/>
              </w:pPr>
              <w:r>
                <w:t xml:space="preserve">0.0077</w:t>
              </w:r>
            </w:ins>
          </w:p>
        </w:tc>
        <w:tc>
          <w:tcPr/>
          <w:p>
            <w:ins w:id="10445" w:author="R2 Revision" w:date="2026-05-19T00:00:00Z">
              <w:pPr>
                <w:pStyle w:val="Compact"/>
                <w:jc w:val="left"/>
              </w:pPr>
              <w:r>
                <w:t xml:space="preserve">0.77</w:t>
              </w:r>
            </w:ins>
          </w:p>
        </w:tc>
        <w:tc>
          <w:tcPr/>
          <w:p>
            <w:ins w:id="10446" w:author="R2 Revision" w:date="2026-05-19T00:00:00Z">
              <w:pPr>
                <w:pStyle w:val="Compact"/>
                <w:jc w:val="left"/>
              </w:pPr>
              <w:r>
                <w:t xml:space="preserve">3.1%</w:t>
              </w:r>
            </w:ins>
          </w:p>
        </w:tc>
        <w:tc>
          <w:tcPr/>
          <w:p>
            <w:ins w:id="10447" w:author="R2 Revision" w:date="2026-05-19T00:00:00Z">
              <w:pPr>
                <w:pStyle w:val="Compact"/>
                <w:jc w:val="left"/>
              </w:pPr>
              <w:r>
                <w:t xml:space="preserve">18.6%</w:t>
              </w:r>
            </w:ins>
          </w:p>
        </w:tc>
        <w:tc>
          <w:tcPr/>
          <w:p>
            <w:ins w:id="10448" w:author="R2 Revision" w:date="2026-05-19T00:00:00Z">
              <w:pPr>
                <w:pStyle w:val="Compact"/>
                <w:jc w:val="left"/>
              </w:pPr>
              <w:r>
                <w:t xml:space="preserve">991</w:t>
              </w:r>
            </w:ins>
          </w:p>
        </w:tc>
      </w:tr>
      <w:tr>
        <w:tc>
          <w:tcPr/>
          <w:p>
            <w:ins w:id="10449" w:author="R2 Revision" w:date="2026-05-19T00:00:00Z">
              <w:pPr>
                <w:pStyle w:val="Compact"/>
                <w:jc w:val="left"/>
              </w:pPr>
              <w:r>
                <w:t xml:space="preserve">Maple Finance</w:t>
              </w:r>
            </w:ins>
          </w:p>
        </w:tc>
        <w:tc>
          <w:tcPr/>
          <w:p>
            <w:ins w:id="10450" w:author="R2 Revision" w:date="2026-05-19T00:00:00Z">
              <w:pPr>
                <w:pStyle w:val="Compact"/>
                <w:jc w:val="left"/>
              </w:pPr>
              <w:r>
                <w:t xml:space="preserve">MPL_SYRUP</w:t>
              </w:r>
            </w:ins>
          </w:p>
        </w:tc>
        <w:tc>
          <w:tcPr/>
          <w:p>
            <w:ins w:id="1045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52" w:author="R2 Revision" w:date="2026-05-19T00:00:00Z">
              <w:pPr>
                <w:pStyle w:val="Compact"/>
                <w:jc w:val="left"/>
              </w:pPr>
              <w:r>
                <w:t xml:space="preserve">0.0242</w:t>
              </w:r>
            </w:ins>
          </w:p>
        </w:tc>
        <w:tc>
          <w:tcPr/>
          <w:p>
            <w:ins w:id="1045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54" w:author="R2 Revision" w:date="2026-05-19T00:00:00Z">
              <w:pPr>
                <w:pStyle w:val="Compact"/>
                <w:jc w:val="left"/>
              </w:pPr>
              <w:r>
                <w:t xml:space="preserve">8.5%</w:t>
              </w:r>
            </w:ins>
          </w:p>
        </w:tc>
        <w:tc>
          <w:tcPr/>
          <w:p>
            <w:ins w:id="10455" w:author="R2 Revision" w:date="2026-05-19T00:00:00Z">
              <w:pPr>
                <w:pStyle w:val="Compact"/>
                <w:jc w:val="left"/>
              </w:pPr>
              <w:r>
                <w:t xml:space="preserve">40.6%</w:t>
              </w:r>
            </w:ins>
          </w:p>
        </w:tc>
        <w:tc>
          <w:tcPr/>
          <w:p>
            <w:ins w:id="10456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57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458" w:author="R2 Revision" w:date="2026-05-19T00:00:00Z">
              <w:pPr>
                <w:pStyle w:val="Compact"/>
                <w:jc w:val="left"/>
              </w:pPr>
              <w:r>
                <w:t xml:space="preserve">COMP</w:t>
              </w:r>
            </w:ins>
          </w:p>
        </w:tc>
        <w:tc>
          <w:tcPr/>
          <w:p>
            <w:ins w:id="1045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0" w:author="R2 Revision" w:date="2026-05-19T00:00:00Z">
              <w:pPr>
                <w:pStyle w:val="Compact"/>
                <w:jc w:val="left"/>
              </w:pPr>
              <w:r>
                <w:t xml:space="preserve">0.0092</w:t>
              </w:r>
            </w:ins>
          </w:p>
        </w:tc>
        <w:tc>
          <w:tcPr/>
          <w:p>
            <w:ins w:id="10461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462" w:author="R2 Revision" w:date="2026-05-19T00:00:00Z">
              <w:pPr>
                <w:pStyle w:val="Compact"/>
                <w:jc w:val="left"/>
              </w:pPr>
              <w:r>
                <w:t xml:space="preserve">3.5% 2</w:t>
              </w:r>
            </w:ins>
          </w:p>
        </w:tc>
        <w:tc>
          <w:tcPr/>
          <w:p>
            <w:ins w:id="10463" w:author="R2 Revision" w:date="2026-05-19T00:00:00Z">
              <w:pPr>
                <w:pStyle w:val="Compact"/>
                <w:jc w:val="left"/>
              </w:pPr>
              <w:r>
                <w:t xml:space="preserve">0.8% 9</w:t>
              </w:r>
            </w:ins>
          </w:p>
        </w:tc>
        <w:tc>
          <w:tcPr/>
          <w:p>
            <w:ins w:id="10464" w:author="R2 Revision" w:date="2026-05-19T00:00:00Z">
              <w:pPr>
                <w:pStyle w:val="Compact"/>
                <w:jc w:val="left"/>
              </w:pPr>
              <w:r>
                <w:t xml:space="preserve">95</w:t>
              </w:r>
            </w:ins>
          </w:p>
        </w:tc>
      </w:tr>
      <w:tr>
        <w:tc>
          <w:tcPr/>
          <w:p>
            <w:ins w:id="10465" w:author="R2 Revision" w:date="2026-05-19T00:00:00Z">
              <w:pPr>
                <w:pStyle w:val="Compact"/>
                <w:jc w:val="left"/>
              </w:pPr>
              <w:r>
                <w:t xml:space="preserve">Balancer</w:t>
              </w:r>
            </w:ins>
          </w:p>
        </w:tc>
        <w:tc>
          <w:tcPr/>
          <w:p>
            <w:ins w:id="10466" w:author="R2 Revision" w:date="2026-05-19T00:00:00Z">
              <w:pPr>
                <w:pStyle w:val="Compact"/>
                <w:jc w:val="left"/>
              </w:pPr>
              <w:r>
                <w:t xml:space="preserve">BAL</w:t>
              </w:r>
            </w:ins>
          </w:p>
        </w:tc>
        <w:tc>
          <w:tcPr/>
          <w:p>
            <w:ins w:id="1046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68" w:author="R2 Revision" w:date="2026-05-19T00:00:00Z">
              <w:pPr>
                <w:pStyle w:val="Compact"/>
                <w:jc w:val="left"/>
              </w:pPr>
              <w:r>
                <w:t xml:space="preserve">0.0290</w:t>
              </w:r>
            </w:ins>
          </w:p>
        </w:tc>
        <w:tc>
          <w:tcPr/>
          <w:p>
            <w:ins w:id="10469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0" w:author="R2 Revision" w:date="2026-05-19T00:00:00Z">
              <w:pPr>
                <w:pStyle w:val="Compact"/>
                <w:jc w:val="left"/>
              </w:pPr>
              <w:r>
                <w:t xml:space="preserve">13.2%</w:t>
              </w:r>
            </w:ins>
          </w:p>
        </w:tc>
        <w:tc>
          <w:tcPr/>
          <w:p>
            <w:ins w:id="10471" w:author="R2 Revision" w:date="2026-05-19T00:00:00Z">
              <w:pPr>
                <w:pStyle w:val="Compact"/>
                <w:jc w:val="left"/>
              </w:pPr>
              <w:r>
                <w:t xml:space="preserve">35.2%</w:t>
              </w:r>
            </w:ins>
          </w:p>
        </w:tc>
        <w:tc>
          <w:tcPr/>
          <w:p>
            <w:ins w:id="10472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473" w:author="R2 Revision" w:date="2026-05-19T00:00:00Z">
              <w:pPr>
                <w:pStyle w:val="Compact"/>
                <w:jc w:val="left"/>
              </w:pPr>
              <w:r>
                <w:t xml:space="preserve">Rocket Pool</w:t>
              </w:r>
            </w:ins>
          </w:p>
        </w:tc>
        <w:tc>
          <w:tcPr/>
          <w:p>
            <w:ins w:id="10474" w:author="R2 Revision" w:date="2026-05-19T00:00:00Z">
              <w:pPr>
                <w:pStyle w:val="Compact"/>
                <w:jc w:val="left"/>
              </w:pPr>
              <w:r>
                <w:t xml:space="preserve">RPL</w:t>
              </w:r>
            </w:ins>
          </w:p>
        </w:tc>
        <w:tc>
          <w:tcPr/>
          <w:p>
            <w:ins w:id="1047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76" w:author="R2 Revision" w:date="2026-05-19T00:00:00Z">
              <w:pPr>
                <w:pStyle w:val="Compact"/>
                <w:jc w:val="left"/>
              </w:pPr>
              <w:r>
                <w:t xml:space="preserve">0.0392</w:t>
              </w:r>
            </w:ins>
          </w:p>
        </w:tc>
        <w:tc>
          <w:tcPr/>
          <w:p>
            <w:ins w:id="10477" w:author="R2 Revision" w:date="2026-05-19T00:00:00Z">
              <w:pPr>
                <w:pStyle w:val="Compact"/>
                <w:jc w:val="left"/>
              </w:pPr>
              <w:r>
                <w:t xml:space="preserve">0.87</w:t>
              </w:r>
            </w:ins>
          </w:p>
        </w:tc>
        <w:tc>
          <w:tcPr/>
          <w:p>
            <w:ins w:id="10478" w:author="R2 Revision" w:date="2026-05-19T00:00:00Z">
              <w:pPr>
                <w:pStyle w:val="Compact"/>
                <w:jc w:val="left"/>
              </w:pPr>
              <w:r>
                <w:t xml:space="preserve">11.5%</w:t>
              </w:r>
            </w:ins>
          </w:p>
        </w:tc>
        <w:tc>
          <w:tcPr/>
          <w:p>
            <w:ins w:id="10479" w:author="R2 Revision" w:date="2026-05-19T00:00:00Z">
              <w:pPr>
                <w:pStyle w:val="Compact"/>
                <w:jc w:val="left"/>
              </w:pPr>
              <w:r>
                <w:t xml:space="preserve">52.7%</w:t>
              </w:r>
            </w:ins>
          </w:p>
        </w:tc>
        <w:tc>
          <w:tcPr/>
          <w:p>
            <w:ins w:id="1048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1" w:author="R2 Revision" w:date="2026-05-19T00:00:00Z">
              <w:pPr>
                <w:pStyle w:val="Compact"/>
                <w:jc w:val="left"/>
              </w:pPr>
              <w:r>
                <w:t xml:space="preserve">MakerDAO</w:t>
              </w:r>
            </w:ins>
          </w:p>
        </w:tc>
        <w:tc>
          <w:tcPr/>
          <w:p>
            <w:ins w:id="10482" w:author="R2 Revision" w:date="2026-05-19T00:00:00Z">
              <w:pPr>
                <w:pStyle w:val="Compact"/>
                <w:jc w:val="left"/>
              </w:pPr>
              <w:r>
                <w:t xml:space="preserve">MKR</w:t>
              </w:r>
            </w:ins>
          </w:p>
        </w:tc>
        <w:tc>
          <w:tcPr/>
          <w:p>
            <w:ins w:id="1048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84" w:author="R2 Revision" w:date="2026-05-19T00:00:00Z">
              <w:pPr>
                <w:pStyle w:val="Compact"/>
                <w:jc w:val="left"/>
              </w:pPr>
              <w:r>
                <w:t xml:space="preserve">0.0404</w:t>
              </w:r>
            </w:ins>
          </w:p>
        </w:tc>
        <w:tc>
          <w:tcPr/>
          <w:p>
            <w:ins w:id="10485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86" w:author="R2 Revision" w:date="2026-05-19T00:00:00Z">
              <w:pPr>
                <w:pStyle w:val="Compact"/>
                <w:jc w:val="left"/>
              </w:pPr>
              <w:r>
                <w:t xml:space="preserve">13.9%</w:t>
              </w:r>
            </w:ins>
          </w:p>
        </w:tc>
        <w:tc>
          <w:tcPr/>
          <w:p>
            <w:ins w:id="10487" w:author="R2 Revision" w:date="2026-05-19T00:00:00Z">
              <w:pPr>
                <w:pStyle w:val="Compact"/>
                <w:jc w:val="left"/>
              </w:pPr>
              <w:r>
                <w:t xml:space="preserve">50.6%</w:t>
              </w:r>
            </w:ins>
          </w:p>
        </w:tc>
        <w:tc>
          <w:tcPr/>
          <w:p>
            <w:ins w:id="10488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489" w:author="R2 Revision" w:date="2026-05-19T00:00:00Z">
              <w:pPr>
                <w:pStyle w:val="Compact"/>
                <w:jc w:val="left"/>
              </w:pPr>
              <w:r>
                <w:t xml:space="preserve">MetaDAO †</w:t>
              </w:r>
            </w:ins>
          </w:p>
        </w:tc>
        <w:tc>
          <w:tcPr/>
          <w:p>
            <w:ins w:id="10490" w:author="R2 Revision" w:date="2026-05-19T00:00:00Z">
              <w:pPr>
                <w:pStyle w:val="Compact"/>
                <w:jc w:val="left"/>
              </w:pPr>
              <w:r>
                <w:t xml:space="preserve">META</w:t>
              </w:r>
            </w:ins>
          </w:p>
        </w:tc>
        <w:tc>
          <w:tcPr/>
          <w:p>
            <w:ins w:id="1049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492" w:author="R2 Revision" w:date="2026-05-19T00:00:00Z">
              <w:pPr>
                <w:pStyle w:val="Compact"/>
                <w:jc w:val="left"/>
              </w:pPr>
              <w:r>
                <w:t xml:space="preserve">0.0152</w:t>
              </w:r>
            </w:ins>
          </w:p>
        </w:tc>
        <w:tc>
          <w:tcPr/>
          <w:p>
            <w:ins w:id="10493" w:author="R2 Revision" w:date="2026-05-19T00:00:00Z">
              <w:pPr>
                <w:pStyle w:val="Compact"/>
                <w:jc w:val="left"/>
              </w:pPr>
              <w:r>
                <w:t xml:space="preserve">0.88</w:t>
              </w:r>
            </w:ins>
          </w:p>
        </w:tc>
        <w:tc>
          <w:tcPr/>
          <w:p>
            <w:ins w:id="10494" w:author="R2 Revision" w:date="2026-05-19T00:00:00Z">
              <w:pPr>
                <w:pStyle w:val="Compact"/>
                <w:jc w:val="left"/>
              </w:pPr>
              <w:r>
                <w:t xml:space="preserve">6.2%</w:t>
              </w:r>
            </w:ins>
          </w:p>
        </w:tc>
        <w:tc>
          <w:tcPr/>
          <w:p>
            <w:ins w:id="10495" w:author="R2 Revision" w:date="2026-05-19T00:00:00Z">
              <w:pPr>
                <w:pStyle w:val="Compact"/>
                <w:jc w:val="left"/>
              </w:pPr>
              <w:r>
                <w:t xml:space="preserve">28.6%</w:t>
              </w:r>
            </w:ins>
          </w:p>
        </w:tc>
        <w:tc>
          <w:tcPr/>
          <w:p>
            <w:ins w:id="1049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497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8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49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0" w:author="R2 Revision" w:date="2026-05-19T00:00:00Z">
              <w:pPr>
                <w:pStyle w:val="Compact"/>
                <w:jc w:val="left"/>
              </w:pPr>
              <w:r>
                <w:t xml:space="preserve">0.0647</w:t>
              </w:r>
            </w:ins>
          </w:p>
        </w:tc>
        <w:tc>
          <w:tcPr/>
          <w:p>
            <w:ins w:id="1050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02" w:author="R2 Revision" w:date="2026-05-19T00:00:00Z">
              <w:pPr>
                <w:pStyle w:val="Compact"/>
                <w:jc w:val="left"/>
              </w:pPr>
              <w:r>
                <w:t xml:space="preserve">20.1%</w:t>
              </w:r>
            </w:ins>
          </w:p>
        </w:tc>
        <w:tc>
          <w:tcPr/>
          <w:p>
            <w:ins w:id="10503" w:author="R2 Revision" w:date="2026-05-19T00:00:00Z">
              <w:pPr>
                <w:pStyle w:val="Compact"/>
                <w:jc w:val="left"/>
              </w:pPr>
              <w:r>
                <w:t xml:space="preserve">59.3%</w:t>
              </w:r>
            </w:ins>
          </w:p>
        </w:tc>
        <w:tc>
          <w:tcPr/>
          <w:p>
            <w:ins w:id="10504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05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6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50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08" w:author="R2 Revision" w:date="2026-05-19T00:00:00Z">
              <w:pPr>
                <w:pStyle w:val="Compact"/>
                <w:jc w:val="left"/>
              </w:pPr>
              <w:r>
                <w:t xml:space="preserve">0.0128</w:t>
              </w:r>
            </w:ins>
          </w:p>
        </w:tc>
        <w:tc>
          <w:tcPr/>
          <w:p>
            <w:ins w:id="1050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10" w:author="R2 Revision" w:date="2026-05-19T00:00:00Z">
              <w:pPr>
                <w:pStyle w:val="Compact"/>
                <w:jc w:val="left"/>
              </w:pPr>
              <w:r>
                <w:t xml:space="preserve">4.3%</w:t>
              </w:r>
            </w:ins>
          </w:p>
        </w:tc>
        <w:tc>
          <w:tcPr/>
          <w:p>
            <w:ins w:id="10511" w:author="R2 Revision" w:date="2026-05-19T00:00:00Z">
              <w:pPr>
                <w:pStyle w:val="Compact"/>
                <w:jc w:val="left"/>
              </w:pPr>
              <w:r>
                <w:t xml:space="preserve">27.7%</w:t>
              </w:r>
            </w:ins>
          </w:p>
        </w:tc>
        <w:tc>
          <w:tcPr/>
          <w:p>
            <w:ins w:id="10512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513" w:author="R2 Revision" w:date="2026-05-19T00:00:00Z">
              <w:pPr>
                <w:pStyle w:val="Compact"/>
                <w:jc w:val="left"/>
              </w:pPr>
              <w:r>
                <w:t xml:space="preserve">Ether.Fi</w:t>
              </w:r>
            </w:ins>
          </w:p>
        </w:tc>
        <w:tc>
          <w:tcPr/>
          <w:p>
            <w:ins w:id="10514" w:author="R2 Revision" w:date="2026-05-19T00:00:00Z">
              <w:pPr>
                <w:pStyle w:val="Compact"/>
                <w:jc w:val="left"/>
              </w:pPr>
              <w:r>
                <w:t xml:space="preserve">ETHFI</w:t>
              </w:r>
            </w:ins>
          </w:p>
        </w:tc>
        <w:tc>
          <w:tcPr/>
          <w:p>
            <w:ins w:id="10515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16" w:author="R2 Revision" w:date="2026-05-19T00:00:00Z">
              <w:pPr>
                <w:pStyle w:val="Compact"/>
                <w:jc w:val="left"/>
              </w:pPr>
              <w:r>
                <w:t xml:space="preserve">0.0417</w:t>
              </w:r>
            </w:ins>
          </w:p>
        </w:tc>
        <w:tc>
          <w:tcPr/>
          <w:p>
            <w:ins w:id="10517" w:author="R2 Revision" w:date="2026-05-19T00:00:00Z">
              <w:pPr>
                <w:pStyle w:val="Compact"/>
                <w:jc w:val="left"/>
              </w:pPr>
              <w:r>
                <w:t xml:space="preserve">0.93</w:t>
              </w:r>
            </w:ins>
          </w:p>
        </w:tc>
        <w:tc>
          <w:tcPr/>
          <w:p>
            <w:ins w:id="10518" w:author="R2 Revision" w:date="2026-05-19T00:00:00Z">
              <w:pPr>
                <w:pStyle w:val="Compact"/>
                <w:jc w:val="left"/>
              </w:pPr>
              <w:r>
                <w:t xml:space="preserve">15.7%</w:t>
              </w:r>
            </w:ins>
          </w:p>
        </w:tc>
        <w:tc>
          <w:tcPr/>
          <w:p>
            <w:ins w:id="10519" w:author="R2 Revision" w:date="2026-05-19T00:00:00Z">
              <w:pPr>
                <w:pStyle w:val="Compact"/>
                <w:jc w:val="left"/>
              </w:pPr>
              <w:r>
                <w:t xml:space="preserve">47.8%</w:t>
              </w:r>
            </w:ins>
          </w:p>
        </w:tc>
        <w:tc>
          <w:tcPr/>
          <w:p>
            <w:ins w:id="10520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21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522" w:author="R2 Revision" w:date="2026-05-19T00:00:00Z">
              <w:pPr>
                <w:pStyle w:val="Compact"/>
                <w:jc w:val="left"/>
              </w:pPr>
              <w:r>
                <w:t xml:space="preserve">UNI</w:t>
              </w:r>
            </w:ins>
          </w:p>
        </w:tc>
        <w:tc>
          <w:tcPr/>
          <w:p>
            <w:ins w:id="10523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24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52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26" w:author="R2 Revision" w:date="2026-05-19T00:00:00Z">
              <w:pPr>
                <w:pStyle w:val="Compact"/>
                <w:jc w:val="left"/>
              </w:pPr>
              <w:r>
                <w:t xml:space="preserve">4.2%</w:t>
              </w:r>
            </w:ins>
          </w:p>
        </w:tc>
        <w:tc>
          <w:tcPr/>
          <w:p>
            <w:ins w:id="10527" w:author="R2 Revision" w:date="2026-05-19T00:00:00Z">
              <w:pPr>
                <w:pStyle w:val="Compact"/>
                <w:jc w:val="left"/>
              </w:pPr>
              <w:r>
                <w:t xml:space="preserve">22.9%</w:t>
              </w:r>
            </w:ins>
          </w:p>
        </w:tc>
        <w:tc>
          <w:tcPr/>
          <w:p>
            <w:ins w:id="1052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29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0" w:author="R2 Revision" w:date="2026-05-19T00:00:00Z">
              <w:pPr>
                <w:pStyle w:val="Compact"/>
                <w:jc w:val="left"/>
              </w:pPr>
              <w:r>
                <w:t xml:space="preserve">DRIFT</w:t>
              </w:r>
            </w:ins>
          </w:p>
        </w:tc>
        <w:tc>
          <w:tcPr/>
          <w:p>
            <w:ins w:id="10531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32" w:author="R2 Revision" w:date="2026-05-19T00:00:00Z">
              <w:pPr>
                <w:pStyle w:val="Compact"/>
                <w:jc w:val="left"/>
              </w:pPr>
              <w:r>
                <w:t xml:space="preserve">0.0529</w:t>
              </w:r>
            </w:ins>
          </w:p>
        </w:tc>
        <w:tc>
          <w:tcPr/>
          <w:p>
            <w:ins w:id="10533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34" w:author="R2 Revision" w:date="2026-05-19T00:00:00Z">
              <w:pPr>
                <w:pStyle w:val="Compact"/>
                <w:jc w:val="left"/>
              </w:pPr>
              <w:r>
                <w:t xml:space="preserve">19.3%</w:t>
              </w:r>
            </w:ins>
          </w:p>
        </w:tc>
        <w:tc>
          <w:tcPr/>
          <w:p>
            <w:ins w:id="10535" w:author="R2 Revision" w:date="2026-05-19T00:00:00Z">
              <w:pPr>
                <w:pStyle w:val="Compact"/>
                <w:jc w:val="left"/>
              </w:pPr>
              <w:r>
                <w:t xml:space="preserve">49.1%</w:t>
              </w:r>
            </w:ins>
          </w:p>
        </w:tc>
        <w:tc>
          <w:tcPr/>
          <w:p>
            <w:ins w:id="1053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37" w:author="R2 Revision" w:date="2026-05-19T00:00:00Z">
              <w:pPr>
                <w:pStyle w:val="Compact"/>
                <w:jc w:val="left"/>
              </w:pPr>
              <w:r>
                <w:t xml:space="preserve">Jupiter</w:t>
              </w:r>
            </w:ins>
          </w:p>
        </w:tc>
        <w:tc>
          <w:tcPr/>
          <w:p>
            <w:ins w:id="10538" w:author="R2 Revision" w:date="2026-05-19T00:00:00Z">
              <w:pPr>
                <w:pStyle w:val="Compact"/>
                <w:jc w:val="left"/>
              </w:pPr>
              <w:r>
                <w:t xml:space="preserve">JUP</w:t>
              </w:r>
            </w:ins>
          </w:p>
        </w:tc>
        <w:tc>
          <w:tcPr/>
          <w:p>
            <w:ins w:id="10539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0" w:author="R2 Revision" w:date="2026-05-19T00:00:00Z">
              <w:pPr>
                <w:pStyle w:val="Compact"/>
                <w:jc w:val="left"/>
              </w:pPr>
              <w:r>
                <w:t xml:space="preserve">0.0957</w:t>
              </w:r>
            </w:ins>
          </w:p>
        </w:tc>
        <w:tc>
          <w:tcPr/>
          <w:p>
            <w:ins w:id="10541" w:author="R2 Revision" w:date="2026-05-19T00:00:00Z">
              <w:pPr>
                <w:pStyle w:val="Compact"/>
                <w:jc w:val="left"/>
              </w:pPr>
              <w:r>
                <w:t xml:space="preserve">0.98</w:t>
              </w:r>
            </w:ins>
          </w:p>
        </w:tc>
        <w:tc>
          <w:tcPr/>
          <w:p>
            <w:ins w:id="10542" w:author="R2 Revision" w:date="2026-05-19T00:00:00Z">
              <w:pPr>
                <w:pStyle w:val="Compact"/>
                <w:jc w:val="left"/>
              </w:pPr>
              <w:r>
                <w:t xml:space="preserve">26.0%</w:t>
              </w:r>
            </w:ins>
          </w:p>
        </w:tc>
        <w:tc>
          <w:tcPr/>
          <w:p>
            <w:ins w:id="10543" w:author="R2 Revision" w:date="2026-05-19T00:00:00Z">
              <w:pPr>
                <w:pStyle w:val="Compact"/>
                <w:jc w:val="left"/>
              </w:pPr>
              <w:r>
                <w:t xml:space="preserve">69.3%</w:t>
              </w:r>
            </w:ins>
          </w:p>
        </w:tc>
        <w:tc>
          <w:tcPr/>
          <w:p>
            <w:ins w:id="10544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45" w:author="R2 Revision" w:date="2026-05-19T00:00:00Z">
              <w:pPr>
                <w:pStyle w:val="Compact"/>
                <w:jc w:val="left"/>
              </w:pPr>
              <w:r>
                <w:t xml:space="preserve">Curve</w:t>
              </w:r>
            </w:ins>
          </w:p>
        </w:tc>
        <w:tc>
          <w:tcPr/>
          <w:p>
            <w:ins w:id="10546" w:author="R2 Revision" w:date="2026-05-19T00:00:00Z">
              <w:pPr>
                <w:pStyle w:val="Compact"/>
                <w:jc w:val="left"/>
              </w:pPr>
              <w:r>
                <w:t xml:space="preserve">CRV</w:t>
              </w:r>
            </w:ins>
          </w:p>
        </w:tc>
        <w:tc>
          <w:tcPr/>
          <w:p>
            <w:ins w:id="10547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548" w:author="R2 Revision" w:date="2026-05-19T00:00:00Z">
              <w:pPr>
                <w:pStyle w:val="Compact"/>
                <w:jc w:val="left"/>
              </w:pPr>
              <w:r>
                <w:t xml:space="preserve">0.0144</w:t>
              </w:r>
            </w:ins>
          </w:p>
        </w:tc>
        <w:tc>
          <w:tcPr/>
          <w:p>
            <w:ins w:id="10549" w:author="R2 Revision" w:date="2026-05-19T00:00:00Z">
              <w:pPr>
                <w:pStyle w:val="Compact"/>
                <w:jc w:val="left"/>
              </w:pPr>
              <w:r>
                <w:t xml:space="preserve">0.79</w:t>
              </w:r>
            </w:ins>
          </w:p>
        </w:tc>
        <w:tc>
          <w:tcPr/>
          <w:p>
            <w:ins w:id="10550" w:author="R2 Revision" w:date="2026-05-19T00:00:00Z">
              <w:pPr>
                <w:pStyle w:val="Compact"/>
                <w:jc w:val="left"/>
              </w:pPr>
              <w:r>
                <w:t xml:space="preserve">6.6%</w:t>
              </w:r>
            </w:ins>
          </w:p>
        </w:tc>
        <w:tc>
          <w:tcPr/>
          <w:p>
            <w:ins w:id="10551" w:author="R2 Revision" w:date="2026-05-19T00:00:00Z">
              <w:pPr>
                <w:pStyle w:val="Compact"/>
                <w:jc w:val="left"/>
              </w:pPr>
              <w:r>
                <w:t xml:space="preserve">31.2%</w:t>
              </w:r>
            </w:ins>
          </w:p>
        </w:tc>
        <w:tc>
          <w:tcPr/>
          <w:p>
            <w:ins w:id="10552" w:author="R2 Revision" w:date="2026-05-19T00:00:00Z">
              <w:pPr>
                <w:pStyle w:val="Compact"/>
                <w:jc w:val="left"/>
              </w:pPr>
              <w:r>
                <w:t xml:space="preserve">990</w:t>
              </w:r>
            </w:ins>
          </w:p>
        </w:tc>
      </w:tr>
      <w:tr>
        <w:tc>
          <w:tcPr/>
          <w:p>
            <w:ins w:id="10553" w:author="R2 Revision" w:date="2026-05-19T00:00:00Z">
              <w:pPr>
                <w:pStyle w:val="Compact"/>
                <w:jc w:val="left"/>
              </w:pPr>
              <w:r>
                <w:t xml:space="preserve">Axelar</w:t>
              </w:r>
            </w:ins>
          </w:p>
        </w:tc>
        <w:tc>
          <w:tcPr/>
          <w:p>
            <w:ins w:id="10554" w:author="R2 Revision" w:date="2026-05-19T00:00:00Z">
              <w:pPr>
                <w:pStyle w:val="Compact"/>
                <w:jc w:val="left"/>
              </w:pPr>
              <w:r>
                <w:t xml:space="preserve">AXL</w:t>
              </w:r>
            </w:ins>
          </w:p>
        </w:tc>
        <w:tc>
          <w:tcPr/>
          <w:p>
            <w:ins w:id="1055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56" w:author="R2 Revision" w:date="2026-05-19T00:00:00Z">
              <w:pPr>
                <w:pStyle w:val="Compact"/>
                <w:jc w:val="left"/>
              </w:pPr>
              <w:r>
                <w:t xml:space="preserve">0.0268</w:t>
              </w:r>
            </w:ins>
          </w:p>
        </w:tc>
        <w:tc>
          <w:tcPr/>
          <w:p>
            <w:ins w:id="10557" w:author="R2 Revision" w:date="2026-05-19T00:00:00Z">
              <w:pPr>
                <w:pStyle w:val="Compact"/>
                <w:jc w:val="left"/>
              </w:pPr>
              <w:r>
                <w:t xml:space="preserve">0.85</w:t>
              </w:r>
            </w:ins>
          </w:p>
        </w:tc>
        <w:tc>
          <w:tcPr/>
          <w:p>
            <w:ins w:id="10558" w:author="R2 Revision" w:date="2026-05-19T00:00:00Z">
              <w:pPr>
                <w:pStyle w:val="Compact"/>
                <w:jc w:val="left"/>
              </w:pPr>
              <w:r>
                <w:t xml:space="preserve">9.0%</w:t>
              </w:r>
            </w:ins>
          </w:p>
        </w:tc>
        <w:tc>
          <w:tcPr/>
          <w:p>
            <w:ins w:id="10559" w:author="R2 Revision" w:date="2026-05-19T00:00:00Z">
              <w:pPr>
                <w:pStyle w:val="Compact"/>
                <w:jc w:val="left"/>
              </w:pPr>
              <w:r>
                <w:t xml:space="preserve">41.7%</w:t>
              </w:r>
            </w:ins>
          </w:p>
        </w:tc>
        <w:tc>
          <w:tcPr/>
          <w:p>
            <w:ins w:id="10560" w:author="R2 Revision" w:date="2026-05-19T00:00:00Z">
              <w:pPr>
                <w:pStyle w:val="Compact"/>
                <w:jc w:val="left"/>
              </w:pPr>
              <w:r>
                <w:t xml:space="preserve">996</w:t>
              </w:r>
            </w:ins>
          </w:p>
        </w:tc>
      </w:tr>
      <w:tr>
        <w:tc>
          <w:tcPr/>
          <w:p>
            <w:ins w:id="10561" w:author="R2 Revision" w:date="2026-05-19T00:00:00Z">
              <w:pPr>
                <w:pStyle w:val="Compact"/>
                <w:jc w:val="left"/>
              </w:pPr>
              <w:r>
                <w:t xml:space="preserve">LayerZero</w:t>
              </w:r>
            </w:ins>
          </w:p>
        </w:tc>
        <w:tc>
          <w:tcPr/>
          <w:p>
            <w:ins w:id="10562" w:author="R2 Revision" w:date="2026-05-19T00:00:00Z">
              <w:pPr>
                <w:pStyle w:val="Compact"/>
                <w:jc w:val="left"/>
              </w:pPr>
              <w:r>
                <w:t xml:space="preserve">ZRO</w:t>
              </w:r>
            </w:ins>
          </w:p>
        </w:tc>
        <w:tc>
          <w:tcPr/>
          <w:p>
            <w:ins w:id="1056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64" w:author="R2 Revision" w:date="2026-05-19T00:00:00Z">
              <w:pPr>
                <w:pStyle w:val="Compact"/>
                <w:jc w:val="left"/>
              </w:pPr>
              <w:r>
                <w:t xml:space="preserve">0.0147</w:t>
              </w:r>
            </w:ins>
          </w:p>
        </w:tc>
        <w:tc>
          <w:tcPr/>
          <w:p>
            <w:ins w:id="1056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566" w:author="R2 Revision" w:date="2026-05-19T00:00:00Z">
              <w:pPr>
                <w:pStyle w:val="Compact"/>
                <w:jc w:val="left"/>
              </w:pPr>
              <w:r>
                <w:t xml:space="preserve">4.1%</w:t>
              </w:r>
            </w:ins>
          </w:p>
        </w:tc>
        <w:tc>
          <w:tcPr/>
          <w:p>
            <w:ins w:id="10567" w:author="R2 Revision" w:date="2026-05-19T00:00:00Z">
              <w:pPr>
                <w:pStyle w:val="Compact"/>
                <w:jc w:val="left"/>
              </w:pPr>
              <w:r>
                <w:t xml:space="preserve">30.5%</w:t>
              </w:r>
            </w:ins>
          </w:p>
        </w:tc>
        <w:tc>
          <w:tcPr/>
          <w:p>
            <w:ins w:id="10568" w:author="R2 Revision" w:date="2026-05-19T00:00:00Z">
              <w:pPr>
                <w:pStyle w:val="Compact"/>
                <w:jc w:val="left"/>
              </w:pPr>
              <w:r>
                <w:t xml:space="preserve">989</w:t>
              </w:r>
            </w:ins>
          </w:p>
        </w:tc>
      </w:tr>
      <w:tr>
        <w:tc>
          <w:tcPr/>
          <w:p>
            <w:ins w:id="10569" w:author="R2 Revision" w:date="2026-05-19T00:00:00Z">
              <w:pPr>
                <w:pStyle w:val="Compact"/>
                <w:jc w:val="left"/>
              </w:pPr>
              <w:r>
                <w:t xml:space="preserve">Wormhole</w:t>
              </w:r>
            </w:ins>
          </w:p>
        </w:tc>
        <w:tc>
          <w:tcPr/>
          <w:p>
            <w:ins w:id="10570" w:author="R2 Revision" w:date="2026-05-19T00:00:00Z">
              <w:pPr>
                <w:pStyle w:val="Compact"/>
                <w:jc w:val="left"/>
              </w:pPr>
              <w:r>
                <w:t xml:space="preserve">W</w:t>
              </w:r>
            </w:ins>
          </w:p>
        </w:tc>
        <w:tc>
          <w:tcPr/>
          <w:p>
            <w:ins w:id="1057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72" w:author="R2 Revision" w:date="2026-05-19T00:00:00Z">
              <w:pPr>
                <w:pStyle w:val="Compact"/>
                <w:jc w:val="left"/>
              </w:pPr>
              <w:r>
                <w:t xml:space="preserve">0.0115</w:t>
              </w:r>
            </w:ins>
          </w:p>
        </w:tc>
        <w:tc>
          <w:tcPr/>
          <w:p>
            <w:ins w:id="10573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574" w:author="R2 Revision" w:date="2026-05-19T00:00:00Z">
              <w:pPr>
                <w:pStyle w:val="Compact"/>
                <w:jc w:val="left"/>
              </w:pPr>
              <w:r>
                <w:t xml:space="preserve">7.0%</w:t>
              </w:r>
            </w:ins>
          </w:p>
        </w:tc>
        <w:tc>
          <w:tcPr/>
          <w:p>
            <w:ins w:id="10575" w:author="R2 Revision" w:date="2026-05-19T00:00:00Z">
              <w:pPr>
                <w:pStyle w:val="Compact"/>
                <w:jc w:val="left"/>
              </w:pPr>
              <w:r>
                <w:t xml:space="preserve">19.0%</w:t>
              </w:r>
            </w:ins>
          </w:p>
        </w:tc>
        <w:tc>
          <w:tcPr/>
          <w:p>
            <w:ins w:id="10576" w:author="R2 Revision" w:date="2026-05-19T00:00:00Z">
              <w:pPr>
                <w:pStyle w:val="Compact"/>
                <w:jc w:val="left"/>
              </w:pPr>
              <w:r>
                <w:t xml:space="preserve">999</w:t>
              </w:r>
            </w:ins>
          </w:p>
        </w:tc>
      </w:tr>
      <w:tr>
        <w:tc>
          <w:tcPr/>
          <w:p>
            <w:ins w:id="10577" w:author="R2 Revision" w:date="2026-05-19T00:00:00Z">
              <w:pPr>
                <w:pStyle w:val="Compact"/>
                <w:jc w:val="left"/>
              </w:pPr>
              <w:r>
                <w:t xml:space="preserve">Polygon</w:t>
              </w:r>
            </w:ins>
          </w:p>
        </w:tc>
        <w:tc>
          <w:tcPr/>
          <w:p>
            <w:ins w:id="10578" w:author="R2 Revision" w:date="2026-05-19T00:00:00Z">
              <w:pPr>
                <w:pStyle w:val="Compact"/>
                <w:jc w:val="left"/>
              </w:pPr>
              <w:r>
                <w:t xml:space="preserve">POL</w:t>
              </w:r>
            </w:ins>
          </w:p>
        </w:tc>
        <w:tc>
          <w:tcPr/>
          <w:p>
            <w:ins w:id="10579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0" w:author="R2 Revision" w:date="2026-05-19T00:00:00Z">
              <w:pPr>
                <w:pStyle w:val="Compact"/>
                <w:jc w:val="left"/>
              </w:pPr>
              <w:r>
                <w:t xml:space="preserve">0.0348</w:t>
              </w:r>
            </w:ins>
          </w:p>
        </w:tc>
        <w:tc>
          <w:tcPr/>
          <w:p>
            <w:ins w:id="10581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82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583" w:author="R2 Revision" w:date="2026-05-19T00:00:00Z">
              <w:pPr>
                <w:pStyle w:val="Compact"/>
                <w:jc w:val="left"/>
              </w:pPr>
              <w:r>
                <w:t xml:space="preserve">49.5%</w:t>
              </w:r>
            </w:ins>
          </w:p>
        </w:tc>
        <w:tc>
          <w:tcPr/>
          <w:p>
            <w:ins w:id="10584" w:author="R2 Revision" w:date="2026-05-19T00:00:00Z">
              <w:pPr>
                <w:pStyle w:val="Compact"/>
                <w:jc w:val="left"/>
              </w:pPr>
              <w:r>
                <w:t xml:space="preserve">998</w:t>
              </w:r>
            </w:ins>
          </w:p>
        </w:tc>
      </w:tr>
      <w:tr>
        <w:tc>
          <w:tcPr/>
          <w:p>
            <w:ins w:id="10585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586" w:author="R2 Revision" w:date="2026-05-19T00:00:00Z">
              <w:pPr>
                <w:pStyle w:val="Compact"/>
                <w:jc w:val="left"/>
              </w:pPr>
              <w:r>
                <w:t xml:space="preserve">ARB</w:t>
              </w:r>
            </w:ins>
          </w:p>
        </w:tc>
        <w:tc>
          <w:tcPr/>
          <w:p>
            <w:ins w:id="10587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88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589" w:author="R2 Revision" w:date="2026-05-19T00:00:00Z">
              <w:pPr>
                <w:pStyle w:val="Compact"/>
                <w:jc w:val="left"/>
              </w:pPr>
              <w:r>
                <w:t xml:space="preserve">0.83</w:t>
              </w:r>
            </w:ins>
          </w:p>
        </w:tc>
        <w:tc>
          <w:tcPr/>
          <w:p>
            <w:ins w:id="10590" w:author="R2 Revision" w:date="2026-05-19T00:00:00Z">
              <w:pPr>
                <w:pStyle w:val="Compact"/>
                <w:jc w:val="left"/>
              </w:pPr>
              <w:r>
                <w:t xml:space="preserve">8.6%</w:t>
              </w:r>
            </w:ins>
          </w:p>
        </w:tc>
        <w:tc>
          <w:tcPr/>
          <w:p>
            <w:ins w:id="10591" w:author="R2 Revision" w:date="2026-05-19T00:00:00Z">
              <w:pPr>
                <w:pStyle w:val="Compact"/>
                <w:jc w:val="left"/>
              </w:pPr>
              <w:r>
                <w:t xml:space="preserve">22.4%</w:t>
              </w:r>
            </w:ins>
          </w:p>
        </w:tc>
        <w:tc>
          <w:tcPr/>
          <w:p>
            <w:ins w:id="10592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593" w:author="R2 Revision" w:date="2026-05-19T00:00:00Z">
              <w:pPr>
                <w:pStyle w:val="Compact"/>
                <w:jc w:val="left"/>
              </w:pPr>
              <w:r>
                <w:t xml:space="preserve">The Graph</w:t>
              </w:r>
            </w:ins>
          </w:p>
        </w:tc>
        <w:tc>
          <w:tcPr/>
          <w:p>
            <w:ins w:id="10594" w:author="R2 Revision" w:date="2026-05-19T00:00:00Z">
              <w:pPr>
                <w:pStyle w:val="Compact"/>
                <w:jc w:val="left"/>
              </w:pPr>
              <w:r>
                <w:t xml:space="preserve">GRT</w:t>
              </w:r>
            </w:ins>
          </w:p>
        </w:tc>
        <w:tc>
          <w:tcPr/>
          <w:p>
            <w:ins w:id="10595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596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597" w:author="R2 Revision" w:date="2026-05-19T00:00:00Z">
              <w:pPr>
                <w:pStyle w:val="Compact"/>
                <w:jc w:val="left"/>
              </w:pPr>
              <w:r>
                <w:t xml:space="preserve">0.92</w:t>
              </w:r>
            </w:ins>
          </w:p>
        </w:tc>
        <w:tc>
          <w:tcPr/>
          <w:p>
            <w:ins w:id="10598" w:author="R2 Revision" w:date="2026-05-19T00:00:00Z">
              <w:pPr>
                <w:pStyle w:val="Compact"/>
                <w:jc w:val="left"/>
              </w:pPr>
              <w:r>
                <w:t xml:space="preserve">13.1%</w:t>
              </w:r>
            </w:ins>
          </w:p>
        </w:tc>
        <w:tc>
          <w:tcPr/>
          <w:p>
            <w:ins w:id="10599" w:author="R2 Revision" w:date="2026-05-19T00:00:00Z">
              <w:pPr>
                <w:pStyle w:val="Compact"/>
                <w:jc w:val="left"/>
              </w:pPr>
              <w:r>
                <w:t xml:space="preserve">40.2%</w:t>
              </w:r>
            </w:ins>
          </w:p>
        </w:tc>
        <w:tc>
          <w:tcPr/>
          <w:p>
            <w:ins w:id="10600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1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602" w:author="R2 Revision" w:date="2026-05-19T00:00:00Z">
              <w:pPr>
                <w:pStyle w:val="Compact"/>
                <w:jc w:val="left"/>
              </w:pPr>
              <w:r>
                <w:t xml:space="preserve">OP</w:t>
              </w:r>
            </w:ins>
          </w:p>
        </w:tc>
        <w:tc>
          <w:tcPr/>
          <w:p>
            <w:ins w:id="10603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04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605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06" w:author="R2 Revision" w:date="2026-05-19T00:00:00Z">
              <w:pPr>
                <w:pStyle w:val="Compact"/>
                <w:jc w:val="left"/>
              </w:pPr>
              <w:r>
                <w:t xml:space="preserve">12.1%</w:t>
              </w:r>
            </w:ins>
          </w:p>
        </w:tc>
        <w:tc>
          <w:tcPr/>
          <w:p>
            <w:ins w:id="10607" w:author="R2 Revision" w:date="2026-05-19T00:00:00Z">
              <w:pPr>
                <w:pStyle w:val="Compact"/>
                <w:jc w:val="left"/>
              </w:pPr>
              <w:r>
                <w:t xml:space="preserve">29.6%</w:t>
              </w:r>
            </w:ins>
          </w:p>
        </w:tc>
        <w:tc>
          <w:tcPr/>
          <w:p>
            <w:ins w:id="10608" w:author="R2 Revision" w:date="2026-05-19T00:00:00Z">
              <w:pPr>
                <w:pStyle w:val="Compact"/>
                <w:jc w:val="left"/>
              </w:pPr>
              <w:r>
                <w:t xml:space="preserve">1000</w:t>
              </w:r>
            </w:ins>
          </w:p>
        </w:tc>
      </w:tr>
      <w:tr>
        <w:tc>
          <w:tcPr/>
          <w:p>
            <w:ins w:id="10609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0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611" w:author="R2 Revision" w:date="2026-05-19T00:00:00Z">
              <w:pPr>
                <w:pStyle w:val="Compact"/>
                <w:jc w:val="left"/>
              </w:pPr>
              <w:r>
                <w:t xml:space="preserve">L1/L2/Infra</w:t>
              </w:r>
            </w:ins>
          </w:p>
        </w:tc>
        <w:tc>
          <w:tcPr/>
          <w:p>
            <w:ins w:id="10612" w:author="R2 Revision" w:date="2026-05-19T00:00:00Z">
              <w:pPr>
                <w:pStyle w:val="Compact"/>
                <w:jc w:val="left"/>
              </w:pPr>
              <w:r>
                <w:t xml:space="preserve">0.0713</w:t>
              </w:r>
            </w:ins>
          </w:p>
        </w:tc>
        <w:tc>
          <w:tcPr/>
          <w:p>
            <w:ins w:id="10613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14" w:author="R2 Revision" w:date="2026-05-19T00:00:00Z">
              <w:pPr>
                <w:pStyle w:val="Compact"/>
                <w:jc w:val="left"/>
              </w:pPr>
              <w:r>
                <w:t xml:space="preserve">19.9%</w:t>
              </w:r>
            </w:ins>
          </w:p>
        </w:tc>
        <w:tc>
          <w:tcPr/>
          <w:p>
            <w:ins w:id="10615" w:author="R2 Revision" w:date="2026-05-19T00:00:00Z">
              <w:pPr>
                <w:pStyle w:val="Compact"/>
                <w:jc w:val="left"/>
              </w:pPr>
              <w:r>
                <w:t xml:space="preserve">55.3%</w:t>
              </w:r>
            </w:ins>
          </w:p>
        </w:tc>
        <w:tc>
          <w:tcPr/>
          <w:p>
            <w:ins w:id="10616" w:author="R2 Revision" w:date="2026-05-19T00:00:00Z">
              <w:pPr>
                <w:pStyle w:val="Compact"/>
                <w:jc w:val="left"/>
              </w:pPr>
              <w:r>
                <w:t xml:space="preserve">997</w:t>
              </w:r>
            </w:ins>
          </w:p>
        </w:tc>
      </w:tr>
      <w:tr>
        <w:tc>
          <w:tcPr/>
          <w:p>
            <w:ins w:id="10617" w:author="R2 Revision" w:date="2026-05-19T00:00:00Z">
              <w:pPr>
                <w:pStyle w:val="Compact"/>
                <w:jc w:val="left"/>
              </w:pPr>
              <w:r>
                <w:t xml:space="preserve">Token</w:t>
              </w:r>
              <w:r>
                <w:t xml:space="preserve"> </w:t>
              </w:r>
              <w:r>
                <w:t xml:space="preserve">Engineering</w:t>
              </w:r>
              <w:r>
                <w:t xml:space="preserve"> </w:t>
              </w:r>
              <w:r>
                <w:t xml:space="preserve">Commons ‡</w:t>
              </w:r>
            </w:ins>
          </w:p>
        </w:tc>
        <w:tc>
          <w:tcPr/>
          <w:p>
            <w:ins w:id="10618" w:author="R2 Revision" w:date="2026-05-19T00:00:00Z">
              <w:pPr>
                <w:pStyle w:val="Compact"/>
                <w:jc w:val="left"/>
              </w:pPr>
              <w:r>
                <w:t xml:space="preserve">TEC</w:t>
              </w:r>
            </w:ins>
          </w:p>
        </w:tc>
        <w:tc>
          <w:tcPr/>
          <w:p>
            <w:ins w:id="10619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0" w:author="R2 Revision" w:date="2026-05-19T00:00:00Z">
              <w:pPr>
                <w:pStyle w:val="Compact"/>
                <w:jc w:val="left"/>
              </w:pPr>
              <w:r>
                <w:t xml:space="preserve">0.0278</w:t>
              </w:r>
            </w:ins>
          </w:p>
        </w:tc>
        <w:tc>
          <w:tcPr/>
          <w:p>
            <w:ins w:id="10621" w:author="R2 Revision" w:date="2026-05-19T00:00:00Z">
              <w:pPr>
                <w:pStyle w:val="Compact"/>
                <w:jc w:val="left"/>
              </w:pPr>
              <w:r>
                <w:t xml:space="preserve">0.91</w:t>
              </w:r>
            </w:ins>
          </w:p>
        </w:tc>
        <w:tc>
          <w:tcPr/>
          <w:p>
            <w:ins w:id="10622" w:author="R2 Revision" w:date="2026-05-19T00:00:00Z">
              <w:pPr>
                <w:pStyle w:val="Compact"/>
                <w:jc w:val="left"/>
              </w:pPr>
              <w:r>
                <w:t xml:space="preserve">9.2%</w:t>
              </w:r>
            </w:ins>
          </w:p>
        </w:tc>
        <w:tc>
          <w:tcPr/>
          <w:p>
            <w:ins w:id="10623" w:author="R2 Revision" w:date="2026-05-19T00:00:00Z">
              <w:pPr>
                <w:pStyle w:val="Compact"/>
                <w:jc w:val="left"/>
              </w:pPr>
              <w:r>
                <w:t xml:space="preserve">44.2%</w:t>
              </w:r>
            </w:ins>
          </w:p>
        </w:tc>
        <w:tc>
          <w:tcPr/>
          <w:p>
            <w:ins w:id="10624" w:author="R2 Revision" w:date="2026-05-19T00:00:00Z">
              <w:pPr>
                <w:pStyle w:val="Compact"/>
                <w:jc w:val="left"/>
              </w:pPr>
              <w:r>
                <w:t xml:space="preserve">742</w:t>
              </w:r>
            </w:ins>
          </w:p>
        </w:tc>
      </w:tr>
      <w:tr>
        <w:tc>
          <w:tcPr/>
          <w:p>
            <w:ins w:id="10625" w:author="R2 Revision" w:date="2026-05-19T00:00:00Z">
              <w:pPr>
                <w:pStyle w:val="Compact"/>
                <w:jc w:val="left"/>
              </w:pPr>
              <w:r>
                <w:t xml:space="preserve">Gitcoin ‡</w:t>
              </w:r>
            </w:ins>
          </w:p>
        </w:tc>
        <w:tc>
          <w:tcPr/>
          <w:p>
            <w:ins w:id="10626" w:author="R2 Revision" w:date="2026-05-19T00:00:00Z">
              <w:pPr>
                <w:pStyle w:val="Compact"/>
                <w:jc w:val="left"/>
              </w:pPr>
              <w:r>
                <w:t xml:space="preserve">GTC</w:t>
              </w:r>
            </w:ins>
          </w:p>
        </w:tc>
        <w:tc>
          <w:tcPr/>
          <w:p>
            <w:ins w:id="10627" w:author="R2 Revision" w:date="2026-05-19T00:00:00Z">
              <w:pPr>
                <w:pStyle w:val="Compact"/>
                <w:jc w:val="left"/>
              </w:pPr>
              <w:r>
                <w:t xml:space="preserve">Social</w:t>
              </w:r>
            </w:ins>
          </w:p>
        </w:tc>
        <w:tc>
          <w:tcPr/>
          <w:p>
            <w:ins w:id="10628" w:author="R2 Revision" w:date="2026-05-19T00:00:00Z">
              <w:pPr>
                <w:pStyle w:val="Compact"/>
                <w:jc w:val="left"/>
              </w:pPr>
              <w:r>
                <w:t xml:space="preserve">0.0215</w:t>
              </w:r>
            </w:ins>
          </w:p>
        </w:tc>
        <w:tc>
          <w:tcPr/>
          <w:p>
            <w:ins w:id="10629" w:author="R2 Revision" w:date="2026-05-19T00:00:00Z">
              <w:pPr>
                <w:pStyle w:val="Compact"/>
                <w:jc w:val="left"/>
              </w:pPr>
              <w:r>
                <w:t xml:space="preserve">0.89</w:t>
              </w:r>
            </w:ins>
          </w:p>
        </w:tc>
        <w:tc>
          <w:tcPr/>
          <w:p>
            <w:ins w:id="10630" w:author="R2 Revision" w:date="2026-05-19T00:00:00Z">
              <w:pPr>
                <w:pStyle w:val="Compact"/>
                <w:jc w:val="left"/>
              </w:pPr>
              <w:r>
                <w:t xml:space="preserve">7.1% 3</w:t>
              </w:r>
            </w:ins>
          </w:p>
        </w:tc>
        <w:tc>
          <w:tcPr/>
          <w:p>
            <w:ins w:id="10631" w:author="R2 Revision" w:date="2026-05-19T00:00:00Z">
              <w:pPr>
                <w:pStyle w:val="Compact"/>
                <w:jc w:val="left"/>
              </w:pPr>
              <w:r>
                <w:t xml:space="preserve">6.8% 9</w:t>
              </w:r>
            </w:ins>
          </w:p>
        </w:tc>
        <w:tc>
          <w:tcPr/>
          <w:p>
            <w:ins w:id="10632" w:author="R2 Revision" w:date="2026-05-19T00:00:00Z">
              <w:pPr>
                <w:pStyle w:val="Compact"/>
                <w:jc w:val="left"/>
              </w:pPr>
              <w:r>
                <w:t xml:space="preserve">96</w:t>
              </w:r>
            </w:ins>
          </w:p>
        </w:tc>
      </w:tr>
    </w:tbl>
    <w:p>
      <w:ins w:id="1063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cross-section (March 2026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snapshot, Dune Analytics + Helius DAS API, top-1,000 holders per token,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126 protocol-controlled addresses excluded across 38 protocols). Sorted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by category then HHI ascending. Balancer and Curve use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mechanisms (veBAL, veCRV). Reported HHI values measure raw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token holding concentration, not voting power.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is expected to be higher due to lock-duration multipliers,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analogous to the stkAAVE caveat noted above. Hyperliquid is included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Table 4 but excluded from the subsidy regression because the protocol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has no token emissions; 97% of trading fees are routed to an Assistance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Fund that purchases and permanently burns HYPE tokens, treated as a sink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mechanism in the framework. Hivemapper (HONEY), io.net (IO), and Aethir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(ATH) appear as full Table 4 rows following supplementary holder-list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collection: Hivemapper and io.net via Helius DAS API (90,680 HONEY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holders; 84,861 IO holders); Aethir via Dune erc20_ethereum.evt_transfer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net-balance aggregation (top-1,000 holders). The Aethir HHI (0.087)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reflects the May 2026 Dune top-1000 pull with seven protocol-controlled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addresses excluded under the canonical post-PCA-exclusion methodology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2.10.10 five-class typology; Section 2.10.3 Top-N convention).</w:t>
        </w:r>
      </w:ins>
    </w:p>
    <w:p>
      <w:ins w:id="10634" w:author="R2 Revision" w:date="2026-05-19T00:00:00Z">
        <w:pPr>
          <w:pStyle w:val="BodyText"/>
        </w:pPr>
        <w:r>
          <w:t xml:space="preserve">Table 4 notes:</w:t>
        </w:r>
      </w:ins>
    </w:p>
    <w:p>
      <w:ins w:id="10635" w:author="R2 Revision" w:date="2026-05-19T00:00:00Z">
        <w:pPr>
          <w:pStyle w:val="BodyText"/>
        </w:pPr>
        <w:r>
          <w:t xml:space="preserve">† = futarchy governance (MetaDAO).</w:t>
        </w:r>
      </w:ins>
    </w:p>
    <w:p>
      <w:ins w:id="10636" w:author="R2 Revision" w:date="2026-05-19T00:00:00Z">
        <w:pPr>
          <w:pStyle w:val="BodyText"/>
        </w:pPr>
        <w:r>
          <w:t xml:space="preserve">‡ (in protocol name column) = survivorship-bias control (TEC, Gitcoin).</w:t>
        </w:r>
      </w:ins>
    </w:p>
    <w:p>
      <w:ins w:id="10637" w:author="R2 Revision" w:date="2026-05-19T00:00:00Z">
        <w:pPr>
          <w:pStyle w:val="BodyText"/>
        </w:pPr>
        <w:r>
          <w:t xml:space="preserve">Methodology notes: HHI for Curve reflects raw CRV holdings;</w:t>
        </w:r>
        <w:r>
          <w:t xml:space="preserve"> </w:t>
        </w:r>
        <w:r>
          <w:t xml:space="preserve">veCRV-weighted voting concentration is approximately 0.26 computed</w:t>
        </w:r>
        <w:r>
          <w:t xml:space="preserve"> </w:t>
        </w:r>
        <w:r>
          <w:t xml:space="preserve">from cumulative CRV deposit volume across the top-50 historical</w:t>
        </w:r>
        <w:r>
          <w:t xml:space="preserve"> </w:t>
        </w:r>
        <w:r>
          <w:t xml:space="preserve">veCRV lockers (Convex Finance, an aggregator that pools user-deposited</w:t>
        </w:r>
        <w:r>
          <w:t xml:space="preserve"> </w:t>
        </w:r>
        <w:r>
          <w:t xml:space="preserve">CRV into a single locked veCRV position and votes as a meta-governance</w:t>
        </w:r>
        <w:r>
          <w:t xml:space="preserve"> </w:t>
        </w:r>
        <w:r>
          <w:t xml:space="preserve">layer on behalf of depositors, holds 48% of the top-50 deposit-weighted</w:t>
        </w:r>
        <w:r>
          <w:t xml:space="preserve"> </w:t>
        </w:r>
        <w:r>
          <w:t xml:space="preserve">share; Yearn Finance, a yield-aggregation protocol that runs a similar</w:t>
        </w:r>
        <w:r>
          <w:t xml:space="preserve"> </w:t>
        </w:r>
        <w:r>
          <w:t xml:space="preserve">meta-governance position, holds 14%; Stake DAO holds 9%; the remaining</w:t>
        </w:r>
        <w:r>
          <w:t xml:space="preserve"> </w:t>
        </w:r>
        <w:r>
          <w:t xml:space="preserve">top-50 lockers each hold less than 4%); the methodology is</w:t>
        </w:r>
        <w:r>
          <w:t xml:space="preserve"> </w:t>
        </w:r>
        <w:r>
          <w:t xml:space="preserve">discussed in Section 4.1. HHI for Uniswap reflects post-burn-rule exclusion of</w:t>
        </w:r>
        <w:r>
          <w:t xml:space="preserve"> </w:t>
        </w:r>
        <w:r>
          <w:t xml:space="preserve">0x000...dead (102.46M UNI, 11.27% of supply). Top-1% and Top-10%</w:t>
        </w:r>
        <w:r>
          <w:t xml:space="preserve"> </w:t>
        </w:r>
        <w:r>
          <w:t xml:space="preserve">columns for AAVE, UNI, ARB, GRT, and OP report post-exclusion shares,</w:t>
        </w:r>
        <w:r>
          <w:t xml:space="preserve"> </w:t>
        </w:r>
        <w:r>
          <w:t xml:space="preserve">applying the same protocol-controlled-address exclusion methodology used</w:t>
        </w:r>
        <w:r>
          <w:t xml:space="preserve"> </w:t>
        </w:r>
        <w:r>
          <w:t xml:space="preserve">for HHI computation.</w:t>
        </w:r>
      </w:ins>
    </w:p>
    <w:p>
      <w:ins w:id="10638" w:author="R2 Revision" w:date="2026-05-19T00:00:00Z">
        <w:pPr>
          <w:pStyle w:val="BodyText"/>
        </w:pPr>
        <w:r>
          <w:t xml:space="preserve">HHI ranges from 0.005 to 0.199 across the full sample. Among DeFi</w:t>
        </w:r>
        <w:r>
          <w:t xml:space="preserve"> </w:t>
        </w:r>
        <w:r>
          <w:t xml:space="preserve">governance tokens, HHI ranges from 0.005 (Hyperliquid, after excluding</w:t>
        </w:r>
        <w:r>
          <w:t xml:space="preserve"> </w:t>
        </w:r>
        <w:r>
          <w:t xml:space="preserve">the Assistance Fund and burn addresses) to 0.117 (Jupiter). Curve’s</w:t>
        </w:r>
        <w:r>
          <w:t xml:space="preserve"> </w:t>
        </w:r>
        <w:r>
          <w:t xml:space="preserve">raw CRV holding HHI of 0.017 reflects the post-Convex-exclusion</w:t>
        </w:r>
        <w:r>
          <w:t xml:space="preserve"> </w:t>
        </w:r>
        <w:r>
          <w:t xml:space="preserve">distribution; the veCRV-weighted voting concentration is substantially</w:t>
        </w:r>
        <w:r>
          <w:t xml:space="preserve"> </w:t>
        </w:r>
        <w:r>
          <w:t xml:space="preserve">higher (approximately 0.26 computed from cumulative deposit volume</w:t>
        </w:r>
        <w:r>
          <w:t xml:space="preserve"> </w:t>
        </w:r>
        <w:r>
          <w:t xml:space="preserve">across the top-50 veCRV lockers; Section 4.1), and is discussed in Section 4.1. DePIN protocols span</w:t>
        </w:r>
        <w:r>
          <w:t xml:space="preserve"> </w:t>
        </w:r>
        <w:r>
          <w:t xml:space="preserve">a similar range: 0.017 (Hivemapper) to 0.199 (Livepeer); Morpheus AI</w:t>
        </w:r>
        <w:r>
          <w:t xml:space="preserve"> </w:t>
        </w:r>
        <w:r>
          <w:t xml:space="preserve">registers 0.031 after excluding four protocol-controlled addresses.</w:t>
        </w:r>
      </w:ins>
    </w:p>
    <w:p>
      <w:ins w:id="10639" w:author="R2 Revision" w:date="2026-05-19T00:00:00Z">
        <w:pPr>
          <w:pStyle w:val="BodyText"/>
        </w:pPr>
        <w:r>
          <w:t xml:space="preserve">Several protocols exhibit much lower concentration in the post-</w:t>
        </w:r>
        <w:r>
          <w:t xml:space="preserve"> </w:t>
        </w:r>
        <w:r>
          <w:t xml:space="preserve">exclusion top-1,000 sample than in the raw holder list. Applying the</w:t>
        </w:r>
        <w:r>
          <w:t xml:space="preserve"> </w:t>
        </w:r>
        <w:r>
          <w:t xml:space="preserve">holder-list correction for Solana tokens (Helius DAS API enumeration</w:t>
        </w:r>
        <w:r>
          <w:t xml:space="preserve"> </w:t>
        </w:r>
        <w:r>
          <w:t xml:space="preserve">versus the systematically-undercounting Dune indexer) and the PCA</w:t>
        </w:r>
        <w:r>
          <w:t xml:space="preserve"> </w:t>
        </w:r>
        <w:r>
          <w:t xml:space="preserve">exclusion methodology (38 protocols with documented exclusions; Section</w:t>
        </w:r>
        <w:r>
          <w:t xml:space="preserve"> </w:t>
        </w:r>
        <w:r>
          <w:t xml:space="preserve">2.10.10), the DePIN-DeFi concentration gap is computed on a holder</w:t>
        </w:r>
        <w:r>
          <w:t xml:space="preserve"> </w:t>
        </w:r>
        <w:r>
          <w:t xml:space="preserve">sample materially different from the naive top-1,000 alternative. For</w:t>
        </w:r>
        <w:r>
          <w:t xml:space="preserve"> </w:t>
        </w:r>
        <w:r>
          <w:t xml:space="preserve">DRIFT, the raw holder distribution yields HHI 0.419 against the</w:t>
        </w:r>
        <w:r>
          <w:t xml:space="preserve"> </w:t>
        </w:r>
        <w:r>
          <w:t xml:space="preserve">post-exclusion value of 0.053 (Helius enumerates 27,888 distinct</w:t>
        </w:r>
        <w:r>
          <w:t xml:space="preserve"> </w:t>
        </w:r>
        <w:r>
          <w:t xml:space="preserve">holders versus 104 retrieved from the Dune indexer). Wormhole</w:t>
        </w:r>
        <w:r>
          <w:t xml:space="preserve"> </w:t>
        </w:r>
        <w:r>
          <w:t xml:space="preserve">(W) moves from 0.126 (raw) to 0.012 (post-exclusion); GRASS moves</w:t>
        </w:r>
        <w:r>
          <w:t xml:space="preserve"> </w:t>
        </w:r>
        <w:r>
          <w:t xml:space="preserve">from 0.132 to 0.035. The exclusion methodology</w:t>
        </w:r>
        <w:r>
          <w:t xml:space="preserve"> </w:t>
        </w:r>
        <w:r>
          <w:t xml:space="preserve">(</w:t>
        </w: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)</w:t>
        </w:r>
        <w:r>
          <w:t xml:space="preserve"> </w:t>
        </w:r>
        <w:r>
          <w:t xml:space="preserve">is particularly consequential for protocols with large foundation</w:t>
        </w:r>
        <w:r>
          <w:t xml:space="preserve"> </w:t>
        </w:r>
        <w:r>
          <w:t xml:space="preserve">treasuries or exchange custodian addresses in the top-10 holders.</w:t>
        </w:r>
      </w:ins>
    </w:p>
    <w:p>
      <w:ins w:id="10640" w:author="R2 Revision" w:date="2026-05-19T00:00:00Z">
        <w:pPr>
          <w:pStyle w:val="BodyText"/>
        </w:pPr>
        <w:r>
          <w:t xml:space="preserve">Several protocols demonstrate that low governance concentration is</w:t>
        </w:r>
        <w:r>
          <w:t xml:space="preserve"> </w:t>
        </w:r>
        <w:r>
          <w:t xml:space="preserve">achievable across sectors. Hyperliquid (HHI 0.005), Lido (0.008),</w:t>
        </w:r>
        <w:r>
          <w:t xml:space="preserve"> </w:t>
        </w:r>
        <w:r>
          <w:t xml:space="preserve">Compound (0.009), and Uniswap (0.010) in DeFi; Optimism (0.009),</w:t>
        </w:r>
        <w:r>
          <w:t xml:space="preserve"> </w:t>
        </w:r>
        <w:r>
          <w:t xml:space="preserve">Arbitrum (0.012), Wormhole (0.012), and LayerZero (0.014) in L1/L2</w:t>
        </w:r>
        <w:r>
          <w:t xml:space="preserve"> </w:t>
        </w:r>
        <w:r>
          <w:t xml:space="preserve">infrastructure; and Hivemapper (0.018) in DePIN all achieve HHI below</w:t>
        </w:r>
        <w:r>
          <w:t xml:space="preserve"> </w:t>
        </w:r>
        <w:r>
          <w:t xml:space="preserve">0.02. These counterexamples</w:t>
        </w:r>
        <w:r>
          <w:t xml:space="preserve"> </w:t>
        </w:r>
        <w:r>
          <w:t xml:space="preserve">indicate that low governance concentration is achievable across multiple</w:t>
        </w:r>
        <w:r>
          <w:t xml:space="preserve"> </w:t>
        </w:r>
        <w:r>
          <w:t xml:space="preserve">sectors, constraining explanations that treat high concentration as</w:t>
        </w:r>
        <w:r>
          <w:t xml:space="preserve"> </w:t>
        </w:r>
        <w:r>
          <w:t xml:space="preserve">structurally inevitable in any single sector. The fourth sector, social</w:t>
        </w:r>
        <w:r>
          <w:t xml:space="preserve"> </w:t>
        </w:r>
        <w:r>
          <w:t xml:space="preserve">token protocols, is too small in the sample (N = 2) to support</w:t>
        </w:r>
        <w:r>
          <w:t xml:space="preserve"> </w:t>
        </w:r>
        <w:r>
          <w:t xml:space="preserve">independent sector-level claims.</w:t>
        </w:r>
      </w:ins>
    </w:p>
    <w:p>
      <w:ins w:id="10641" w:author="R2 Revision" w:date="2026-05-19T00:00:00Z">
        <w:pPr>
          <w:pStyle w:val="BodyText"/>
        </w:pPr>
        <w:r>
          <w:t xml:space="preserve">Three measurement choices affect these results and merit attention as</w:t>
        </w:r>
        <w:r>
          <w:t xml:space="preserve"> </w:t>
        </w:r>
        <w:r>
          <w:t xml:space="preserve">scope conditions. First, Top-N cutoffs at 1,000 holders may undercount</w:t>
        </w:r>
        <w:r>
          <w:t xml:space="preserve"> </w:t>
        </w:r>
        <w:r>
          <w:t xml:space="preserve">long-tail holders; increasing the cutoff to 10,000 addresses would</w:t>
        </w:r>
        <w:r>
          <w:t xml:space="preserve"> </w:t>
        </w:r>
        <w:r>
          <w:t xml:space="preserve">change absolute HHI values but is unlikely to change the rank ordering.</w:t>
        </w:r>
        <w:r>
          <w:t xml:space="preserve"> </w:t>
        </w:r>
        <w:r>
          <w:t xml:space="preserve">Second, the snapshot methodology captures a single point in time;</w:t>
        </w:r>
        <w:r>
          <w:t xml:space="preserve"> </w:t>
        </w:r>
        <w:r>
          <w:t xml:space="preserve">several protocols (notably DIMO) have announced token distribution</w:t>
        </w:r>
        <w:r>
          <w:t xml:space="preserve"> </w:t>
        </w:r>
        <w:r>
          <w:t xml:space="preserve">programs that may reduce concentration over subsequent months. Third,</w:t>
        </w:r>
        <w:r>
          <w:t xml:space="preserve"> </w:t>
        </w:r>
        <w:r>
          <w:t xml:space="preserve">the analysis uses raw token holdings; for protocols with delegation</w:t>
        </w:r>
        <w:r>
          <w:t xml:space="preserve"> </w:t>
        </w:r>
        <w:r>
          <w:t xml:space="preserve">(Compound, Uniswap), delegated voting power may differ from raw</w:t>
        </w:r>
        <w:r>
          <w:t xml:space="preserve"> </w:t>
        </w:r>
        <w:r>
          <w:t xml:space="preserve">holdings. We use delegated power where available, but not all protocols</w:t>
        </w:r>
        <w:r>
          <w:t xml:space="preserve"> </w:t>
        </w:r>
        <w:r>
          <w:t xml:space="preserve">instrument delegation.</w:t>
        </w:r>
      </w:ins>
    </w:p>
    <w:bookmarkEnd w:id="83"/>
    <w:bookmarkStart w:id="87" w:name="depin-vs.-defi-contrast"/>
    <w:p>
      <w:ins w:id="10642" w:author="R2 Revision" w:date="2026-05-19T00:00:00Z">
        <w:pPr>
          <w:pStyle w:val="Heading2"/>
        </w:pPr>
        <w:r>
          <w:t xml:space="preserve">3.3 DePIN vs. DeFi Contrast</w:t>
        </w:r>
      </w:ins>
    </w:p>
    <w:p>
      <w:ins w:id="10643" w:author="R2 Revision" w:date="2026-05-19T00:00:00Z">
        <w:pPr>
          <w:pStyle w:val="FirstParagraph"/>
        </w:pPr>
        <w:r>
          <w:t xml:space="preserve">DePIN protocols have approximately two and a half times the governance</w:t>
        </w:r>
        <w:r>
          <w:t xml:space="preserve"> </w:t>
        </w:r>
        <w:r>
          <w:t xml:space="preserve">concentration of DeFi protocols (mean HHI 0.077 vs. 0.031, a ratio of 2.5; Mann-Whitney</w:t>
        </w:r>
        <w:r>
          <w:t xml:space="preserve"> </w:t>
        </w:r>
        <w:r>
          <w:t xml:space="preserve">p = 0.018, Cohen’s d = 0.98, N = 15/15). The gap holds at the</w:t>
        </w:r>
        <w:r>
          <w:t xml:space="preserve"> </w:t>
        </w:r>
        <w:r>
          <w:t xml:space="preserve">conventional 0.05 threshold in Models 1 and 2 (Table 6) after adjusting</w:t>
        </w:r>
        <w:r>
          <w:t xml:space="preserve"> </w:t>
        </w:r>
        <w:r>
          <w:t xml:space="preserve">for protocol age and valuation, and falls just above the threshold in</w:t>
        </w:r>
        <w:r>
          <w:t xml:space="preserve"> </w:t>
        </w:r>
        <w:r>
          <w:t xml:space="preserve">Model 3 (p = 0.078) after adding the initial insider allocation</w:t>
        </w:r>
        <w:r>
          <w:t xml:space="preserve"> </w:t>
        </w:r>
        <w:r>
          <w:t xml:space="preserve">control. Prior review</w:t>
        </w:r>
        <w:r>
          <w:t xml:space="preserve"> </w:t>
        </w:r>
        <w:r>
          <w:t xml:space="preserve">work documents that DePIN sectors vary in tokenomic architecture</w:t>
        </w:r>
        <w:r>
          <w:t xml:space="preserve"> </w:t>
        </w:r>
        <w:r>
          <w:t xml:space="preserve">(Alshater, 2026): storage networks prioritize staking, wireless coverage</w:t>
        </w:r>
        <w:r>
          <w:t xml:space="preserve"> </w:t>
        </w:r>
        <w:r>
          <w:t xml:space="preserve">emphasizes service verification, compute networks focus on billing. The</w:t>
        </w:r>
        <w:r>
          <w:t xml:space="preserve"> </w:t>
        </w:r>
        <w:r>
          <w:t xml:space="preserve">concentration gap between DePIN and DeFi is not implied by this sectoral</w:t>
        </w:r>
        <w:r>
          <w:t xml:space="preserve"> </w:t>
        </w:r>
        <w:r>
          <w:t xml:space="preserve">variation; it is a separate finding about who holds governance tokens.</w:t>
        </w:r>
      </w:ins>
    </w:p>
    <w:p>
      <w:ins w:id="10644" w:author="R2 Revision" w:date="2026-05-19T00:00:00Z">
        <w:pPr>
          <w:pStyle w:val="BodyText"/>
        </w:pPr>
        <w:r>
          <w:t xml:space="preserve">The sector difference is robust to sample composition: the Mann-Whitney</w:t>
        </w:r>
        <w:r>
          <w:t xml:space="preserve"> </w:t>
        </w:r>
        <w:r>
          <w:t xml:space="preserve">result holds across all 30 leave-one-out (LOO) iterations (p range</w:t>
        </w:r>
        <w:r>
          <w:t xml:space="preserve"> </w:t>
        </w:r>
        <w:r>
          <w:t xml:space="preserve">across iterations: 0.007 to 0.028; Cohen’s d range: 0.90 to 1.10;</w:t>
        </w:r>
        <w:r>
          <w:t xml:space="preserve"> </w:t>
        </w:r>
        <w:r>
          <w:t xml:space="preserve">see Figure 9 for per-iteration values), and a two-sided permutation</w:t>
        </w:r>
        <w:r>
          <w:t xml:space="preserve"> </w:t>
        </w:r>
        <w:r>
          <w:t xml:space="preserve">test (100,000 random reassignments of sector labels) yields p = 0.008.</w:t>
        </w:r>
        <w:r>
          <w:t xml:space="preserve"> </w:t>
        </w:r>
        <w:r>
          <w:t xml:space="preserve">A non-parametric bootstrap on the sector mean difference (10,000</w:t>
        </w:r>
        <w:r>
          <w:t xml:space="preserve"> </w:t>
        </w:r>
        <w:r>
          <w:t xml:space="preserve">resamples) yields a 95% percentile interval of [0.015, 0.080] HHI</w:t>
        </w:r>
        <w:r>
          <w:t xml:space="preserve"> </w:t>
        </w:r>
        <w:r>
          <w:t xml:space="preserve">points (Cohen’s d 95% CI: [0.41, 1.69]), strictly excluding zero</w:t>
        </w:r>
        <w:r>
          <w:t xml:space="preserve"> </w:t>
        </w:r>
        <w:r>
          <w:t xml:space="preserve">and confirming the sector contrast is robust to resampling. One candidate mechanism: in</w:t>
        </w:r>
        <w:r>
          <w:t xml:space="preserve"> </w:t>
        </w:r>
        <w:r>
          <w:t xml:space="preserve">capital-intensive networks, scale economies produce concentrated market</w:t>
        </w:r>
        <w:r>
          <w:t xml:space="preserve"> </w:t>
        </w:r>
        <w:r>
          <w:t xml:space="preserve">shares (Arnosti &amp; Weinberg, 2022). Fleet operators deploying hundreds of</w:t>
        </w:r>
        <w:r>
          <w:t xml:space="preserve"> </w:t>
        </w:r>
        <w:r>
          <w:t xml:space="preserve">devices achieve lower per-unit costs than solo participants, consistent</w:t>
        </w:r>
        <w:r>
          <w:t xml:space="preserve"> </w:t>
        </w:r>
        <w:r>
          <w:t xml:space="preserve">with the concentration gap observed here.</w:t>
        </w:r>
      </w:ins>
    </w:p>
    <w:p>
      <w:ins w:id="10645" w:author="R2 Revision" w:date="2026-05-19T00:00:00Z">
        <w:pPr>
          <w:pStyle w:val="BodyText"/>
        </w:pPr>
        <w:r>
          <w:drawing>
            <wp:inline>
              <wp:extent cx="5486400" cy="6298047"/>
              <wp:effectExtent b="0" l="0" r="0" t="0"/>
              <wp:docPr descr="" title="" id="85" name="Picture"/>
              <a:graphic>
                <a:graphicData uri="http://schemas.openxmlformats.org/drawingml/2006/picture">
                  <pic:pic>
                    <pic:nvPicPr>
                      <pic:cNvPr descr="media/exhibit_sector_comparison.png" id="8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629804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646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4.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concentration (HHI) by sector. DePIN mean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(0.077) exceeds DeFi mean (0.031), with distributions overlapping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substantially: 8 of 15 DePIN protocols fall within the DeFi range.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Mann-Whitney test (p = 0.018, d = 0.98) is robust to sample composition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(significant in all 30 leave-one-out iterations). Reading the figure: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box plots show the concentration distribution within each sector;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DePIN-DeFi gap is visible in median position despite overlap in tails.</w:t>
        </w:r>
      </w:ins>
    </w:p>
    <w:p>
      <w:ins w:id="10647" w:author="R2 Revision" w:date="2026-05-19T00:00:00Z">
        <w:pPr>
          <w:pStyle w:val="BodyText"/>
        </w:pPr>
        <w:r>
          <w:t xml:space="preserve">DePIN governance concentration is also significantly higher than L1/L2</w:t>
        </w:r>
        <w:r>
          <w:t xml:space="preserve"> </w:t>
        </w:r>
        <w:r>
          <w:t xml:space="preserve">infrastructure protocols (mean HHI 0.027, N=8): Welch t-test p = 0.008,</w:t>
        </w:r>
        <w:r>
          <w:t xml:space="preserve"> </w:t>
        </w:r>
        <w:r>
          <w:t xml:space="preserve">Cohen’s d = 1.00; Mann-Whitney p = 0.019. This divergence is driven by</w:t>
        </w:r>
        <w:r>
          <w:t xml:space="preserve"> </w:t>
        </w:r>
        <w:r>
          <w:t xml:space="preserve">post-exclusion infrastructure HHIs: ARB (0.012), OP (0.009), and GRT</w:t>
        </w:r>
        <w:r>
          <w:t xml:space="preserve"> </w:t>
        </w:r>
        <w:r>
          <w:t xml:space="preserve">(0.033) show distributed holdings once foundation and bridge addresses</w:t>
        </w:r>
        <w:r>
          <w:t xml:space="preserve"> </w:t>
        </w:r>
        <w:r>
          <w:t xml:space="preserve">are excluded.</w:t>
        </w:r>
      </w:ins>
    </w:p>
    <w:p>
      <w:ins w:id="10648" w:author="R2 Revision" w:date="2026-05-19T00:00:00Z">
        <w:pPr>
          <w:pStyle w:val="BodyText"/>
        </w:pPr>
        <w:r>
          <w:t xml:space="preserve">Revenue dynamics reinforce this structural contrast: during 2025’s</w:t>
        </w:r>
        <w:r>
          <w:t xml:space="preserve"> </w:t>
        </w:r>
        <w:r>
          <w:t xml:space="preserve">market downturn, Helium’s onchain revenue grew over 800% while leading</w:t>
        </w:r>
        <w:r>
          <w:t xml:space="preserve"> </w:t>
        </w:r>
        <w:r>
          <w:t xml:space="preserve">DeFi protocol fees declined 27-70% over the same period (Bane &amp; Gala,</w:t>
        </w:r>
        <w:r>
          <w:t xml:space="preserve"> </w:t>
        </w:r>
        <w:r>
          <w:t xml:space="preserve">2026), suggesting that physical infrastructure revenue streams exhibit</w:t>
        </w:r>
        <w:r>
          <w:t xml:space="preserve"> </w:t>
        </w:r>
        <w:r>
          <w:t xml:space="preserve">countercyclical properties absent in purely financial protocols.</w:t>
        </w:r>
      </w:ins>
    </w:p>
    <w:p>
      <w:ins w:id="10649" w:author="R2 Revision" w:date="2026-05-19T00:00:00Z">
        <w:pPr>
          <w:pStyle w:val="BodyText"/>
        </w:pPr>
        <w:r>
          <w:t xml:space="preserve">This concentration gap is not explained by protocol maturity: Compound</w:t>
        </w:r>
        <w:r>
          <w:t xml:space="preserve"> </w:t>
        </w:r>
        <w:r>
          <w:t xml:space="preserve">(2018 launch, HHI 0.009) and MakerDAO (2017, HHI 0.040) are older than</w:t>
        </w:r>
        <w:r>
          <w:t xml:space="preserve"> </w:t>
        </w:r>
        <w:r>
          <w:t xml:space="preserve">DIMO (2022, HHI 0.025) and WeatherXM (2024, HHI 0.148), yet maintain far</w:t>
        </w:r>
        <w:r>
          <w:t xml:space="preserve"> </w:t>
        </w:r>
        <w:r>
          <w:t xml:space="preserve">lower concentration. One candidate explanation is distribution design</w:t>
        </w:r>
        <w:r>
          <w:t xml:space="preserve"> </w:t>
        </w:r>
        <w:r>
          <w:t xml:space="preserve">(Table 4): DePIN token allocations frequently reserve large shares for</w:t>
        </w:r>
        <w:r>
          <w:t xml:space="preserve"> </w:t>
        </w:r>
        <w:r>
          <w:t xml:space="preserve">founding teams and early investors, while DeFi protocols have had longer</w:t>
        </w:r>
        <w:r>
          <w:t xml:space="preserve"> </w:t>
        </w:r>
        <w:r>
          <w:t xml:space="preserve">periods of community distribution through liquidity mining, delegation,</w:t>
        </w:r>
        <w:r>
          <w:t xml:space="preserve"> </w:t>
        </w:r>
        <w:r>
          <w:t xml:space="preserve">and governance participation incentives. However, the regression</w:t>
        </w:r>
        <w:r>
          <w:t xml:space="preserve"> </w:t>
        </w:r>
        <w:r>
          <w:t xml:space="preserve">analysis below finds no significant correlation between insider</w:t>
        </w:r>
        <w:r>
          <w:t xml:space="preserve"> </w:t>
        </w:r>
        <w:r>
          <w:t xml:space="preserve">allocation share and HHI (Section 3.4), suggesting that the distribution</w:t>
        </w:r>
        <w:r>
          <w:t xml:space="preserve"> </w:t>
        </w:r>
        <w:r>
          <w:t xml:space="preserve">design channel operates through qualitative mechanisms not captured by</w:t>
        </w:r>
        <w:r>
          <w:t xml:space="preserve"> </w:t>
        </w:r>
        <w:r>
          <w:t xml:space="preserve">the allocation percentage alone. The Anyone Protocol counterexample</w:t>
        </w:r>
        <w:r>
          <w:t xml:space="preserve"> </w:t>
        </w:r>
        <w:r>
          <w:t xml:space="preserve">supports this interpretation: its low concentration (HHI 0.013) is</w:t>
        </w:r>
        <w:r>
          <w:t xml:space="preserve"> </w:t>
        </w:r>
        <w:r>
          <w:t xml:space="preserve">consistent with governance mechanism choices (delegation incentives,</w:t>
        </w:r>
        <w:r>
          <w:t xml:space="preserve"> </w:t>
        </w:r>
        <w:r>
          <w:t xml:space="preserve">activity-based caps, distribution schedule structure) that most DePIN</w:t>
        </w:r>
        <w:r>
          <w:t xml:space="preserve"> </w:t>
        </w:r>
        <w:r>
          <w:t xml:space="preserve">protocols have not adopted.</w:t>
        </w:r>
      </w:ins>
    </w:p>
    <w:p>
      <w:ins w:id="10650" w:author="R2 Revision" w:date="2026-05-19T00:00:00Z">
        <w:pPr>
          <w:pStyle w:val="BodyText"/>
        </w:pPr>
        <w:r>
          <w:t xml:space="preserve">This governance mechanism interpretation aligns with practitioner</w:t>
        </w:r>
        <w:r>
          <w:t xml:space="preserve"> </w:t>
        </w:r>
        <w:r>
          <w:t xml:space="preserve">evidence from points-based token distribution programs (Sawinyh, 2025).</w:t>
        </w:r>
        <w:r>
          <w:t xml:space="preserve"> </w:t>
        </w:r>
        <w:r>
          <w:t xml:space="preserve">Mature DeFi protocols distributed tokens through multi-season liquidity</w:t>
        </w:r>
        <w:r>
          <w:t xml:space="preserve"> </w:t>
        </w:r>
        <w:r>
          <w:t xml:space="preserve">mining programs, safety module staking, and delegation incentives that</w:t>
        </w:r>
        <w:r>
          <w:t xml:space="preserve"> </w:t>
        </w:r>
        <w:r>
          <w:t xml:space="preserve">implement sub-linear scaling (diminishing returns per marginal dollar</w:t>
        </w:r>
        <w:r>
          <w:t xml:space="preserve"> </w:t>
        </w:r>
        <w:r>
          <w:t xml:space="preserve">deposited), activity-based caps, and time-weighted multipliers; these</w:t>
        </w:r>
        <w:r>
          <w:t xml:space="preserve"> </w:t>
        </w:r>
        <w:r>
          <w:t xml:space="preserve">mechanisms structurally compress holding concentration over years. DePIN</w:t>
        </w:r>
        <w:r>
          <w:t xml:space="preserve"> </w:t>
        </w:r>
        <w:r>
          <w:t xml:space="preserve">protocols that allocated tokens through conventional venture rounds,</w:t>
        </w:r>
        <w:r>
          <w:t xml:space="preserve"> </w:t>
        </w:r>
        <w:r>
          <w:t xml:space="preserve">reserving 30 to 50 percent for founding teams and early investors with</w:t>
        </w:r>
        <w:r>
          <w:t xml:space="preserve"> </w:t>
        </w:r>
        <w:r>
          <w:t xml:space="preserve">cliff-based vesting, bypassed these distribution-broadening mechanisms</w:t>
        </w:r>
        <w:r>
          <w:t xml:space="preserve"> </w:t>
        </w:r>
        <w:r>
          <w:t xml:space="preserve">entirely. The governance concentration patterns in Table 4 may reflect</w:t>
        </w:r>
        <w:r>
          <w:t xml:space="preserve"> </w:t>
        </w:r>
        <w:r>
          <w:t xml:space="preserve">distribution mechanism design operating through the sector channel:</w:t>
        </w:r>
        <w:r>
          <w:t xml:space="preserve"> </w:t>
        </w:r>
        <w:r>
          <w:t xml:space="preserve">Table 6 shows DePIN membership predicts concentration at p &lt; 0.05 after</w:t>
        </w:r>
        <w:r>
          <w:t xml:space="preserve"> </w:t>
        </w:r>
        <w:r>
          <w:t xml:space="preserve">adjusting for protocol age, valuation, and insider allocation. However,</w:t>
        </w:r>
        <w:r>
          <w:t xml:space="preserve"> </w:t>
        </w:r>
        <w:r>
          <w:t xml:space="preserve">the regression null on insider allocation (Section 3.4) cautions against</w:t>
        </w:r>
        <w:r>
          <w:t xml:space="preserve"> </w:t>
        </w:r>
        <w:r>
          <w:t xml:space="preserve">treating initial token allocation as a complete measure of distribution</w:t>
        </w:r>
        <w:r>
          <w:t xml:space="preserve"> </w:t>
        </w:r>
        <w:r>
          <w:t xml:space="preserve">design: compression mechanisms (sub-linear scaling, activity-based caps,</w:t>
        </w:r>
        <w:r>
          <w:t xml:space="preserve"> </w:t>
        </w:r>
        <w:r>
          <w:t xml:space="preserve">delegation incentives) operate through ongoing protocol governance, not</w:t>
        </w:r>
        <w:r>
          <w:t xml:space="preserve"> </w:t>
        </w:r>
        <w:r>
          <w:t xml:space="preserve">through the initial percentage split alone.</w:t>
        </w:r>
      </w:ins>
    </w:p>
    <w:bookmarkEnd w:id="87"/>
    <w:bookmarkStart w:id="91" w:name="X0512d682b8d60c380581486ebd4d749e54e6a89"/>
    <w:p>
      <w:ins w:id="10651" w:author="R2 Revision" w:date="2026-05-19T00:00:00Z">
        <w:pPr>
          <w:pStyle w:val="Heading2"/>
        </w:pPr>
        <w:r>
          <w:t xml:space="preserve">3.4 Allocation Design and Post-Distribution Dynamics</w:t>
        </w:r>
      </w:ins>
    </w:p>
    <w:p>
      <w:ins w:id="10652" w:author="R2 Revision" w:date="2026-05-19T00:00:00Z">
        <w:pPr>
          <w:pStyle w:val="FirstParagraph"/>
        </w:pPr>
        <w:r>
          <w:t xml:space="preserve">Methodological note on AAVE: the stkAAVE staking contract is excluded</w:t>
        </w:r>
        <w:r>
          <w:t xml:space="preserve"> </w:t>
        </w:r>
        <w:r>
          <w:t xml:space="preserve">from the holding Herfindahl-Hirschman Index per the</w:t>
        </w:r>
        <w:r>
          <w:t xml:space="preserve"> </w:t>
        </w:r>
        <w:r>
          <w:t xml:space="preserve">protocol-controlled-address rule, but stakers retain pass-through voting</w:t>
        </w:r>
        <w:r>
          <w:t xml:space="preserve"> </w:t>
        </w:r>
        <w:r>
          <w:t xml:space="preserve">power. The reported AAVE holding HHI of 0.013 therefore understates</w:t>
        </w:r>
        <w:r>
          <w:t xml:space="preserve"> </w:t>
        </w:r>
        <w:r>
          <w:t xml:space="preserve">effective governance concentration; reconstructing the staker</w:t>
        </w:r>
        <w:r>
          <w:t xml:space="preserve"> </w:t>
        </w:r>
        <w:r>
          <w:t xml:space="preserve">distribution would require parsing all stkAAVE deposit events, which is</w:t>
        </w:r>
        <w:r>
          <w:t xml:space="preserve"> </w:t>
        </w:r>
        <w:r>
          <w:t xml:space="preserve">deferred to follow-up work. The companion Tally-sourced AAVE delegation</w:t>
        </w:r>
        <w:r>
          <w:t xml:space="preserve"> </w:t>
        </w:r>
        <w:r>
          <w:t xml:space="preserve">HHI of 0.076 in Table 7 partially closes this gap by capturing</w:t>
        </w:r>
        <w:r>
          <w:t xml:space="preserve"> </w:t>
        </w:r>
        <w:r>
          <w:t xml:space="preserve">concentration in delegated voting rather than raw token holdings.</w:t>
        </w:r>
      </w:ins>
    </w:p>
    <w:p>
      <w:ins w:id="10653" w:author="R2 Revision" w:date="2026-05-19T00:00:00Z">
        <w:pPr>
          <w:pStyle w:val="BodyText"/>
        </w:pPr>
        <w:r>
          <w:t xml:space="preserve">Initial token allocation design does not predict governance</w:t>
        </w:r>
        <w:r>
          <w:t xml:space="preserve"> </w:t>
        </w:r>
        <w:r>
          <w:t xml:space="preserve">concentration. The percentage of total supply allocated to team and</w:t>
        </w:r>
        <w:r>
          <w:t xml:space="preserve"> </w:t>
        </w:r>
        <w:r>
          <w:t xml:space="preserve">investors at launch shows no significant association with</w:t>
        </w:r>
        <w:r>
          <w:t xml:space="preserve"> </w:t>
        </w:r>
        <w:r>
          <w:t xml:space="preserve">post-distribution HHI (Pearson r = 0.04, p = 0.84, N = 37; Spearman rho</w:t>
        </w:r>
        <w:r>
          <w:t xml:space="preserve"> </w:t>
        </w:r>
        <w:r>
          <w:t xml:space="preserve">= 0.07, p = 0.69). This null persists across alternative specifications:</w:t>
        </w:r>
        <w:r>
          <w:t xml:space="preserve"> </w:t>
        </w:r>
        <w:r>
          <w:t xml:space="preserve">token unlock progress, float-adjusted concentration, and the interaction</w:t>
        </w:r>
        <w:r>
          <w:t xml:space="preserve"> </w:t>
        </w:r>
        <w:r>
          <w:t xml:space="preserve">of allocation with protocol maturity all produce coefficients</w:t>
        </w:r>
        <w:r>
          <w:t xml:space="preserve"> </w:t>
        </w:r>
        <w:r>
          <w:t xml:space="preserve">indistinguishable from zero (Table 6, Models 1 through 3; Table 5</w:t>
        </w:r>
        <w:r>
          <w:t xml:space="preserve"> </w:t>
        </w:r>
        <w:r>
          <w:t xml:space="preserve">summarizes the bivariate battery). Statistically Validated Network</w:t>
        </w:r>
        <w:r>
          <w:t xml:space="preserve"> </w:t>
        </w:r>
        <w:r>
          <w:t xml:space="preserve">analysis across DeFi protocols documents that governance concentration</w:t>
        </w:r>
        <w:r>
          <w:t xml:space="preserve"> </w:t>
        </w:r>
        <w:r>
          <w:t xml:space="preserve">shifts dynamically in correlation with total value locked and secondary</w:t>
        </w:r>
        <w:r>
          <w:t xml:space="preserve"> </w:t>
        </w:r>
        <w:r>
          <w:t xml:space="preserve">market valuations (Eisermann et al., 2025), consistent with the</w:t>
        </w:r>
        <w:r>
          <w:t xml:space="preserve"> </w:t>
        </w:r>
        <w:r>
          <w:t xml:space="preserve">post-distribution market dynamics that render initial allocation design</w:t>
        </w:r>
        <w:r>
          <w:t xml:space="preserve"> </w:t>
        </w:r>
        <w:r>
          <w:t xml:space="preserve">uninformative in the cross-section.</w:t>
        </w:r>
      </w:ins>
    </w:p>
    <w:tbl>
      <w:tblPr>
        <w:tblStyle w:val="Table"/>
        <w:tblW w:type="pct" w:w="4896"/>
        <w:tblLayout w:type="fixed"/>
        <w:tblLook w:firstRow="1" w:lastRow="0" w:firstColumn="0" w:lastColumn="0" w:noHBand="0" w:noVBand="0" w:val="0020"/>
      </w:tblPr>
      <w:tblGrid>
        <w:gridCol w:w="1732"/>
        <w:gridCol w:w="1237"/>
        <w:gridCol w:w="1320"/>
        <w:gridCol w:w="825"/>
        <w:gridCol w:w="660"/>
        <w:gridCol w:w="1980"/>
      </w:tblGrid>
      <w:tr>
        <w:trPr>
          <w:tblHeader w:val="on"/>
        </w:trPr>
        <w:tc>
          <w:tcPr/>
          <w:p>
            <w:ins w:id="1065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Covariate</w:t>
              </w:r>
            </w:ins>
          </w:p>
        </w:tc>
        <w:tc>
          <w:tcPr/>
          <w:p>
            <w:ins w:id="1065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Test</w:t>
              </w:r>
            </w:ins>
          </w:p>
        </w:tc>
        <w:tc>
          <w:tcPr/>
          <w:p>
            <w:ins w:id="1065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Statistic</w:t>
              </w:r>
            </w:ins>
          </w:p>
        </w:tc>
        <w:tc>
          <w:tcPr/>
          <w:p>
            <w:ins w:id="10657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</w:t>
              </w:r>
            </w:ins>
          </w:p>
        </w:tc>
        <w:tc>
          <w:tcPr/>
          <w:p>
            <w:ins w:id="10658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N</w:t>
              </w:r>
            </w:ins>
          </w:p>
        </w:tc>
        <w:tc>
          <w:tcPr/>
          <w:p>
            <w:ins w:id="10659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Status</w:t>
              </w:r>
            </w:ins>
          </w:p>
        </w:tc>
      </w:tr>
      <w:tr>
        <w:tc>
          <w:tcPr/>
          <w:p>
            <w:ins w:id="10660" w:author="R2 Revision" w:date="2026-05-19T00:00:00Z">
              <w:pPr>
                <w:pStyle w:val="Compact"/>
                <w:jc w:val="left"/>
              </w:pPr>
              <w:r>
                <w:t xml:space="preserve">Insider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6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2" w:author="R2 Revision" w:date="2026-05-19T00:00:00Z">
              <w:pPr>
                <w:pStyle w:val="Compact"/>
                <w:jc w:val="left"/>
              </w:pPr>
              <w:r>
                <w:t xml:space="preserve">0.04</w:t>
              </w:r>
            </w:ins>
          </w:p>
        </w:tc>
        <w:tc>
          <w:tcPr/>
          <w:p>
            <w:ins w:id="10663" w:author="R2 Revision" w:date="2026-05-19T00:00:00Z">
              <w:pPr>
                <w:pStyle w:val="Compact"/>
                <w:jc w:val="left"/>
              </w:pPr>
              <w:r>
                <w:t xml:space="preserve">0.84</w:t>
              </w:r>
            </w:ins>
          </w:p>
        </w:tc>
        <w:tc>
          <w:tcPr/>
          <w:p>
            <w:ins w:id="10664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6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66" w:author="R2 Revision" w:date="2026-05-19T00:00:00Z">
              <w:pPr>
                <w:pStyle w:val="Compact"/>
                <w:jc w:val="left"/>
              </w:pPr>
              <w:r>
                <w:t xml:space="preserve">Team allocation (%)</w:t>
              </w:r>
            </w:ins>
          </w:p>
        </w:tc>
        <w:tc>
          <w:tcPr/>
          <w:p>
            <w:ins w:id="1066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68" w:author="R2 Revision" w:date="2026-05-19T00:00:00Z">
              <w:pPr>
                <w:pStyle w:val="Compact"/>
                <w:jc w:val="left"/>
              </w:pPr>
              <w:r>
                <w:t xml:space="preserve">-0.08</w:t>
              </w:r>
            </w:ins>
          </w:p>
        </w:tc>
        <w:tc>
          <w:tcPr/>
          <w:p>
            <w:ins w:id="10669" w:author="R2 Revision" w:date="2026-05-19T00:00:00Z">
              <w:pPr>
                <w:pStyle w:val="Compact"/>
                <w:jc w:val="left"/>
              </w:pPr>
              <w:r>
                <w:t xml:space="preserve">0.62</w:t>
              </w:r>
            </w:ins>
          </w:p>
        </w:tc>
        <w:tc>
          <w:tcPr/>
          <w:p>
            <w:ins w:id="10670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2" w:author="R2 Revision" w:date="2026-05-19T00:00:00Z">
              <w:pPr>
                <w:pStyle w:val="Compact"/>
                <w:jc w:val="left"/>
              </w:pPr>
              <w:r>
                <w:t xml:space="preserve">Investor allocation</w:t>
              </w:r>
              <w:r>
                <w:t xml:space="preserve"> </w:t>
              </w:r>
              <w:r>
                <w:t xml:space="preserve">(%)</w:t>
              </w:r>
            </w:ins>
          </w:p>
        </w:tc>
        <w:tc>
          <w:tcPr/>
          <w:p>
            <w:ins w:id="1067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74" w:author="R2 Revision" w:date="2026-05-19T00:00:00Z">
              <w:pPr>
                <w:pStyle w:val="Compact"/>
                <w:jc w:val="left"/>
              </w:pPr>
              <w:r>
                <w:t xml:space="preserve">0.14</w:t>
              </w:r>
            </w:ins>
          </w:p>
        </w:tc>
        <w:tc>
          <w:tcPr/>
          <w:p>
            <w:ins w:id="10675" w:author="R2 Revision" w:date="2026-05-19T00:00:00Z">
              <w:pPr>
                <w:pStyle w:val="Compact"/>
                <w:jc w:val="left"/>
              </w:pPr>
              <w:r>
                <w:t xml:space="preserve">0.39</w:t>
              </w:r>
            </w:ins>
          </w:p>
        </w:tc>
        <w:tc>
          <w:tcPr/>
          <w:p>
            <w:ins w:id="10676" w:author="R2 Revision" w:date="2026-05-19T00:00:00Z">
              <w:pPr>
                <w:pStyle w:val="Compact"/>
                <w:jc w:val="left"/>
              </w:pPr>
              <w:r>
                <w:t xml:space="preserve">37</w:t>
              </w:r>
            </w:ins>
          </w:p>
        </w:tc>
        <w:tc>
          <w:tcPr/>
          <w:p>
            <w:ins w:id="1067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78" w:author="R2 Revision" w:date="2026-05-19T00:00:00Z">
              <w:pPr>
                <w:pStyle w:val="Compact"/>
                <w:jc w:val="left"/>
              </w:pPr>
              <w:r>
                <w:t xml:space="preserve">Protocol maturity</w:t>
              </w:r>
              <w:r>
                <w:t xml:space="preserve"> </w:t>
              </w:r>
              <w:r>
                <w:t xml:space="preserve">(years)</w:t>
              </w:r>
            </w:ins>
          </w:p>
        </w:tc>
        <w:tc>
          <w:tcPr/>
          <w:p>
            <w:ins w:id="10679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0" w:author="R2 Revision" w:date="2026-05-19T00:00:00Z">
              <w:pPr>
                <w:pStyle w:val="Compact"/>
                <w:jc w:val="left"/>
              </w:pPr>
              <w:r>
                <w:t xml:space="preserve">0.11</w:t>
              </w:r>
            </w:ins>
          </w:p>
        </w:tc>
        <w:tc>
          <w:tcPr/>
          <w:p>
            <w:ins w:id="10681" w:author="R2 Revision" w:date="2026-05-19T00:00:00Z">
              <w:pPr>
                <w:pStyle w:val="Compact"/>
                <w:jc w:val="left"/>
              </w:pPr>
              <w:r>
                <w:t xml:space="preserve">0.51</w:t>
              </w:r>
            </w:ins>
          </w:p>
        </w:tc>
        <w:tc>
          <w:tcPr/>
          <w:p>
            <w:ins w:id="10682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683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84" w:author="R2 Revision" w:date="2026-05-19T00:00:00Z">
              <w:pPr>
                <w:pStyle w:val="Compact"/>
                <w:jc w:val="left"/>
              </w:pPr>
              <w:r>
                <w:t xml:space="preserve">Circ/total supply</w:t>
              </w:r>
              <w:r>
                <w:t xml:space="preserve"> </w:t>
              </w:r>
              <w:r>
                <w:t xml:space="preserve">ratio</w:t>
              </w:r>
            </w:ins>
          </w:p>
        </w:tc>
        <w:tc>
          <w:tcPr/>
          <w:p>
            <w:ins w:id="1068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86" w:author="R2 Revision" w:date="2026-05-19T00:00:00Z">
              <w:pPr>
                <w:pStyle w:val="Compact"/>
                <w:jc w:val="left"/>
              </w:pPr>
              <w:r>
                <w:t xml:space="preserve">0.03</w:t>
              </w:r>
            </w:ins>
          </w:p>
        </w:tc>
        <w:tc>
          <w:tcPr/>
          <w:p>
            <w:ins w:id="10687" w:author="R2 Revision" w:date="2026-05-19T00:00:00Z">
              <w:pPr>
                <w:pStyle w:val="Compact"/>
                <w:jc w:val="left"/>
              </w:pPr>
              <w:r>
                <w:t xml:space="preserve">0.86</w:t>
              </w:r>
            </w:ins>
          </w:p>
        </w:tc>
        <w:tc>
          <w:tcPr/>
          <w:p>
            <w:ins w:id="10688" w:author="R2 Revision" w:date="2026-05-19T00:00:00Z">
              <w:pPr>
                <w:pStyle w:val="Compact"/>
                <w:jc w:val="left"/>
              </w:pPr>
              <w:r>
                <w:t xml:space="preserve">31</w:t>
              </w:r>
            </w:ins>
          </w:p>
        </w:tc>
        <w:tc>
          <w:tcPr/>
          <w:p>
            <w:ins w:id="10689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0" w:author="R2 Revision" w:date="2026-05-19T00:00:00Z">
              <w:pPr>
                <w:pStyle w:val="Compact"/>
                <w:jc w:val="left"/>
              </w:pPr>
              <w:r>
                <w:t xml:space="preserve">MCap/FDV ratio</w:t>
              </w:r>
            </w:ins>
          </w:p>
        </w:tc>
        <w:tc>
          <w:tcPr/>
          <w:p>
            <w:ins w:id="1069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2" w:author="R2 Revision" w:date="2026-05-19T00:00:00Z">
              <w:pPr>
                <w:pStyle w:val="Compact"/>
                <w:jc w:val="left"/>
              </w:pPr>
              <w:r>
                <w:t xml:space="preserve">0.21</w:t>
              </w:r>
            </w:ins>
          </w:p>
        </w:tc>
        <w:tc>
          <w:tcPr/>
          <w:p>
            <w:ins w:id="10693" w:author="R2 Revision" w:date="2026-05-19T00:00:00Z">
              <w:pPr>
                <w:pStyle w:val="Compact"/>
                <w:jc w:val="left"/>
              </w:pPr>
              <w:r>
                <w:t xml:space="preserve">0.25</w:t>
              </w:r>
            </w:ins>
          </w:p>
        </w:tc>
        <w:tc>
          <w:tcPr/>
          <w:p>
            <w:ins w:id="10694" w:author="R2 Revision" w:date="2026-05-19T00:00:00Z">
              <w:pPr>
                <w:pStyle w:val="Compact"/>
                <w:jc w:val="left"/>
              </w:pPr>
              <w:r>
                <w:t xml:space="preserve">33</w:t>
              </w:r>
            </w:ins>
          </w:p>
        </w:tc>
        <w:tc>
          <w:tcPr/>
          <w:p>
            <w:ins w:id="10695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696" w:author="R2 Revision" w:date="2026-05-19T00:00:00Z">
              <w:pPr>
                <w:pStyle w:val="Compact"/>
                <w:jc w:val="left"/>
              </w:pPr>
              <w:r>
                <w:t xml:space="preserve">Exclusion-adjusted</w:t>
              </w:r>
              <w:r>
                <w:t xml:space="preserve"> </w:t>
              </w:r>
              <w:r>
                <w:t xml:space="preserve">float</w:t>
              </w:r>
            </w:ins>
          </w:p>
        </w:tc>
        <w:tc>
          <w:tcPr/>
          <w:p>
            <w:ins w:id="1069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698" w:author="R2 Revision" w:date="2026-05-19T00:00:00Z">
              <w:pPr>
                <w:pStyle w:val="Compact"/>
                <w:jc w:val="left"/>
              </w:pPr>
              <w:r>
                <w:t xml:space="preserve">−0.003</w:t>
              </w:r>
            </w:ins>
          </w:p>
        </w:tc>
        <w:tc>
          <w:tcPr/>
          <w:p>
            <w:ins w:id="10699" w:author="R2 Revision" w:date="2026-05-19T00:00:00Z">
              <w:pPr>
                <w:pStyle w:val="Compact"/>
                <w:jc w:val="left"/>
              </w:pPr>
              <w:r>
                <w:t xml:space="preserve">0.99</w:t>
              </w:r>
            </w:ins>
          </w:p>
        </w:tc>
        <w:tc>
          <w:tcPr/>
          <w:p>
            <w:ins w:id="10700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01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02" w:author="R2 Revision" w:date="2026-05-19T00:00:00Z">
              <w:pPr>
                <w:pStyle w:val="Compact"/>
                <w:jc w:val="left"/>
              </w:pPr>
              <w:r>
                <w:t xml:space="preserve">Insider count</w:t>
              </w:r>
              <w:r>
                <w:t xml:space="preserve"> </w:t>
              </w:r>
              <w:r>
                <w:t xml:space="preserve">fraction (top-10)</w:t>
              </w:r>
            </w:ins>
          </w:p>
        </w:tc>
        <w:tc>
          <w:tcPr/>
          <w:p>
            <w:ins w:id="10703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04" w:author="R2 Revision" w:date="2026-05-19T00:00:00Z">
              <w:pPr>
                <w:pStyle w:val="Compact"/>
                <w:jc w:val="left"/>
              </w:pPr>
              <w:r>
                <w:t xml:space="preserve">0.44</w:t>
              </w:r>
            </w:ins>
          </w:p>
        </w:tc>
        <w:tc>
          <w:tcPr/>
          <w:p>
            <w:ins w:id="10705" w:author="R2 Revision" w:date="2026-05-19T00:00:00Z">
              <w:pPr>
                <w:pStyle w:val="Compact"/>
                <w:jc w:val="left"/>
              </w:pPr>
              <w:r>
                <w:t xml:space="preserve">0.005</w:t>
              </w:r>
            </w:ins>
          </w:p>
        </w:tc>
        <w:tc>
          <w:tcPr/>
          <w:p>
            <w:ins w:id="10706" w:author="R2 Revision" w:date="2026-05-19T00:00:00Z">
              <w:pPr>
                <w:pStyle w:val="Compact"/>
                <w:jc w:val="left"/>
              </w:pPr>
              <w:r>
                <w:t xml:space="preserve">39</w:t>
              </w:r>
            </w:ins>
          </w:p>
        </w:tc>
        <w:tc>
          <w:tcPr/>
          <w:p>
            <w:ins w:id="10707" w:author="R2 Revision" w:date="2026-05-19T00:00:00Z">
              <w:pPr>
                <w:pStyle w:val="Compact"/>
                <w:jc w:val="left"/>
              </w:pPr>
              <w:r>
                <w:t xml:space="preserve">Significant*</w:t>
              </w:r>
            </w:ins>
          </w:p>
        </w:tc>
      </w:tr>
      <w:tr>
        <w:tc>
          <w:tcPr/>
          <w:p>
            <w:ins w:id="10708" w:author="R2 Revision" w:date="2026-05-19T00:00:00Z">
              <w:pPr>
                <w:pStyle w:val="Compact"/>
                <w:jc w:val="left"/>
              </w:pPr>
              <w:r>
                <w:t xml:space="preserve">Non-insider HHI, V1</w:t>
              </w:r>
              <w:r>
                <w:t xml:space="preserve"> </w:t>
              </w:r>
              <w:r>
                <w:t xml:space="preserve">(count)</w:t>
              </w:r>
            </w:ins>
          </w:p>
        </w:tc>
        <w:tc>
          <w:tcPr/>
          <w:p>
            <w:ins w:id="10709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0" w:author="R2 Revision" w:date="2026-05-19T00:00:00Z">
              <w:pPr>
                <w:pStyle w:val="Compact"/>
                <w:jc w:val="left"/>
              </w:pPr>
              <w:r>
                <w:t xml:space="preserve">0.54</w:t>
              </w:r>
            </w:ins>
          </w:p>
        </w:tc>
        <w:tc>
          <w:tcPr/>
          <w:p>
            <w:ins w:id="10711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12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3" w:author="R2 Revision" w:date="2026-05-19T00:00:00Z">
              <w:pPr>
                <w:pStyle w:val="Compact"/>
                <w:jc w:val="left"/>
              </w:pPr>
              <w:r>
                <w:t xml:space="preserve">Tautology-checked</w:t>
              </w:r>
            </w:ins>
          </w:p>
        </w:tc>
      </w:tr>
      <w:tr>
        <w:tc>
          <w:tcPr/>
          <w:p>
            <w:ins w:id="10714" w:author="R2 Revision" w:date="2026-05-19T00:00:00Z">
              <w:pPr>
                <w:pStyle w:val="Compact"/>
                <w:jc w:val="left"/>
              </w:pPr>
              <w:r>
                <w:t xml:space="preserve">Non-insider HHI, V2</w:t>
              </w:r>
              <w:r>
                <w:t xml:space="preserve"> </w:t>
              </w:r>
              <w:r>
                <w:t xml:space="preserve">(balance)</w:t>
              </w:r>
            </w:ins>
          </w:p>
        </w:tc>
        <w:tc>
          <w:tcPr/>
          <w:p>
            <w:ins w:id="10715" w:author="R2 Revision" w:date="2026-05-19T00:00:00Z">
              <w:pPr>
                <w:pStyle w:val="Compact"/>
                <w:jc w:val="left"/>
              </w:pPr>
              <w:r>
                <w:t xml:space="preserve">Spearman ρ</w:t>
              </w:r>
            </w:ins>
          </w:p>
        </w:tc>
        <w:tc>
          <w:tcPr/>
          <w:p>
            <w:ins w:id="10716" w:author="R2 Revision" w:date="2026-05-19T00:00:00Z">
              <w:pPr>
                <w:pStyle w:val="Compact"/>
                <w:jc w:val="left"/>
              </w:pPr>
              <w:r>
                <w:t xml:space="preserve">0.33</w:t>
              </w:r>
            </w:ins>
          </w:p>
        </w:tc>
        <w:tc>
          <w:tcPr/>
          <w:p>
            <w:ins w:id="10717" w:author="R2 Revision" w:date="2026-05-19T00:00:00Z">
              <w:pPr>
                <w:pStyle w:val="Compact"/>
                <w:jc w:val="left"/>
              </w:pPr>
              <w:r>
                <w:t xml:space="preserve">0.060</w:t>
              </w:r>
            </w:ins>
          </w:p>
        </w:tc>
        <w:tc>
          <w:tcPr/>
          <w:p>
            <w:ins w:id="10718" w:author="R2 Revision" w:date="2026-05-19T00:00:00Z">
              <w:pPr>
                <w:pStyle w:val="Compact"/>
                <w:jc w:val="left"/>
              </w:pPr>
              <w:r>
                <w:t xml:space="preserve">34</w:t>
              </w:r>
            </w:ins>
          </w:p>
        </w:tc>
        <w:tc>
          <w:tcPr/>
          <w:p>
            <w:ins w:id="10719" w:author="R2 Revision" w:date="2026-05-19T00:00:00Z">
              <w:pPr>
                <w:pStyle w:val="Compact"/>
                <w:jc w:val="left"/>
              </w:pPr>
              <w:r>
                <w:t xml:space="preserve">Does not survive</w:t>
              </w:r>
            </w:ins>
          </w:p>
        </w:tc>
      </w:tr>
      <w:tr>
        <w:tc>
          <w:tcPr/>
          <w:p>
            <w:ins w:id="10720" w:author="R2 Revision" w:date="2026-05-19T00:00:00Z">
              <w:pPr>
                <w:pStyle w:val="Compact"/>
                <w:jc w:val="left"/>
              </w:pPr>
              <w:r>
                <w:t xml:space="preserve">Subsidy ratio</w:t>
              </w:r>
              <w:r>
                <w:t xml:space="preserve"> </w:t>
              </w:r>
              <w:r>
                <w:t xml:space="preserve">(cross-sector)</w:t>
              </w:r>
            </w:ins>
          </w:p>
        </w:tc>
        <w:tc>
          <w:tcPr/>
          <w:p>
            <w:ins w:id="10721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2" w:author="R2 Revision" w:date="2026-05-19T00:00:00Z">
              <w:pPr>
                <w:pStyle w:val="Compact"/>
                <w:jc w:val="left"/>
              </w:pPr>
              <w:r>
                <w:t xml:space="preserve">0.69</w:t>
              </w:r>
            </w:ins>
          </w:p>
        </w:tc>
        <w:tc>
          <w:tcPr/>
          <w:p>
            <w:ins w:id="10723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  <w:tc>
          <w:tcPr/>
          <w:p>
            <w:ins w:id="10724" w:author="R2 Revision" w:date="2026-05-19T00:00:00Z">
              <w:pPr>
                <w:pStyle w:val="Compact"/>
                <w:jc w:val="left"/>
              </w:pPr>
              <w:r>
                <w:t xml:space="preserve">20</w:t>
              </w:r>
            </w:ins>
          </w:p>
        </w:tc>
        <w:tc>
          <w:tcPr/>
          <w:p>
            <w:ins w:id="10725" w:author="R2 Revision" w:date="2026-05-19T00:00:00Z">
              <w:pPr>
                <w:pStyle w:val="Compact"/>
                <w:jc w:val="left"/>
              </w:pPr>
              <w:r>
                <w:t xml:space="preserve">Fragile (LPT-driven)</w:t>
              </w:r>
            </w:ins>
          </w:p>
        </w:tc>
      </w:tr>
      <w:tr>
        <w:tc>
          <w:tcPr/>
          <w:p>
            <w:ins w:id="10726" w:author="R2 Revision" w:date="2026-05-19T00:00:00Z">
              <w:pPr>
                <w:pStyle w:val="Compact"/>
                <w:jc w:val="left"/>
              </w:pPr>
              <w:r>
                <w:t xml:space="preserve">Subsidy ratio (TT</w:t>
              </w:r>
              <w:r>
                <w:t xml:space="preserve"> </w:t>
              </w:r>
              <w:r>
                <w:t xml:space="preserve">expanded)</w:t>
              </w:r>
            </w:ins>
          </w:p>
        </w:tc>
        <w:tc>
          <w:tcPr/>
          <w:p>
            <w:ins w:id="10727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28" w:author="R2 Revision" w:date="2026-05-19T00:00:00Z">
              <w:pPr>
                <w:pStyle w:val="Compact"/>
                <w:jc w:val="left"/>
              </w:pPr>
              <w:r>
                <w:t xml:space="preserve">0.10</w:t>
              </w:r>
            </w:ins>
          </w:p>
        </w:tc>
        <w:tc>
          <w:tcPr/>
          <w:p>
            <w:ins w:id="10729" w:author="R2 Revision" w:date="2026-05-19T00:00:00Z">
              <w:pPr>
                <w:pStyle w:val="Compact"/>
                <w:jc w:val="left"/>
              </w:pPr>
              <w:r>
                <w:t xml:space="preserve">0.674</w:t>
              </w:r>
            </w:ins>
          </w:p>
        </w:tc>
        <w:tc>
          <w:tcPr/>
          <w:p>
            <w:ins w:id="10730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1" w:author="R2 Revision" w:date="2026-05-19T00:00:00Z">
              <w:pPr>
                <w:pStyle w:val="Compact"/>
                <w:jc w:val="left"/>
              </w:pPr>
              <w:r>
                <w:t xml:space="preserve">Null (robustness check)</w:t>
              </w:r>
            </w:ins>
          </w:p>
        </w:tc>
      </w:tr>
      <w:tr>
        <w:tc>
          <w:tcPr/>
          <w:p>
            <w:ins w:id="10732" w:author="R2 Revision" w:date="2026-05-19T00:00:00Z">
              <w:pPr>
                <w:pStyle w:val="Compact"/>
                <w:jc w:val="left"/>
              </w:pPr>
              <w:r>
                <w:t xml:space="preserve">Subsidy ratio (excl.</w:t>
              </w:r>
              <w:r>
                <w:t xml:space="preserve"> </w:t>
              </w:r>
              <w:r>
                <w:t xml:space="preserve">Livepeer)</w:t>
              </w:r>
            </w:ins>
          </w:p>
        </w:tc>
        <w:tc>
          <w:tcPr/>
          <w:p>
            <w:ins w:id="10733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34" w:author="R2 Revision" w:date="2026-05-19T00:00:00Z">
              <w:pPr>
                <w:pStyle w:val="Compact"/>
                <w:jc w:val="left"/>
              </w:pPr>
              <w:r>
                <w:t xml:space="preserve">0.45</w:t>
              </w:r>
            </w:ins>
          </w:p>
        </w:tc>
        <w:tc>
          <w:tcPr/>
          <w:p>
            <w:ins w:id="10735" w:author="R2 Revision" w:date="2026-05-19T00:00:00Z">
              <w:pPr>
                <w:pStyle w:val="Compact"/>
                <w:jc w:val="left"/>
              </w:pPr>
              <w:r>
                <w:t xml:space="preserve">0.05</w:t>
              </w:r>
            </w:ins>
          </w:p>
        </w:tc>
        <w:tc>
          <w:tcPr/>
          <w:p>
            <w:ins w:id="10736" w:author="R2 Revision" w:date="2026-05-19T00:00:00Z">
              <w:pPr>
                <w:pStyle w:val="Compact"/>
                <w:jc w:val="left"/>
              </w:pPr>
              <w:r>
                <w:t xml:space="preserve">19</w:t>
              </w:r>
            </w:ins>
          </w:p>
        </w:tc>
        <w:tc>
          <w:tcPr/>
          <w:p>
            <w:ins w:id="10737" w:author="R2 Revision" w:date="2026-05-19T00:00:00Z">
              <w:pPr>
                <w:pStyle w:val="Compact"/>
                <w:jc w:val="left"/>
              </w:pPr>
              <w:r>
                <w:t xml:space="preserve">Null</w:t>
              </w:r>
            </w:ins>
          </w:p>
        </w:tc>
      </w:tr>
      <w:tr>
        <w:tc>
          <w:tcPr/>
          <w:p>
            <w:ins w:id="10738" w:author="R2 Revision" w:date="2026-05-19T00:00:00Z">
              <w:pPr>
                <w:pStyle w:val="Compact"/>
                <w:jc w:val="left"/>
              </w:pPr>
              <w:r>
                <w:t xml:space="preserve">DePIN sector (dummy)</w:t>
              </w:r>
            </w:ins>
          </w:p>
        </w:tc>
        <w:tc>
          <w:tcPr/>
          <w:p>
            <w:ins w:id="10739" w:author="R2 Revision" w:date="2026-05-19T00:00:00Z">
              <w:pPr>
                <w:pStyle w:val="Compact"/>
                <w:jc w:val="left"/>
              </w:pPr>
              <w:r>
                <w:t xml:space="preserve">Mann-Whitney</w:t>
              </w:r>
            </w:ins>
          </w:p>
        </w:tc>
        <w:tc>
          <w:tcPr/>
          <w:p>
            <w:ins w:id="10740" w:author="R2 Revision" w:date="2026-05-19T00:00:00Z">
              <w:pPr>
                <w:pStyle w:val="Compact"/>
                <w:jc w:val="left"/>
              </w:pPr>
              <w:r>
                <w:t xml:space="preserve">U=172</w:t>
              </w:r>
            </w:ins>
          </w:p>
        </w:tc>
        <w:tc>
          <w:tcPr/>
          <w:p>
            <w:ins w:id="10741" w:author="R2 Revision" w:date="2026-05-19T00:00:00Z">
              <w:pPr>
                <w:pStyle w:val="Compact"/>
                <w:jc w:val="left"/>
              </w:pPr>
              <w:r>
                <w:t xml:space="preserve">0.016</w:t>
              </w:r>
            </w:ins>
          </w:p>
        </w:tc>
        <w:tc>
          <w:tcPr/>
          <w:p>
            <w:ins w:id="10742" w:author="R2 Revision" w:date="2026-05-19T00:00:00Z">
              <w:pPr>
                <w:pStyle w:val="Compact"/>
                <w:jc w:val="left"/>
              </w:pPr>
              <w:r>
                <w:t xml:space="preserve">30</w:t>
              </w:r>
            </w:ins>
          </w:p>
        </w:tc>
        <w:tc>
          <w:tcPr/>
          <w:p>
            <w:ins w:id="10743" w:author="R2 Revision" w:date="2026-05-19T00:00:00Z">
              <w:pPr>
                <w:pStyle w:val="Compact"/>
                <w:jc w:val="left"/>
              </w:pPr>
              <w:r>
                <w:t xml:space="preserve">Robust (30/30 LOO)</w:t>
              </w:r>
            </w:ins>
          </w:p>
        </w:tc>
      </w:tr>
      <w:tr>
        <w:tc>
          <w:tcPr/>
          <w:p>
            <w:ins w:id="10744" w:author="R2 Revision" w:date="2026-05-19T00:00:00Z">
              <w:pPr>
                <w:pStyle w:val="Compact"/>
                <w:jc w:val="left"/>
              </w:pPr>
              <w:r>
                <w:t xml:space="preserve">HHI-Gini</w:t>
              </w:r>
            </w:ins>
          </w:p>
        </w:tc>
        <w:tc>
          <w:tcPr/>
          <w:p>
            <w:ins w:id="10745" w:author="R2 Revision" w:date="2026-05-19T00:00:00Z">
              <w:pPr>
                <w:pStyle w:val="Compact"/>
                <w:jc w:val="left"/>
              </w:pPr>
              <w:r>
                <w:t xml:space="preserve">Pearson r</w:t>
              </w:r>
            </w:ins>
          </w:p>
        </w:tc>
        <w:tc>
          <w:tcPr/>
          <w:p>
            <w:ins w:id="10746" w:author="R2 Revision" w:date="2026-05-19T00:00:00Z">
              <w:pPr>
                <w:pStyle w:val="Compact"/>
                <w:jc w:val="left"/>
              </w:pPr>
              <w:r>
                <w:t xml:space="preserve">0.62</w:t>
              </w:r>
            </w:ins>
          </w:p>
        </w:tc>
        <w:tc>
          <w:tcPr/>
          <w:p>
            <w:ins w:id="10747" w:author="R2 Revision" w:date="2026-05-19T00:00:00Z">
              <w:pPr>
                <w:pStyle w:val="Compact"/>
                <w:jc w:val="left"/>
              </w:pPr>
              <w:r>
                <w:t xml:space="preserve">&lt;0.001</w:t>
              </w:r>
            </w:ins>
          </w:p>
        </w:tc>
        <w:tc>
          <w:tcPr/>
          <w:p>
            <w:ins w:id="10748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749" w:author="R2 Revision" w:date="2026-05-19T00:00:00Z">
              <w:pPr>
                <w:pStyle w:val="Compact"/>
                <w:jc w:val="left"/>
              </w:pPr>
              <w:r>
                <w:t xml:space="preserve">Significant</w:t>
              </w:r>
            </w:ins>
          </w:p>
        </w:tc>
      </w:tr>
    </w:tbl>
    <w:p>
      <w:ins w:id="1075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Bivariate associations between protocol characteristics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governance concentration (HHI). Allocation, maturity, and float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specifications are null. Insider wallet presence is significant but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balance-based measure does not survive a tautology check (Section 3.4).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is significant in levels but driven entirely by Livepeer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(Section 3.7). * LOO-robust (39/39). MCap = market capitalization; FDV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fully diluted valuation.</w:t>
        </w:r>
      </w:ins>
    </w:p>
    <w:p>
      <w:ins w:id="10751" w:author="R2 Revision" w:date="2026-05-19T00:00:00Z">
        <w:pPr>
          <w:pStyle w:val="BodyText"/>
        </w:pPr>
        <w:r>
          <w:t xml:space="preserve">To understand why allocation is uninformative, we classify each</w:t>
        </w:r>
        <w:r>
          <w:t xml:space="preserve"> </w:t>
        </w:r>
        <w:r>
          <w:t xml:space="preserve">protocol’s top-10 post-exclusion holders using a three-tier methodology:</w:t>
        </w:r>
        <w:r>
          <w:t xml:space="preserve"> </w:t>
        </w:r>
        <w:r>
          <w:t xml:space="preserve">Tier 1 identifies addresses via Blockscout labels and Dune exchange</w:t>
        </w:r>
        <w:r>
          <w:t xml:space="preserve"> </w:t>
        </w:r>
        <w:r>
          <w:t xml:space="preserve">tags; Tier 2 inspects contract bytecode (SafeProxy, GnosisSafe, vesting</w:t>
        </w:r>
        <w:r>
          <w:t xml:space="preserve"> </w:t>
        </w:r>
        <w:r>
          <w:t xml:space="preserve">contracts) via Blockscout’s implementation field; Tier 3 applies</w:t>
        </w:r>
        <w:r>
          <w:t xml:space="preserve"> </w:t>
        </w:r>
        <w:r>
          <w:t xml:space="preserve">Etherscan named-address matching. Of 390 addresses classified across 39</w:t>
        </w:r>
        <w:r>
          <w:t xml:space="preserve"> </w:t>
        </w:r>
        <w:r>
          <w:t xml:space="preserve">tokens, 119 (30.5%) are identifiable as insider wallets (team,</w:t>
        </w:r>
        <w:r>
          <w:t xml:space="preserve"> </w:t>
        </w:r>
        <w:r>
          <w:t xml:space="preserve">foundation, or investor multisigs), 67 (17.2%) are exchange addresses,</w:t>
        </w:r>
        <w:r>
          <w:t xml:space="preserve"> </w:t>
        </w:r>
        <w:r>
          <w:t xml:space="preserve">78 (20.0%) are protocol contracts, and 126 (32.3%) remain unclassified.</w:t>
        </w:r>
        <w:r>
          <w:t xml:space="preserve"> </w:t>
        </w:r>
        <w:r>
          <w:t xml:space="preserve">The 78 protocol contracts identified here differ from the 126</w:t>
        </w:r>
        <w:r>
          <w:t xml:space="preserve"> </w:t>
        </w:r>
        <w:r>
          <w:t xml:space="preserve">protocol-controlled addresses excluded from HHI computation. The 78</w:t>
        </w:r>
        <w:r>
          <w:t xml:space="preserve"> </w:t>
        </w:r>
        <w:r>
          <w:t xml:space="preserve">figure counts protocol-contract addresses across the top-10 holders of</w:t>
        </w:r>
        <w:r>
          <w:t xml:space="preserve"> </w:t>
        </w:r>
        <w:r>
          <w:t xml:space="preserve">39 tokens. The 126 figure counts excluded addresses across the</w:t>
        </w:r>
        <w:r>
          <w:t xml:space="preserve"> </w:t>
        </w:r>
        <w:r>
          <w:t xml:space="preserve">top-1,000 holders of the 38 protocols with documented PCA exclusions.</w:t>
        </w:r>
        <w:r>
          <w:t xml:space="preserve"> </w:t>
        </w:r>
        <w:r>
          <w:t xml:space="preserve">The samples and windows differ; the two numbers are not</w:t>
        </w:r>
        <w:r>
          <w:t xml:space="preserve"> </w:t>
        </w:r>
        <w:r>
          <w:t xml:space="preserve">interchangeable.</w:t>
        </w:r>
      </w:ins>
    </w:p>
    <w:p>
      <w:ins w:id="10752" w:author="R2 Revision" w:date="2026-05-19T00:00:00Z">
        <w:pPr>
          <w:pStyle w:val="BodyText"/>
        </w:pPr>
        <w:r>
          <w:t xml:space="preserve">Protocols whose insider wallets retain top-holder positions tend to</w:t>
        </w:r>
        <w:r>
          <w:t xml:space="preserve"> </w:t>
        </w:r>
        <w:r>
          <w:t xml:space="preserve">exhibit higher governance concentration (Spearman rho = 0.48, p = 0.003,</w:t>
        </w:r>
        <w:r>
          <w:t xml:space="preserve"> </w:t>
        </w:r>
        <w:r>
          <w:t xml:space="preserve">N = 37), robust across all 37 leave-one-out iterations (rho range: 0.45</w:t>
        </w:r>
        <w:r>
          <w:t xml:space="preserve"> </w:t>
        </w:r>
        <w:r>
          <w:t xml:space="preserve">to 0.55). However, this association has a mechanical component: insider</w:t>
        </w:r>
        <w:r>
          <w:t xml:space="preserve"> </w:t>
        </w:r>
        <w:r>
          <w:t xml:space="preserve">wallets with large balances contribute directly to HHI through the</w:t>
        </w:r>
        <w:r>
          <w:t xml:space="preserve"> </w:t>
        </w:r>
        <w:r>
          <w:t xml:space="preserve">squared-share calculation. To verify that the relationship is not a</w:t>
        </w:r>
        <w:r>
          <w:t xml:space="preserve"> </w:t>
        </w:r>
        <w:r>
          <w:t xml:space="preserve">tautological artifact, we recomputed concentration after excluding</w:t>
        </w:r>
        <w:r>
          <w:t xml:space="preserve"> </w:t>
        </w:r>
        <w:r>
          <w:t xml:space="preserve">insider addresses and renormalizing remaining shares. The count-based</w:t>
        </w:r>
        <w:r>
          <w:t xml:space="preserve"> </w:t>
        </w:r>
        <w:r>
          <w:t xml:space="preserve">measure survives: non-insider HHI remains significantly correlated with</w:t>
        </w:r>
        <w:r>
          <w:t xml:space="preserve"> </w:t>
        </w:r>
        <w:r>
          <w:t xml:space="preserve">the fraction of top-10 holders that are insiders (Spearman rho = 0.54, p</w:t>
        </w:r>
        <w:r>
          <w:t xml:space="preserve"> </w:t>
        </w:r>
        <w:r>
          <w:t xml:space="preserve">= 0.001, N = 34), indicating that insider-heavy protocols have</w:t>
        </w:r>
        <w:r>
          <w:t xml:space="preserve"> </w:t>
        </w:r>
        <w:r>
          <w:t xml:space="preserve">concentrated governance ecosystems, not merely concentrated insider</w:t>
        </w:r>
        <w:r>
          <w:t xml:space="preserve"> </w:t>
        </w:r>
        <w:r>
          <w:t xml:space="preserve">positions. The balance-based measure loses significance (rho = 0.33, p =</w:t>
        </w:r>
        <w:r>
          <w:t xml:space="preserve"> </w:t>
        </w:r>
        <w:r>
          <w:t xml:space="preserve">0.060), consistent with it capturing the mechanical contribution of</w:t>
        </w:r>
        <w:r>
          <w:t xml:space="preserve"> </w:t>
        </w:r>
        <w:r>
          <w:t xml:space="preserve">large insider stakes rather than a structural relationship. The</w:t>
        </w:r>
        <w:r>
          <w:t xml:space="preserve"> </w:t>
        </w:r>
        <w:r>
          <w:t xml:space="preserve">informative finding is not the insider correlation per se but its</w:t>
        </w:r>
        <w:r>
          <w:t xml:space="preserve"> </w:t>
        </w:r>
        <w:r>
          <w:t xml:space="preserve">contrast with allocation design: what matters is not how tokens were</w:t>
        </w:r>
        <w:r>
          <w:t xml:space="preserve"> </w:t>
        </w:r>
        <w:r>
          <w:t xml:space="preserve">designed to be distributed, but whether the recipients retained or sold</w:t>
        </w:r>
        <w:r>
          <w:t xml:space="preserve"> </w:t>
        </w:r>
        <w:r>
          <w:t xml:space="preserve">their positions.</w:t>
        </w:r>
      </w:ins>
    </w:p>
    <w:p>
      <w:ins w:id="10753" w:author="R2 Revision" w:date="2026-05-19T00:00:00Z">
        <w:pPr>
          <w:pStyle w:val="BodyText"/>
        </w:pPr>
        <w:r>
          <w:t xml:space="preserve">The divergence between allocation design (null) and current insider</w:t>
        </w:r>
        <w:r>
          <w:t xml:space="preserve"> </w:t>
        </w:r>
        <w:r>
          <w:t xml:space="preserve">presence (descriptive mechanism) carries a design implication.</w:t>
        </w:r>
        <w:r>
          <w:t xml:space="preserve"> </w:t>
        </w:r>
        <w:r>
          <w:t xml:space="preserve">Governance concentration is not determined at launch; it emerges from</w:t>
        </w:r>
        <w:r>
          <w:t xml:space="preserve"> </w:t>
        </w:r>
        <w:r>
          <w:t xml:space="preserve">post-distribution dynamics. The allocation null (Section 3.4) is also</w:t>
        </w:r>
        <w:r>
          <w:t xml:space="preserve"> </w:t>
        </w:r>
        <w:r>
          <w:t xml:space="preserve">consistent with Michels’ (1911) observation that organizational</w:t>
        </w:r>
        <w:r>
          <w:t xml:space="preserve"> </w:t>
        </w:r>
        <w:r>
          <w:t xml:space="preserve">complexity inevitably concentrates power in a specialized leadership</w:t>
        </w:r>
        <w:r>
          <w:t xml:space="preserve"> </w:t>
        </w:r>
        <w:r>
          <w:t xml:space="preserve">class: early protocols’ commitment to governance minimization, the</w:t>
        </w:r>
        <w:r>
          <w:t xml:space="preserve"> </w:t>
        </w:r>
        <w:r>
          <w:t xml:space="preserve">assumption that minimal on-chain rules would produce emergent</w:t>
        </w:r>
        <w:r>
          <w:t xml:space="preserve"> </w:t>
        </w:r>
        <w:r>
          <w:t xml:space="preserve">decentralization is inconsistent with the concentration patterns the</w:t>
        </w:r>
        <w:r>
          <w:t xml:space="preserve"> </w:t>
        </w:r>
        <w:r>
          <w:t xml:space="preserve">ideology sought to prevent. Protocols whose insiders retain their</w:t>
        </w:r>
        <w:r>
          <w:t xml:space="preserve"> </w:t>
        </w:r>
        <w:r>
          <w:t xml:space="preserve">positions exhibit more concentrated governance outcomes, regardless of</w:t>
        </w:r>
        <w:r>
          <w:t xml:space="preserve"> </w:t>
        </w:r>
        <w:r>
          <w:t xml:space="preserve">how generously the initial allocation was designed. The count-based</w:t>
        </w:r>
        <w:r>
          <w:t xml:space="preserve"> </w:t>
        </w:r>
        <w:r>
          <w:t xml:space="preserve">tautology check (rho = 0.54 on non-insider HHI) suggests this is not</w:t>
        </w:r>
        <w:r>
          <w:t xml:space="preserve"> </w:t>
        </w:r>
        <w:r>
          <w:t xml:space="preserve">merely arithmetic: insider-heavy protocols attract or retain</w:t>
        </w:r>
        <w:r>
          <w:t xml:space="preserve"> </w:t>
        </w:r>
        <w:r>
          <w:t xml:space="preserve">concentrated non-insider holders as well, consistent with a pattern</w:t>
        </w:r>
        <w:r>
          <w:t xml:space="preserve"> </w:t>
        </w:r>
        <w:r>
          <w:t xml:space="preserve">where concentrated insider presence attracts or coexists with</w:t>
        </w:r>
        <w:r>
          <w:t xml:space="preserve"> </w:t>
        </w:r>
        <w:r>
          <w:t xml:space="preserve">concentrated non-insider holders, rather than insider balances alone</w:t>
        </w:r>
        <w:r>
          <w:t xml:space="preserve"> </w:t>
        </w:r>
        <w:r>
          <w:t xml:space="preserve">inflating the metric.</w:t>
        </w:r>
      </w:ins>
    </w:p>
    <w:p>
      <w:ins w:id="10754" w:author="R2 Revision" w:date="2026-05-19T00:00:00Z">
        <w:pPr>
          <w:pStyle w:val="BodyText"/>
        </w:pPr>
        <w:r>
          <w:drawing>
            <wp:inline>
              <wp:extent cx="5029200" cy="3294092"/>
              <wp:effectExtent b="0" l="0" r="0" t="0"/>
              <wp:docPr descr="" title="" id="89" name="Picture"/>
              <a:graphic>
                <a:graphicData uri="http://schemas.openxmlformats.org/drawingml/2006/picture">
                  <pic:pic>
                    <pic:nvPicPr>
                      <pic:cNvPr descr="media/exhibit_initial_allocation.png" id="90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88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9409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755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5.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Insider allocation (%) vs. post-exclusion holding HHI for 37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regression-ready protocols. The null relationship (r = 0.04, p = 0.84)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the paper’s lead finding: initial allocation design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post-distribution governance concentration.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absence of a downward slope is the finding; if insider allocation drove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we would expect a positive slope, and if 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overcorrected we would expect a negative slope.</w:t>
        </w:r>
      </w:ins>
    </w:p>
    <w:p>
      <w:ins w:id="10756" w:author="R2 Revision" w:date="2026-05-19T00:00:00Z">
        <w:pPr>
          <w:pStyle w:val="BodyText"/>
        </w:pPr>
        <w:r>
          <w:t xml:space="preserve">Hyperliquid provides the strongest available test of the allocation</w:t>
        </w:r>
        <w:r>
          <w:t xml:space="preserve"> </w:t>
        </w:r>
        <w:r>
          <w:t xml:space="preserve">design hypothesis. The protocol accepted zero venture capital,</w:t>
        </w:r>
        <w:r>
          <w:t xml:space="preserve"> </w:t>
        </w:r>
        <w:r>
          <w:t xml:space="preserve">distributed 31% of total supply via a single community airdrop (the</w:t>
        </w:r>
        <w:r>
          <w:t xml:space="preserve"> </w:t>
        </w:r>
        <w:r>
          <w:t xml:space="preserve">largest in crypto history by dollar value), and operates a deflationary</w:t>
        </w:r>
        <w:r>
          <w:t xml:space="preserve"> </w:t>
        </w:r>
        <w:r>
          <w:t xml:space="preserve">model where 97% of trading fees purchase and burn the native token; it</w:t>
        </w:r>
        <w:r>
          <w:t xml:space="preserve"> </w:t>
        </w:r>
        <w:r>
          <w:t xml:space="preserve">has no ongoing emissions. Five protocol-controlled addresses were</w:t>
        </w:r>
        <w:r>
          <w:t xml:space="preserve"> </w:t>
        </w:r>
        <w:r>
          <w:t xml:space="preserve">excluded from the HHI computation: the Assistance Fund system address</w:t>
        </w:r>
        <w:r>
          <w:t xml:space="preserve"> </w:t>
        </w:r>
        <w:r>
          <w:t xml:space="preserve">(confirmed in Hyperliquid documentation), the burn address, the</w:t>
        </w:r>
        <w:r>
          <w:t xml:space="preserve"> </w:t>
        </w:r>
        <w:r>
          <w:t xml:space="preserve">community rewards treasury (241 million tokens, matching the published</w:t>
        </w:r>
        <w:r>
          <w:t xml:space="preserve"> </w:t>
        </w:r>
        <w:r>
          <w:t xml:space="preserve">allocation), the Foundation treasury (60 million tokens, exactly 6% of</w:t>
        </w:r>
        <w:r>
          <w:t xml:space="preserve"> </w:t>
        </w:r>
        <w:r>
          <w:t xml:space="preserve">total supply), and the staking manager contract (confirmed via</w:t>
        </w:r>
        <w:r>
          <w:t xml:space="preserve"> </w:t>
        </w:r>
        <w:r>
          <w:t xml:space="preserve">Hypurrscan). The resulting HHI of 0.005 is the lowest in the DeFi</w:t>
        </w:r>
        <w:r>
          <w:t xml:space="preserve"> </w:t>
        </w:r>
        <w:r>
          <w:t xml:space="preserve">subsample (Lido at 0.008 is the second-lowest after the post-PCA-audit</w:t>
        </w:r>
        <w:r>
          <w:t xml:space="preserve"> </w:t>
        </w:r>
        <w:r>
          <w:t xml:space="preserve">exclusions, and Compound at 0.009 the third-lowest). Despite the</w:t>
        </w:r>
        <w:r>
          <w:t xml:space="preserve"> </w:t>
        </w:r>
        <w:r>
          <w:t xml:space="preserve">most community-favorable distribution</w:t>
        </w:r>
        <w:r>
          <w:t xml:space="preserve"> </w:t>
        </w:r>
        <w:r>
          <w:t xml:space="preserve">architecture in the sample, this single observation cannot establish a</w:t>
        </w:r>
        <w:r>
          <w:t xml:space="preserve"> </w:t>
        </w:r>
        <w:r>
          <w:t xml:space="preserve">causal claim on its own. The cross-sectional null (Pearson r = 0.04, p = 0.84, N = 37) shows that protocols across the full range of</w:t>
        </w:r>
        <w:r>
          <w:t xml:space="preserve"> </w:t>
        </w:r>
        <w:r>
          <w:t xml:space="preserve">allocation designs achieve comparable concentration levels, consistent</w:t>
        </w:r>
        <w:r>
          <w:t xml:space="preserve"> </w:t>
        </w:r>
        <w:r>
          <w:t xml:space="preserve">with the finding that allocation design does not predict</w:t>
        </w:r>
        <w:r>
          <w:t xml:space="preserve"> </w:t>
        </w:r>
        <w:r>
          <w:t xml:space="preserve">post-distribution concentration.</w:t>
        </w:r>
      </w:ins>
    </w:p>
    <w:p>
      <w:ins w:id="10757" w:author="R2 Revision" w:date="2026-05-19T00:00:00Z">
        <w:pPr>
          <w:pStyle w:val="BodyText"/>
        </w:pPr>
        <w:r>
          <w:t xml:space="preserve">The governance concentration patterns documented across the sample</w:t>
        </w:r>
        <w:r>
          <w:t xml:space="preserve"> </w:t>
        </w:r>
        <w:r>
          <w:t xml:space="preserve">(Section 3.2, Table 4; HHI range 0.004 to 0.199) have normative</w:t>
        </w:r>
        <w:r>
          <w:t xml:space="preserve"> </w:t>
        </w:r>
        <w:r>
          <w:t xml:space="preserve">significance beyond descriptive interest. The theoretical framework</w:t>
        </w:r>
        <w:r>
          <w:t xml:space="preserve"> </w:t>
        </w:r>
        <w:r>
          <w:t xml:space="preserve">(Section 2.9) argues that governance concentration affects legitimacy</w:t>
        </w:r>
        <w:r>
          <w:t xml:space="preserve"> </w:t>
        </w:r>
        <w:r>
          <w:t xml:space="preserve">through multiple channels: publicity (Hypothesis 1) is undermined when a</w:t>
        </w:r>
        <w:r>
          <w:t xml:space="preserve"> </w:t>
        </w:r>
        <w:r>
          <w:t xml:space="preserve">dominant holder can shape governance agendas without meaningful</w:t>
        </w:r>
        <w:r>
          <w:t xml:space="preserve"> </w:t>
        </w:r>
        <w:r>
          <w:t xml:space="preserve">deliberation; the Rawlsian fairness lens similarly flags these</w:t>
        </w:r>
        <w:r>
          <w:t xml:space="preserve"> </w:t>
        </w:r>
        <w:r>
          <w:t xml:space="preserve">protocols: token distribution reflecting initial venture allocation</w:t>
        </w:r>
        <w:r>
          <w:t xml:space="preserve"> </w:t>
        </w:r>
        <w:r>
          <w:t xml:space="preserve">rather than contribution compromises the conditions for fair</w:t>
        </w:r>
        <w:r>
          <w:t xml:space="preserve"> </w:t>
        </w:r>
        <w:r>
          <w:t xml:space="preserve">institutional design. Contestability and non-domination (Hypothesis 2)</w:t>
        </w:r>
        <w:r>
          <w:t xml:space="preserve"> </w:t>
        </w:r>
        <w:r>
          <w:t xml:space="preserve">are directly threatened when minority stakeholders lack practical</w:t>
        </w:r>
        <w:r>
          <w:t xml:space="preserve"> </w:t>
        </w:r>
        <w:r>
          <w:t xml:space="preserve">ability to contest decisions.</w:t>
        </w:r>
        <w:r>
          <w:br/>
        </w:r>
        <w:r>
          <w:t xml:space="preserve">The normative framework interprets this DePIN concentration gap as a</w:t>
        </w:r>
        <w:r>
          <w:t xml:space="preserve"> </w:t>
        </w:r>
        <w:r>
          <w:t xml:space="preserve">legitimacy concern: if governance tokens are concentrated, the</w:t>
        </w:r>
        <w:r>
          <w:t xml:space="preserve"> </w:t>
        </w:r>
        <w:r>
          <w:t xml:space="preserve">conditions that the five traditions identify as essential for legitimacy</w:t>
        </w:r>
        <w:r>
          <w:t xml:space="preserve"> </w:t>
        </w:r>
        <w:r>
          <w:t xml:space="preserve">are structurally harder to satisfy. This interpretation is normative,</w:t>
        </w:r>
        <w:r>
          <w:t xml:space="preserve"> </w:t>
        </w:r>
        <w:r>
          <w:t xml:space="preserve">not causal; the concentration data are descriptive, and the legitimacy</w:t>
        </w:r>
        <w:r>
          <w:t xml:space="preserve"> </w:t>
        </w:r>
        <w:r>
          <w:t xml:space="preserve">inference follows from the framework rather than from direct observation</w:t>
        </w:r>
        <w:r>
          <w:t xml:space="preserve"> </w:t>
        </w:r>
        <w:r>
          <w:t xml:space="preserve">of governance quality. Testing that prediction requires the longitudinal</w:t>
        </w:r>
        <w:r>
          <w:t xml:space="preserve"> </w:t>
        </w:r>
        <w:r>
          <w:t xml:space="preserve">evidence beyond the scope of this paper.</w:t>
        </w:r>
      </w:ins>
    </w:p>
    <w:p>
      <w:ins w:id="10758" w:author="R2 Revision" w:date="2026-05-19T00:00:00Z">
        <w:pPr>
          <w:pStyle w:val="BodyText"/>
        </w:pPr>
        <w:r>
          <w:t xml:space="preserve">The null pattern extends beyond allocation to financial sustainability</w:t>
        </w:r>
        <w:r>
          <w:t xml:space="preserve"> </w:t>
        </w:r>
        <w:r>
          <w:t xml:space="preserve">more broadly. Three protocols with nearly identical subsidy ratios (DIMO</w:t>
        </w:r>
        <w:r>
          <w:t xml:space="preserve"> </w:t>
        </w:r>
        <w:r>
          <w:t xml:space="preserve">at 0.33x, Aethir at 0.36x, Aave at 0.37x) exhibit governance HHI values</w:t>
        </w:r>
        <w:r>
          <w:t xml:space="preserve"> </w:t>
        </w:r>
        <w:r>
          <w:t xml:space="preserve">of 0.025, 0.087, and 0.013 respectively. All three are revenue-dominant;</w:t>
        </w:r>
        <w:r>
          <w:t xml:space="preserve"> </w:t>
        </w:r>
        <w:r>
          <w:t xml:space="preserve">their concentration spans the full range of the 40-protocol sample.</w:t>
        </w:r>
        <w:r>
          <w:t xml:space="preserve"> </w:t>
        </w:r>
        <w:r>
          <w:t xml:space="preserve">Financial sustainability is neither necessary nor sufficient for</w:t>
        </w:r>
        <w:r>
          <w:t xml:space="preserve"> </w:t>
        </w:r>
        <w:r>
          <w:t xml:space="preserve">governance decentralization.</w:t>
        </w:r>
      </w:ins>
    </w:p>
    <w:p>
      <w:ins w:id="10759" w:author="R2 Revision" w:date="2026-05-19T00:00:00Z">
        <w:pPr>
          <w:pStyle w:val="BodyText"/>
        </w:pPr>
        <w:r>
          <w:t xml:space="preserve">Table 6 reports multivariate OLS regressions of HHI on protocol</w:t>
        </w:r>
        <w:r>
          <w:t xml:space="preserve"> </w:t>
        </w:r>
        <w:r>
          <w:t xml:space="preserve">characteristics. The DePIN coefficient is positive and statistically</w:t>
        </w:r>
        <w:r>
          <w:t xml:space="preserve"> </w:t>
        </w:r>
        <w:r>
          <w:t xml:space="preserve">significant in Models 1 and 2 (Model 1: 0.053, p = 0.008, N = 38; Model</w:t>
        </w:r>
        <w:r>
          <w:t xml:space="preserve"> </w:t>
        </w:r>
        <w:r>
          <w:t xml:space="preserve">2: 0.053, p = 0.036, N = 36) and just above the conventional 0.05</w:t>
        </w:r>
        <w:r>
          <w:t xml:space="preserve"> </w:t>
        </w:r>
        <w:r>
          <w:t xml:space="preserve">threshold in Model 3 (0.043, p = 0.078, N = 35). No other covariate</w:t>
        </w:r>
        <w:r>
          <w:t xml:space="preserve"> </w:t>
        </w:r>
        <w:r>
          <w:t xml:space="preserve">achieves p &lt; 0.10. In particular, the initial insider allocation</w:t>
        </w:r>
        <w:r>
          <w:t xml:space="preserve"> </w:t>
        </w:r>
        <w:r>
          <w:t xml:space="preserve">percentage used as a Table 6 covariate is not significant, consistent</w:t>
        </w:r>
        <w:r>
          <w:t xml:space="preserve"> </w:t>
        </w:r>
        <w:r>
          <w:t xml:space="preserve">with the bivariate null in Table 5. This is distinct from the current</w:t>
        </w:r>
        <w:r>
          <w:t xml:space="preserve"> </w:t>
        </w:r>
        <w:r>
          <w:t xml:space="preserve">insider-retention measure reported in Section 3.4 (Spearman rho = 0.48),</w:t>
        </w:r>
        <w:r>
          <w:t xml:space="preserve"> </w:t>
        </w:r>
        <w:r>
          <w:t xml:space="preserve">which counts how many of a protocol's top-10 holders are insiders</w:t>
        </w:r>
        <w:r>
          <w:t xml:space="preserve"> </w:t>
        </w:r>
        <w:r>
          <w:t xml:space="preserve">rather than measuring the share of supply allocated to insiders at</w:t>
        </w:r>
        <w:r>
          <w:t xml:space="preserve"> </w:t>
        </w:r>
        <w:r>
          <w:t xml:space="preserve">launch. The adjusted R-squared ranges from 0.15 to 0.19, indicating</w:t>
        </w:r>
        <w:r>
          <w:t xml:space="preserve"> </w:t>
        </w:r>
        <w:r>
          <w:t xml:space="preserve">that sector membership accounts for more cross-sectional variation than</w:t>
        </w:r>
        <w:r>
          <w:t xml:space="preserve"> </w:t>
        </w:r>
        <w:r>
          <w:t xml:space="preserve">protocol age, valuation, or allocation structure. The sample (N = 35 to 38 depending on</w:t>
        </w:r>
        <w:r>
          <w:t xml:space="preserve"> </w:t>
        </w:r>
        <w:r>
          <w:t xml:space="preserve">specification) remains too small to reliably isolate independent</w:t>
        </w:r>
        <w:r>
          <w:t xml:space="preserve"> </w:t>
        </w:r>
        <w:r>
          <w:t xml:space="preserve">effects; the pipeline specification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documents the infrastructure for replication at larger sample sizes.</w:t>
        </w:r>
      </w:ins>
    </w:p>
    <w:p>
      <w:ins w:id="10760" w:author="R2 Revision" w:date="2026-05-19T00:00:00Z">
        <w:pPr>
          <w:pStyle w:val="BodyText"/>
        </w:pPr>
        <w:r>
          <w:t xml:space="preserve">A bootstrap robustness check confirms the sector coefficient is</w:t>
        </w:r>
        <w:r>
          <w:t xml:space="preserve"> </w:t>
        </w:r>
        <w:r>
          <w:t xml:space="preserve">reliably positive across resampling under the full Model 3</w:t>
        </w:r>
        <w:r>
          <w:t xml:space="preserve"> </w:t>
        </w:r>
        <w:r>
          <w:t xml:space="preserve">specification. With 5,000 bootstrap resamples of the N=35 sample, the</w:t>
        </w:r>
        <w:r>
          <w:t xml:space="preserve"> </w:t>
        </w:r>
        <w:r>
          <w:t xml:space="preserve">DePIN coefficient bootstrap distribution centers at +0.054 with a</w:t>
        </w:r>
        <w:r>
          <w:t xml:space="preserve"> </w:t>
        </w:r>
        <w:r>
          <w:t xml:space="preserve">95% percentile interval of [+0.001, +0.091], strictly above zero.</w:t>
        </w:r>
        <w:r>
          <w:t xml:space="preserve"> </w:t>
        </w:r>
        <w:r>
          <w:t xml:space="preserve">The bootstrap-positive fraction is 98.0%.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sector dummy and the insider-allocation control: in</w:t>
        </w:r>
        <w:r>
          <w:t xml:space="preserve"> </w:t>
        </w:r>
        <w:r>
          <w:t xml:space="preserve">the cross-section, DePIN protocols cluster on higher insider</w:t>
        </w:r>
        <w:r>
          <w:t xml:space="preserve"> </w:t>
        </w:r>
        <w:r>
          <w:t xml:space="preserve">allocation than DeFi protocols, so a fraction of the sector</w:t>
        </w:r>
        <w:r>
          <w:t xml:space="preserve"> </w:t>
        </w:r>
        <w:r>
          <w:t xml:space="preserve">coefficient’s signal is absorbed by the insider variable when both</w:t>
        </w:r>
        <w:r>
          <w:t xml:space="preserve"> </w:t>
        </w:r>
        <w:r>
          <w:t xml:space="preserve">appear in the same model. This is consistent with the cross-sectional</w:t>
        </w:r>
        <w:r>
          <w:t xml:space="preserve"> </w:t>
        </w:r>
        <w:r>
          <w:t xml:space="preserve">allocation null (Table 5, Pearson r = 0.04 for insider allocation</w:t>
        </w:r>
        <w:r>
          <w:t xml:space="preserve"> </w:t>
        </w:r>
        <w:r>
          <w:t xml:space="preserve">alone) rather than indicating that the sector effect is fragile to</w:t>
        </w:r>
        <w:r>
          <w:t xml:space="preserve"> </w:t>
        </w:r>
        <w:r>
          <w:t xml:space="preserve">covariate inclusion. The N=35 multivariate sample also limits the</w:t>
        </w:r>
        <w:r>
          <w:t xml:space="preserve"> </w:t>
        </w:r>
        <w:r>
          <w:t xml:space="preserve">precision with which the sector coefficient can be statistically</w:t>
        </w:r>
        <w:r>
          <w:t xml:space="preserve"> </w:t>
        </w:r>
        <w:r>
          <w:t xml:space="preserve">isolated from correlated controls; the bootstrap robustness check</w:t>
        </w:r>
        <w:r>
          <w:t xml:space="preserve"> </w:t>
        </w:r>
        <w:r>
          <w:t xml:space="preserve">above is the more informative robustness statement under small-sample</w:t>
        </w:r>
        <w:r>
          <w:t xml:space="preserve"> </w:t>
        </w:r>
        <w:r>
          <w:t xml:space="preserve">multivariate conditions.</w:t>
        </w:r>
      </w:ins>
    </w:p>
    <w:tbl>
      <w:tblPr>
        <w:tblStyle w:val="Table"/>
        <w:tblW w:type="pct" w:w="4868"/>
        <w:tblLayout w:type="fixed"/>
        <w:tblLook w:firstRow="1" w:lastRow="0" w:firstColumn="0" w:lastColumn="0" w:noHBand="0" w:noVBand="0" w:val="0020"/>
      </w:tblPr>
      <w:tblGrid>
        <w:gridCol w:w="2709"/>
        <w:gridCol w:w="1667"/>
        <w:gridCol w:w="1667"/>
        <w:gridCol w:w="1667"/>
      </w:tblGrid>
      <w:tr>
        <w:trPr>
          <w:tblHeader w:val="on"/>
        </w:trPr>
        <w:tc>
          <w:tcPr/>
          <w:p>
            <w:ins w:id="10761" w:author="R2 Revision" w:date="2026-05-19T00:00:00Z">
              <w:pPr>
                <w:pStyle w:val="Compact"/>
              </w:pPr>
            </w:ins>
          </w:p>
        </w:tc>
        <w:tc>
          <w:tcPr/>
          <w:p>
            <w:ins w:id="1076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1</w:t>
              </w:r>
            </w:ins>
          </w:p>
        </w:tc>
        <w:tc>
          <w:tcPr/>
          <w:p>
            <w:ins w:id="1076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2</w:t>
              </w:r>
            </w:ins>
          </w:p>
        </w:tc>
        <w:tc>
          <w:tcPr/>
          <w:p>
            <w:ins w:id="1076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Model 3</w:t>
              </w:r>
            </w:ins>
          </w:p>
        </w:tc>
      </w:tr>
      <w:tr>
        <w:tc>
          <w:tcPr/>
          <w:p>
            <w:ins w:id="10765" w:author="R2 Revision" w:date="2026-05-19T00:00:00Z">
              <w:pPr>
                <w:pStyle w:val="Compact"/>
              </w:pPr>
              <w:r>
                <w:t xml:space="preserve">DePIN (vs DeFi)</w:t>
              </w:r>
            </w:ins>
          </w:p>
        </w:tc>
        <w:tc>
          <w:tcPr/>
          <w:p>
            <w:ins w:id="10766" w:author="R2 Revision" w:date="2026-05-19T00:00:00Z">
              <w:pPr>
                <w:pStyle w:val="Compact"/>
                <w:jc w:val="left"/>
              </w:pPr>
              <w:r>
                <w:t xml:space="preserve">0.045**</w:t>
              </w:r>
            </w:ins>
          </w:p>
        </w:tc>
        <w:tc>
          <w:tcPr/>
          <w:p>
            <w:ins w:id="10767" w:author="R2 Revision" w:date="2026-05-19T00:00:00Z">
              <w:pPr>
                <w:pStyle w:val="Compact"/>
                <w:jc w:val="left"/>
              </w:pPr>
              <w:r>
                <w:t xml:space="preserve">0.043**</w:t>
              </w:r>
            </w:ins>
          </w:p>
        </w:tc>
        <w:tc>
          <w:tcPr/>
          <w:p>
            <w:ins w:id="10768" w:author="R2 Revision" w:date="2026-05-19T00:00:00Z">
              <w:pPr>
                <w:pStyle w:val="Compact"/>
                <w:jc w:val="left"/>
              </w:pPr>
              <w:r>
                <w:t xml:space="preserve">0.043*</w:t>
              </w:r>
            </w:ins>
          </w:p>
        </w:tc>
      </w:tr>
      <w:tr>
        <w:tc>
          <w:tcPr/>
          <w:p>
            <w:ins w:id="10769" w:author="R2 Revision" w:date="2026-05-19T00:00:00Z">
              <w:pPr>
                <w:pStyle w:val="Compact"/>
              </w:pPr>
            </w:ins>
          </w:p>
        </w:tc>
        <w:tc>
          <w:tcPr/>
          <w:p>
            <w:ins w:id="10770" w:author="R2 Revision" w:date="2026-05-19T00:00:00Z">
              <w:pPr>
                <w:pStyle w:val="Compact"/>
                <w:jc w:val="left"/>
              </w:pPr>
              <w:r>
                <w:t xml:space="preserve">(0.020)</w:t>
              </w:r>
            </w:ins>
          </w:p>
        </w:tc>
        <w:tc>
          <w:tcPr/>
          <w:p>
            <w:ins w:id="10771" w:author="R2 Revision" w:date="2026-05-19T00:00:00Z">
              <w:pPr>
                <w:pStyle w:val="Compact"/>
                <w:jc w:val="left"/>
              </w:pPr>
              <w:r>
                <w:t xml:space="preserve">(0.025)</w:t>
              </w:r>
            </w:ins>
          </w:p>
        </w:tc>
        <w:tc>
          <w:tcPr/>
          <w:p>
            <w:ins w:id="10772" w:author="R2 Revision" w:date="2026-05-19T00:00:00Z">
              <w:pPr>
                <w:pStyle w:val="Compact"/>
                <w:jc w:val="left"/>
              </w:pPr>
              <w:r>
                <w:t xml:space="preserve">(0.029)</w:t>
              </w:r>
            </w:ins>
          </w:p>
        </w:tc>
      </w:tr>
      <w:tr>
        <w:tc>
          <w:tcPr/>
          <w:p>
            <w:ins w:id="10773" w:author="R2 Revision" w:date="2026-05-19T00:00:00Z">
              <w:pPr>
                <w:pStyle w:val="Compact"/>
              </w:pPr>
              <w:r>
                <w:t xml:space="preserve">L1/L2/Infra (vs DeFi)</w:t>
              </w:r>
            </w:ins>
          </w:p>
        </w:tc>
        <w:tc>
          <w:tcPr/>
          <w:p>
            <w:ins w:id="10774" w:author="R2 Revision" w:date="2026-05-19T00:00:00Z">
              <w:pPr>
                <w:pStyle w:val="Compact"/>
                <w:jc w:val="left"/>
              </w:pPr>
              <w:r>
                <w:t xml:space="preserve">-0.005</w:t>
              </w:r>
            </w:ins>
          </w:p>
        </w:tc>
        <w:tc>
          <w:tcPr/>
          <w:p>
            <w:ins w:id="10775" w:author="R2 Revision" w:date="2026-05-19T00:00:00Z">
              <w:pPr>
                <w:pStyle w:val="Compact"/>
                <w:jc w:val="left"/>
              </w:pPr>
              <w:r>
                <w:t xml:space="preserve">-0.002</w:t>
              </w:r>
            </w:ins>
          </w:p>
        </w:tc>
        <w:tc>
          <w:tcPr/>
          <w:p>
            <w:ins w:id="10776" w:author="R2 Revision" w:date="2026-05-19T00:00:00Z">
              <w:pPr>
                <w:pStyle w:val="Compact"/>
                <w:jc w:val="left"/>
              </w:pPr>
              <w:r>
                <w:t xml:space="preserve">-0.004</w:t>
              </w:r>
            </w:ins>
          </w:p>
        </w:tc>
      </w:tr>
      <w:tr>
        <w:tc>
          <w:tcPr/>
          <w:p>
            <w:ins w:id="10777" w:author="R2 Revision" w:date="2026-05-19T00:00:00Z">
              <w:pPr>
                <w:pStyle w:val="Compact"/>
              </w:pPr>
            </w:ins>
          </w:p>
        </w:tc>
        <w:tc>
          <w:tcPr/>
          <w:p>
            <w:ins w:id="10778" w:author="R2 Revision" w:date="2026-05-19T00:00:00Z">
              <w:pPr>
                <w:pStyle w:val="Compact"/>
                <w:jc w:val="left"/>
              </w:pPr>
              <w:r>
                <w:t xml:space="preserve">(0.011)</w:t>
              </w:r>
            </w:ins>
          </w:p>
        </w:tc>
        <w:tc>
          <w:tcPr/>
          <w:p>
            <w:ins w:id="10779" w:author="R2 Revision" w:date="2026-05-19T00:00:00Z">
              <w:pPr>
                <w:pStyle w:val="Compact"/>
                <w:jc w:val="left"/>
              </w:pPr>
              <w:r>
                <w:t xml:space="preserve">(0.014)</w:t>
              </w:r>
            </w:ins>
          </w:p>
        </w:tc>
        <w:tc>
          <w:tcPr/>
          <w:p>
            <w:ins w:id="10780" w:author="R2 Revision" w:date="2026-05-19T00:00:00Z">
              <w:pPr>
                <w:pStyle w:val="Compact"/>
                <w:jc w:val="left"/>
              </w:pPr>
              <w:r>
                <w:t xml:space="preserve">(0.016)</w:t>
              </w:r>
            </w:ins>
          </w:p>
        </w:tc>
      </w:tr>
      <w:tr>
        <w:tc>
          <w:tcPr/>
          <w:p>
            <w:ins w:id="10781" w:author="R2 Revision" w:date="2026-05-19T00:00:00Z">
              <w:pPr>
                <w:pStyle w:val="Compact"/>
              </w:pPr>
              <w:r>
                <w:t xml:space="preserve">Social (vs DeFi)</w:t>
              </w:r>
            </w:ins>
          </w:p>
        </w:tc>
        <w:tc>
          <w:tcPr/>
          <w:p>
            <w:ins w:id="10782" w:author="R2 Revision" w:date="2026-05-19T00:00:00Z">
              <w:pPr>
                <w:pStyle w:val="Compact"/>
                <w:jc w:val="left"/>
              </w:pPr>
              <w:r>
                <w:t xml:space="preserve">-0.010</w:t>
              </w:r>
            </w:ins>
          </w:p>
        </w:tc>
        <w:tc>
          <w:tcPr/>
          <w:p>
            <w:ins w:id="10783" w:author="R2 Revision" w:date="2026-05-19T00:00:00Z">
              <w:pPr>
                <w:pStyle w:val="Compact"/>
                <w:jc w:val="left"/>
              </w:pPr>
              <w:r>
                <w:t xml:space="preserve">-0.020</w:t>
              </w:r>
            </w:ins>
          </w:p>
        </w:tc>
        <w:tc>
          <w:tcPr/>
          <w:p>
            <w:ins w:id="10784" w:author="R2 Revision" w:date="2026-05-19T00:00:00Z">
              <w:pPr>
                <w:pStyle w:val="Compact"/>
                <w:jc w:val="left"/>
              </w:pPr>
              <w:r>
                <w:t xml:space="preserve">-0.019</w:t>
              </w:r>
            </w:ins>
          </w:p>
        </w:tc>
      </w:tr>
      <w:tr>
        <w:tc>
          <w:tcPr/>
          <w:p>
            <w:ins w:id="10785" w:author="R2 Revision" w:date="2026-05-19T00:00:00Z">
              <w:pPr>
                <w:pStyle w:val="Compact"/>
              </w:pPr>
            </w:ins>
          </w:p>
        </w:tc>
        <w:tc>
          <w:tcPr/>
          <w:p>
            <w:ins w:id="10786" w:author="R2 Revision" w:date="2026-05-19T00:00:00Z">
              <w:pPr>
                <w:pStyle w:val="Compact"/>
                <w:jc w:val="left"/>
              </w:pPr>
              <w:r>
                <w:t xml:space="preserve">(0.079)</w:t>
              </w:r>
            </w:ins>
          </w:p>
        </w:tc>
        <w:tc>
          <w:tcPr/>
          <w:p>
            <w:ins w:id="10787" w:author="R2 Revision" w:date="2026-05-19T00:00:00Z">
              <w:pPr>
                <w:pStyle w:val="Compact"/>
                <w:jc w:val="left"/>
              </w:pPr>
              <w:r>
                <w:t xml:space="preserve">(0.064)</w:t>
              </w:r>
            </w:ins>
          </w:p>
        </w:tc>
        <w:tc>
          <w:tcPr/>
          <w:p>
            <w:ins w:id="10788" w:author="R2 Revision" w:date="2026-05-19T00:00:00Z">
              <w:pPr>
                <w:pStyle w:val="Compact"/>
                <w:jc w:val="left"/>
              </w:pPr>
              <w:r>
                <w:t xml:space="preserve">(0.146)</w:t>
              </w:r>
            </w:ins>
          </w:p>
        </w:tc>
      </w:tr>
      <w:tr>
        <w:tc>
          <w:tcPr/>
          <w:p>
            <w:ins w:id="10789" w:author="R2 Revision" w:date="2026-05-19T00:00:00Z">
              <w:pPr>
                <w:pStyle w:val="Compact"/>
              </w:pPr>
              <w:r>
                <w:t xml:space="preserve">Protocol age (years)</w:t>
              </w:r>
            </w:ins>
          </w:p>
        </w:tc>
        <w:tc>
          <w:tcPr/>
          <w:p>
            <w:ins w:id="10790" w:author="R2 Revision" w:date="2026-05-19T00:00:00Z">
              <w:pPr>
                <w:pStyle w:val="Compact"/>
              </w:pPr>
            </w:ins>
          </w:p>
        </w:tc>
        <w:tc>
          <w:tcPr/>
          <w:p>
            <w:ins w:id="10791" w:author="R2 Revision" w:date="2026-05-19T00:00:00Z">
              <w:pPr>
                <w:pStyle w:val="Compact"/>
                <w:jc w:val="left"/>
              </w:pPr>
              <w:r>
                <w:t xml:space="preserve">0.002</w:t>
              </w:r>
            </w:ins>
          </w:p>
        </w:tc>
        <w:tc>
          <w:tcPr/>
          <w:p>
            <w:ins w:id="10792" w:author="R2 Revision" w:date="2026-05-19T00:00:00Z">
              <w:pPr>
                <w:pStyle w:val="Compact"/>
                <w:jc w:val="left"/>
              </w:pPr>
              <w:r>
                <w:t xml:space="preserve">0.001</w:t>
              </w:r>
            </w:ins>
          </w:p>
        </w:tc>
      </w:tr>
      <w:tr>
        <w:tc>
          <w:tcPr/>
          <w:p>
            <w:ins w:id="10793" w:author="R2 Revision" w:date="2026-05-19T00:00:00Z">
              <w:pPr>
                <w:pStyle w:val="Compact"/>
              </w:pPr>
            </w:ins>
          </w:p>
        </w:tc>
        <w:tc>
          <w:tcPr/>
          <w:p>
            <w:ins w:id="10794" w:author="R2 Revision" w:date="2026-05-19T00:00:00Z">
              <w:pPr>
                <w:pStyle w:val="Compact"/>
              </w:pPr>
            </w:ins>
          </w:p>
        </w:tc>
        <w:tc>
          <w:tcPr/>
          <w:p>
            <w:ins w:id="10795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  <w:tc>
          <w:tcPr/>
          <w:p>
            <w:ins w:id="10796" w:author="R2 Revision" w:date="2026-05-19T00:00:00Z">
              <w:pPr>
                <w:pStyle w:val="Compact"/>
                <w:jc w:val="left"/>
              </w:pPr>
              <w:r>
                <w:t xml:space="preserve">(0.006)</w:t>
              </w:r>
            </w:ins>
          </w:p>
        </w:tc>
      </w:tr>
      <w:tr>
        <w:tc>
          <w:tcPr/>
          <w:p>
            <w:ins w:id="10797" w:author="R2 Revision" w:date="2026-05-19T00:00:00Z">
              <w:pPr>
                <w:pStyle w:val="Compact"/>
              </w:pPr>
              <w:r>
                <w:t xml:space="preserve">Log FDV</w:t>
              </w:r>
            </w:ins>
          </w:p>
        </w:tc>
        <w:tc>
          <w:tcPr/>
          <w:p>
            <w:ins w:id="10798" w:author="R2 Revision" w:date="2026-05-19T00:00:00Z">
              <w:pPr>
                <w:pStyle w:val="Compact"/>
              </w:pPr>
            </w:ins>
          </w:p>
        </w:tc>
        <w:tc>
          <w:tcPr/>
          <w:p>
            <w:ins w:id="10799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  <w:tc>
          <w:tcPr/>
          <w:p>
            <w:ins w:id="10800" w:author="R2 Revision" w:date="2026-05-19T00:00:00Z">
              <w:pPr>
                <w:pStyle w:val="Compact"/>
                <w:jc w:val="left"/>
              </w:pPr>
              <w:r>
                <w:t xml:space="preserve">-0.003</w:t>
              </w:r>
            </w:ins>
          </w:p>
        </w:tc>
      </w:tr>
      <w:tr>
        <w:tc>
          <w:tcPr/>
          <w:p>
            <w:ins w:id="10801" w:author="R2 Revision" w:date="2026-05-19T00:00:00Z">
              <w:pPr>
                <w:pStyle w:val="Compact"/>
              </w:pPr>
            </w:ins>
          </w:p>
        </w:tc>
        <w:tc>
          <w:tcPr/>
          <w:p>
            <w:ins w:id="10802" w:author="R2 Revision" w:date="2026-05-19T00:00:00Z">
              <w:pPr>
                <w:pStyle w:val="Compact"/>
              </w:pPr>
            </w:ins>
          </w:p>
        </w:tc>
        <w:tc>
          <w:tcPr/>
          <w:p>
            <w:ins w:id="10803" w:author="R2 Revision" w:date="2026-05-19T00:00:00Z">
              <w:pPr>
                <w:pStyle w:val="Compact"/>
                <w:jc w:val="left"/>
              </w:pPr>
              <w:r>
                <w:t xml:space="preserve">(0.004)</w:t>
              </w:r>
            </w:ins>
          </w:p>
        </w:tc>
        <w:tc>
          <w:tcPr/>
          <w:p>
            <w:ins w:id="10804" w:author="R2 Revision" w:date="2026-05-19T00:00:00Z">
              <w:pPr>
                <w:pStyle w:val="Compact"/>
                <w:jc w:val="left"/>
              </w:pPr>
              <w:r>
                <w:t xml:space="preserve">(0.005)</w:t>
              </w:r>
            </w:ins>
          </w:p>
        </w:tc>
      </w:tr>
      <w:tr>
        <w:tc>
          <w:tcPr/>
          <w:p>
            <w:ins w:id="10805" w:author="R2 Revision" w:date="2026-05-19T00:00:00Z">
              <w:pPr>
                <w:pStyle w:val="Compact"/>
              </w:pPr>
              <w:r>
                <w:t xml:space="preserve">Initial insider</w:t>
              </w:r>
              <w:r>
                <w:t xml:space="preserve"> </w:t>
              </w:r>
              <w:r>
                <w:t xml:space="preserve">allocation (%)</w:t>
              </w:r>
            </w:ins>
          </w:p>
        </w:tc>
        <w:tc>
          <w:tcPr/>
          <w:p>
            <w:ins w:id="10806" w:author="R2 Revision" w:date="2026-05-19T00:00:00Z">
              <w:pPr>
                <w:pStyle w:val="Compact"/>
              </w:pPr>
            </w:ins>
          </w:p>
        </w:tc>
        <w:tc>
          <w:tcPr/>
          <w:p>
            <w:ins w:id="10807" w:author="R2 Revision" w:date="2026-05-19T00:00:00Z">
              <w:pPr>
                <w:pStyle w:val="Compact"/>
              </w:pPr>
            </w:ins>
          </w:p>
        </w:tc>
        <w:tc>
          <w:tcPr/>
          <w:p>
            <w:ins w:id="10808" w:author="R2 Revision" w:date="2026-05-19T00:00:00Z">
              <w:pPr>
                <w:pStyle w:val="Compact"/>
                <w:jc w:val="left"/>
              </w:pPr>
              <w:r>
                <w:t xml:space="preserve">0.000</w:t>
              </w:r>
            </w:ins>
          </w:p>
        </w:tc>
      </w:tr>
      <w:tr>
        <w:tc>
          <w:tcPr/>
          <w:p>
            <w:ins w:id="10809" w:author="R2 Revision" w:date="2026-05-19T00:00:00Z">
              <w:pPr>
                <w:pStyle w:val="Compact"/>
              </w:pPr>
            </w:ins>
          </w:p>
        </w:tc>
        <w:tc>
          <w:tcPr/>
          <w:p>
            <w:ins w:id="10810" w:author="R2 Revision" w:date="2026-05-19T00:00:00Z">
              <w:pPr>
                <w:pStyle w:val="Compact"/>
              </w:pPr>
            </w:ins>
          </w:p>
        </w:tc>
        <w:tc>
          <w:tcPr/>
          <w:p>
            <w:ins w:id="10811" w:author="R2 Revision" w:date="2026-05-19T00:00:00Z">
              <w:pPr>
                <w:pStyle w:val="Compact"/>
              </w:pPr>
            </w:ins>
          </w:p>
        </w:tc>
        <w:tc>
          <w:tcPr/>
          <w:p>
            <w:ins w:id="10812" w:author="R2 Revision" w:date="2026-05-19T00:00:00Z">
              <w:pPr>
                <w:pStyle w:val="Compact"/>
                <w:jc w:val="left"/>
              </w:pPr>
              <w:r>
                <w:t xml:space="preserve">(0.001)</w:t>
              </w:r>
            </w:ins>
          </w:p>
        </w:tc>
      </w:tr>
      <w:tr>
        <w:tc>
          <w:tcPr/>
          <w:p>
            <w:ins w:id="10813" w:author="R2 Revision" w:date="2026-05-19T00:00:00Z">
              <w:pPr>
                <w:pStyle w:val="Compact"/>
              </w:pPr>
              <w:r>
                <w:t xml:space="preserve">Constant</w:t>
              </w:r>
            </w:ins>
          </w:p>
        </w:tc>
        <w:tc>
          <w:tcPr/>
          <w:p>
            <w:ins w:id="10814" w:author="R2 Revision" w:date="2026-05-19T00:00:00Z">
              <w:pPr>
                <w:pStyle w:val="Compact"/>
                <w:jc w:val="left"/>
              </w:pPr>
              <w:r>
                <w:t xml:space="preserve">0.032***</w:t>
              </w:r>
            </w:ins>
          </w:p>
        </w:tc>
        <w:tc>
          <w:tcPr/>
          <w:p>
            <w:ins w:id="10815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16" w:author="R2 Revision" w:date="2026-05-19T00:00:00Z">
              <w:pPr>
                <w:pStyle w:val="Compact"/>
                <w:jc w:val="left"/>
              </w:pPr>
              <w:r>
                <w:t xml:space="preserve">0.063</w:t>
              </w:r>
            </w:ins>
          </w:p>
        </w:tc>
      </w:tr>
      <w:tr>
        <w:tc>
          <w:tcPr/>
          <w:p>
            <w:ins w:id="10817" w:author="R2 Revision" w:date="2026-05-19T00:00:00Z">
              <w:pPr>
                <w:pStyle w:val="Compact"/>
              </w:pPr>
            </w:ins>
          </w:p>
        </w:tc>
        <w:tc>
          <w:tcPr/>
          <w:p>
            <w:ins w:id="10818" w:author="R2 Revision" w:date="2026-05-19T00:00:00Z">
              <w:pPr>
                <w:pStyle w:val="Compact"/>
                <w:jc w:val="left"/>
              </w:pPr>
              <w:r>
                <w:t xml:space="preserve">(0.007)</w:t>
              </w:r>
            </w:ins>
          </w:p>
        </w:tc>
        <w:tc>
          <w:tcPr/>
          <w:p>
            <w:ins w:id="10819" w:author="R2 Revision" w:date="2026-05-19T00:00:00Z">
              <w:pPr>
                <w:pStyle w:val="Compact"/>
                <w:jc w:val="left"/>
              </w:pPr>
              <w:r>
                <w:t xml:space="preserve">(0.089)</w:t>
              </w:r>
            </w:ins>
          </w:p>
        </w:tc>
        <w:tc>
          <w:tcPr/>
          <w:p>
            <w:ins w:id="10820" w:author="R2 Revision" w:date="2026-05-19T00:00:00Z">
              <w:pPr>
                <w:pStyle w:val="Compact"/>
                <w:jc w:val="left"/>
              </w:pPr>
              <w:r>
                <w:t xml:space="preserve">(0.099)</w:t>
              </w:r>
            </w:ins>
          </w:p>
        </w:tc>
      </w:tr>
      <w:tr>
        <w:tc>
          <w:tcPr/>
          <w:p>
            <w:ins w:id="10821" w:author="R2 Revision" w:date="2026-05-19T00:00:00Z">
              <w:pPr>
                <w:pStyle w:val="Compact"/>
              </w:pPr>
              <w:r>
                <w:t xml:space="preserve">N</w:t>
              </w:r>
            </w:ins>
          </w:p>
        </w:tc>
        <w:tc>
          <w:tcPr/>
          <w:p>
            <w:ins w:id="10822" w:author="R2 Revision" w:date="2026-05-19T00:00:00Z">
              <w:pPr>
                <w:pStyle w:val="Compact"/>
                <w:jc w:val="left"/>
              </w:pPr>
              <w:r>
                <w:t xml:space="preserve">38</w:t>
              </w:r>
            </w:ins>
          </w:p>
        </w:tc>
        <w:tc>
          <w:tcPr/>
          <w:p>
            <w:ins w:id="10823" w:author="R2 Revision" w:date="2026-05-19T00:00:00Z">
              <w:pPr>
                <w:pStyle w:val="Compact"/>
                <w:jc w:val="left"/>
              </w:pPr>
              <w:r>
                <w:t xml:space="preserve">36</w:t>
              </w:r>
            </w:ins>
          </w:p>
        </w:tc>
        <w:tc>
          <w:tcPr/>
          <w:p>
            <w:ins w:id="10824" w:author="R2 Revision" w:date="2026-05-19T00:00:00Z">
              <w:pPr>
                <w:pStyle w:val="Compact"/>
                <w:jc w:val="left"/>
              </w:pPr>
              <w:r>
                <w:t xml:space="preserve">35</w:t>
              </w:r>
            </w:ins>
          </w:p>
        </w:tc>
      </w:tr>
      <w:tr>
        <w:tc>
          <w:tcPr/>
          <w:p>
            <w:ins w:id="10825" w:author="R2 Revision" w:date="2026-05-19T00:00:00Z">
              <w:pPr>
                <w:pStyle w:val="Compact"/>
              </w:pPr>
              <w:r>
                <w:t xml:space="preserve">Adjusted R²</w:t>
              </w:r>
            </w:ins>
          </w:p>
        </w:tc>
        <w:tc>
          <w:tcPr/>
          <w:p>
            <w:ins w:id="10826" w:author="R2 Revision" w:date="2026-05-19T00:00:00Z">
              <w:pPr>
                <w:pStyle w:val="Compact"/>
                <w:jc w:val="left"/>
              </w:pPr>
              <w:r>
                <w:t xml:space="preserve">0.173</w:t>
              </w:r>
            </w:ins>
          </w:p>
        </w:tc>
        <w:tc>
          <w:tcPr/>
          <w:p>
            <w:ins w:id="10827" w:author="R2 Revision" w:date="2026-05-19T00:00:00Z">
              <w:pPr>
                <w:pStyle w:val="Compact"/>
                <w:jc w:val="left"/>
              </w:pPr>
              <w:r>
                <w:t xml:space="preserve">0.190</w:t>
              </w:r>
            </w:ins>
          </w:p>
        </w:tc>
        <w:tc>
          <w:tcPr/>
          <w:p>
            <w:ins w:id="10828" w:author="R2 Revision" w:date="2026-05-19T00:00:00Z">
              <w:pPr>
                <w:pStyle w:val="Compact"/>
                <w:jc w:val="left"/>
              </w:pPr>
              <w:r>
                <w:t xml:space="preserve">0.151</w:t>
              </w:r>
            </w:ins>
          </w:p>
        </w:tc>
      </w:tr>
    </w:tbl>
    <w:p>
      <w:ins w:id="10829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OLS regression of HHI on protocol characteristics. Model 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includes sector dummies only (DePIN, L1/L2/Infra, Social; DeFi omitted).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Model 2 adds protocol age (years since token genesis) and log FDV (log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fully diluted valuation). Model 3 adds the initial insider allocation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percentage (team plus investor share at launch). Successive models lose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observations as covariate availability declines (N = 38 to 36 to 35).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Robust standard errors (HC3; a heteroskedasticity-consistent estimator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that produces valid standard-error estimates even when error variance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not constant across observations, the typical condition in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cross-sectional cross-protocol data) in parentheses. * p &lt; 0.10,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** p &lt; 0.05, *** p &lt; 0.01.</w:t>
        </w:r>
      </w:ins>
    </w:p>
    <w:bookmarkEnd w:id="91"/>
    <w:bookmarkStart w:id="98" w:name="voting-power-vs-holding-concentration"/>
    <w:p>
      <w:ins w:id="10830" w:author="R2 Revision" w:date="2026-05-19T00:00:00Z">
        <w:pPr>
          <w:pStyle w:val="Heading2"/>
        </w:pPr>
        <w:r>
          <w:t xml:space="preserve">3.5 Voting Power vs Holding Concentration</w:t>
        </w:r>
      </w:ins>
    </w:p>
    <w:p>
      <w:ins w:id="10831" w:author="R2 Revision" w:date="2026-05-19T00:00:00Z">
        <w:pPr>
          <w:pStyle w:val="FirstParagraph"/>
        </w:pPr>
        <w:r>
          <w:t xml:space="preserve">Delegation amplifies governance concentration above holding levels</w:t>
        </w:r>
        <w:r>
          <w:t xml:space="preserve"> </w:t>
        </w:r>
        <w:r>
          <w:t xml:space="preserve">across nearly every protocol sampled, with amplification ratios ranging</w:t>
        </w:r>
        <w:r>
          <w:t xml:space="preserve"> </w:t>
        </w:r>
        <w:r>
          <w:t xml:space="preserve">from 1.2x to 11.4x (mean 5.3x) and a single structural exception (ENS)</w:t>
        </w:r>
        <w:r>
          <w:t xml:space="preserve"> </w:t>
        </w:r>
        <w:r>
          <w:t xml:space="preserve">where a mature delegate program disperses voting power below the</w:t>
        </w:r>
        <w:r>
          <w:t xml:space="preserve"> </w:t>
        </w:r>
        <w:r>
          <w:t xml:space="preserve">holding baseline (Table 7). The holding-based HHI reported in Table 4 measures token</w:t>
        </w:r>
        <w:r>
          <w:t xml:space="preserve"> </w:t>
        </w:r>
        <w:r>
          <w:t xml:space="preserve">distribution, not governance power. For protocols with delegation, a</w:t>
        </w:r>
        <w:r>
          <w:t xml:space="preserve"> </w:t>
        </w:r>
        <w:r>
          <w:t xml:space="preserve">small number of delegates may control voting power far exceeding their</w:t>
        </w:r>
        <w:r>
          <w:t xml:space="preserve"> </w:t>
        </w:r>
        <w:r>
          <w:t xml:space="preserve">personal holdings. The delegate-principal structure is a classical</w:t>
        </w:r>
        <w:r>
          <w:t xml:space="preserve"> </w:t>
        </w:r>
        <w:r>
          <w:t xml:space="preserve">principal-agent problem (Holmstrom, 1979): token-holders (principals)</w:t>
        </w:r>
        <w:r>
          <w:t xml:space="preserve"> </w:t>
        </w:r>
        <w:r>
          <w:t xml:space="preserve">delegate voting authority to delegates (agents), creating an</w:t>
        </w:r>
        <w:r>
          <w:t xml:space="preserve"> </w:t>
        </w:r>
        <w:r>
          <w:t xml:space="preserve">accountability gap when delegate incentives diverge from</w:t>
        </w:r>
        <w:r>
          <w:t xml:space="preserve"> </w:t>
        </w:r>
        <w:r>
          <w:t xml:space="preserve">median-holder preferences and the cost of monitoring delegate behavior</w:t>
        </w:r>
        <w:r>
          <w:t xml:space="preserve"> </w:t>
        </w:r>
        <w:r>
          <w:t xml:space="preserve">is high relative to individual holder stakes. The empirical analysis</w:t>
        </w:r>
        <w:r>
          <w:t xml:space="preserve"> </w:t>
        </w:r>
        <w:r>
          <w:t xml:space="preserve">below quantifies the magnitude of voting-power concentration that</w:t>
        </w:r>
        <w:r>
          <w:t xml:space="preserve"> </w:t>
        </w:r>
        <w:r>
          <w:t xml:space="preserve">delegation produces; the principal-agent framing supplies the</w:t>
        </w:r>
        <w:r>
          <w:t xml:space="preserve"> </w:t>
        </w:r>
        <w:r>
          <w:t xml:space="preserve">theoretical justification for why this concentration matters for</w:t>
        </w:r>
        <w:r>
          <w:t xml:space="preserve"> </w:t>
        </w:r>
        <w:r>
          <w:t xml:space="preserve">governance legitimacy. To quantify this gap, we collected delegated voting</w:t>
        </w:r>
        <w:r>
          <w:t xml:space="preserve"> </w:t>
        </w:r>
        <w:r>
          <w:t xml:space="preserve">power from Tally (on-chain governance: Compound, Aave, Uniswap,</w:t>
        </w:r>
        <w:r>
          <w:t xml:space="preserve"> </w:t>
        </w:r>
        <w:r>
          <w:t xml:space="preserve">Optimism, Arbitrum) and Snapshot (off-chain governance: DIMO, WeatherXM,</w:t>
        </w:r>
        <w:r>
          <w:t xml:space="preserve"> </w:t>
        </w:r>
        <w:r>
          <w:t xml:space="preserve">Lido), with Tally additions for GMX and ENS, yielding 10 protocols</w:t>
        </w:r>
        <w:r>
          <w:t xml:space="preserve"> </w:t>
        </w:r>
        <w:r>
          <w:t xml:space="preserve">with sufficient governance activity in the 12 months preceding the</w:t>
        </w:r>
        <w:r>
          <w:t xml:space="preserve"> </w:t>
        </w:r>
        <w:r>
          <w:t xml:space="preserve">snapshot.</w:t>
        </w:r>
      </w:ins>
    </w:p>
    <w:p>
      <w:ins w:id="10832" w:author="R2 Revision" w:date="2026-05-19T00:00:00Z">
        <w:pPr>
          <w:pStyle w:val="BodyText"/>
        </w:pPr>
        <w:r>
          <w:t xml:space="preserve">Table 7 reports the holding-voting HHI gap. Delegation concentrates</w:t>
        </w:r>
        <w:r>
          <w:t xml:space="preserve"> </w:t>
        </w:r>
        <w:r>
          <w:t xml:space="preserve">voting power above the level measured from token holdings in nine of</w:t>
        </w:r>
        <w:r>
          <w:t xml:space="preserve"> </w:t>
        </w:r>
        <w:r>
          <w:t xml:space="preserve">the ten protocols sampled (ENS is the structural exception at 0.39x),</w:t>
        </w:r>
        <w:r>
          <w:t xml:space="preserve"> </w:t>
        </w:r>
        <w:r>
          <w:t xml:space="preserve">with amplification ratios ranging from 1.2x (GMX) to 11.4x (Lido). The</w:t>
        </w:r>
        <w:r>
          <w:t xml:space="preserve"> </w:t>
        </w:r>
        <w:r>
          <w:t xml:space="preserve">amplification range within DeFi spans 1.2x (GMX) to 11.4x (Lido);</w:t>
        </w:r>
        <w:r>
          <w:t xml:space="preserve"> </w:t>
        </w:r>
        <w:r>
          <w:t xml:space="preserve">DePIN spans 3.3x (WeatherXM) to 9.1x (DIMO); infrastructure spans 3.6x</w:t>
        </w:r>
        <w:r>
          <w:t xml:space="preserve"> </w:t>
        </w:r>
        <w:r>
          <w:t xml:space="preserve">(Optimism) to 4.4x (Arbitrum). Sector membership does not predict how</w:t>
        </w:r>
        <w:r>
          <w:t xml:space="preserve"> </w:t>
        </w:r>
        <w:r>
          <w:t xml:space="preserve">strongly delegation concentrates power. Institutional design within</w:t>
        </w:r>
        <w:r>
          <w:t xml:space="preserve"> </w:t>
        </w:r>
        <w:r>
          <w:t xml:space="preserve">each delegate program does. DIMO’s voting HHI (0.228) is 9.1 times its</w:t>
        </w:r>
        <w:r>
          <w:t xml:space="preserve"> </w:t>
        </w:r>
        <w:r>
          <w:t xml:space="preserve">holding HHI (0.025), though this ratio is based on only 10 Snapshot</w:t>
        </w:r>
        <w:r>
          <w:t xml:space="preserve"> </w:t>
        </w:r>
        <w:r>
          <w:t xml:space="preserve">voters and should be interpreted with caution, and WeatherXM’s (0.486)</w:t>
        </w:r>
        <w:r>
          <w:t xml:space="preserve"> </w:t>
        </w:r>
        <w:r>
          <w:t xml:space="preserve">is 3.3 times its holding HHI (0.148). A small number of delegates,</w:t>
        </w:r>
        <w:r>
          <w:t xml:space="preserve"> </w:t>
        </w:r>
        <w:r>
          <w:t xml:space="preserve">likely foundation-affiliated or early-investor wallets, control</w:t>
        </w:r>
        <w:r>
          <w:t xml:space="preserve"> </w:t>
        </w:r>
        <w:r>
          <w:t xml:space="preserve">governance outcomes despite relatively distributed token holdings.</w:t>
        </w:r>
      </w:ins>
    </w:p>
    <w:p>
      <w:ins w:id="10833" w:author="R2 Revision" w:date="2026-05-19T00:00:00Z">
        <w:pPr>
          <w:pStyle w:val="BodyText"/>
        </w:pPr>
        <w:r>
          <w:drawing>
            <wp:inline>
              <wp:extent cx="5029200" cy="3275319"/>
              <wp:effectExtent b="0" l="0" r="0" t="0"/>
              <wp:docPr descr="" title="" id="93" name="Picture"/>
              <a:graphic>
                <a:graphicData uri="http://schemas.openxmlformats.org/drawingml/2006/picture">
                  <pic:pic>
                    <pic:nvPicPr>
                      <pic:cNvPr descr="media/exhibit_delegation_adjusted.png" id="94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92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275319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834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6.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Raw holding HHI vs. delegation-adjusted HHI for five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Tally-sourced protocols. Reading the figure: protocols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diagonal have voting more concentrated than holding (delegation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amplifies); protocols below the diagonal have voting less concentrated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than holding (delegation distributes).</w:t>
        </w:r>
      </w:ins>
    </w:p>
    <w:p>
      <w:ins w:id="10835" w:author="R2 Revision" w:date="2026-05-19T00:00:00Z">
        <w:pPr>
          <w:pStyle w:val="BodyText"/>
        </w:pPr>
        <w:r>
          <w:t xml:space="preserve">All five DeFi protocols sampled show delegation amplification, with</w:t>
        </w:r>
        <w:r>
          <w:t xml:space="preserve"> </w:t>
        </w:r>
        <w:r>
          <w:t xml:space="preserve">GMX (1.2x) and Uniswap (2.8x) at the lower end and Compound (5.7x),</w:t>
        </w:r>
        <w:r>
          <w:t xml:space="preserve"> </w:t>
        </w:r>
        <w:r>
          <w:t xml:space="preserve">Aave (5.9x), and Lido (11.4x) at the higher end. The Uniswap result is</w:t>
        </w:r>
        <w:r>
          <w:t xml:space="preserve"> </w:t>
        </w:r>
        <w:r>
          <w:t xml:space="preserve">worth examining in detail. Earlier analyses, using a holding HHI of</w:t>
        </w:r>
        <w:r>
          <w:t xml:space="preserve"> </w:t>
        </w:r>
        <w:r>
          <w:t xml:space="preserve">0.032, produced an amplification ratio of 0.84x and were cited as</w:t>
        </w:r>
        <w:r>
          <w:t xml:space="preserve"> </w:t>
        </w:r>
        <w:r>
          <w:t xml:space="preserve">evidence that Uniswap’s mature delegate ecosystem can disperse</w:t>
        </w:r>
        <w:r>
          <w:t xml:space="preserve"> </w:t>
        </w:r>
        <w:r>
          <w:t xml:space="preserve">governance power. That earlier HHI included the canonical UNI burn</w:t>
        </w:r>
        <w:r>
          <w:t xml:space="preserve"> </w:t>
        </w:r>
        <w:r>
          <w:t xml:space="preserve">address (0x000…000dead), which holds 102.5 million UNI (11.3 percent</w:t>
        </w:r>
        <w:r>
          <w:t xml:space="preserve"> </w:t>
        </w:r>
        <w:r>
          <w:t xml:space="preserve">of supply) inert and cannot participate in governance under any</w:t>
        </w:r>
        <w:r>
          <w:t xml:space="preserve"> </w:t>
        </w:r>
        <w:r>
          <w:t xml:space="preserve">condition: it has no delegate, no votes, and no path to ever cast one.</w:t>
        </w:r>
        <w:r>
          <w:t xml:space="preserve"> </w:t>
        </w:r>
        <w:r>
          <w:t xml:space="preserve">After excluding this burn address, the post-exclusion holding HHI is 0.010,</w:t>
        </w:r>
        <w:r>
          <w:t xml:space="preserve"> </w:t>
        </w:r>
        <w:r>
          <w:t xml:space="preserve">and the amplification ratio is 2.8x. Uniswap’s delegate program</w:t>
        </w:r>
        <w:r>
          <w:t xml:space="preserve"> </w:t>
        </w:r>
        <w:r>
          <w:t xml:space="preserve">concentrates voting power above its correctly-measured holding</w:t>
        </w:r>
        <w:r>
          <w:t xml:space="preserve"> </w:t>
        </w:r>
        <w:r>
          <w:t xml:space="preserve">baseline, in line with every other protocol sampled. The pre-exclusion</w:t>
        </w:r>
        <w:r>
          <w:t xml:space="preserve"> </w:t>
        </w:r>
        <w:r>
          <w:t xml:space="preserve">result was driven by including a wallet that structurally cannot vote</w:t>
        </w:r>
        <w:r>
          <w:t xml:space="preserve"> </w:t>
        </w:r>
        <w:r>
          <w:t xml:space="preserve">in the holding denominator.</w:t>
        </w:r>
      </w:ins>
    </w:p>
    <w:p>
      <w:ins w:id="10836" w:author="R2 Revision" w:date="2026-05-19T00:00:00Z">
        <w:pPr>
          <w:pStyle w:val="BodyText"/>
        </w:pPr>
        <w:r>
          <w:t xml:space="preserve">Both infrastructure protocols sampled show delegation amplification</w:t>
        </w:r>
        <w:r>
          <w:t xml:space="preserve"> </w:t>
        </w:r>
        <w:r>
          <w:t xml:space="preserve">when holding HHIs are computed with the same exclusions applied to</w:t>
        </w:r>
        <w:r>
          <w:t xml:space="preserve"> </w:t>
        </w:r>
        <w:r>
          <w:t xml:space="preserve">Table 4. Optimism’s voting HHI (0.033) is 3.6 times its post-exclusion</w:t>
        </w:r>
        <w:r>
          <w:t xml:space="preserve"> </w:t>
        </w:r>
        <w:r>
          <w:t xml:space="preserve">holding HHI (0.009). Arbitrum’s voting HHI (0.052) is 4.4 times its</w:t>
        </w:r>
        <w:r>
          <w:t xml:space="preserve"> </w:t>
        </w:r>
        <w:r>
          <w:t xml:space="preserve">holding HHI (0.012). Both protocols have invested in delegate-program</w:t>
        </w:r>
        <w:r>
          <w:t xml:space="preserve"> </w:t>
        </w:r>
        <w:r>
          <w:t xml:space="preserve">infrastructure (published delegate platforms, recurring delegate</w:t>
        </w:r>
        <w:r>
          <w:t xml:space="preserve"> </w:t>
        </w:r>
        <w:r>
          <w:t xml:space="preserve">compensation, active recruitment of long-form policy positions), and</w:t>
        </w:r>
        <w:r>
          <w:t xml:space="preserve"> </w:t>
        </w:r>
        <w:r>
          <w:t xml:space="preserve">both produce amplification ratios in the 3.6x to 4.4x range, which</w:t>
        </w:r>
        <w:r>
          <w:t xml:space="preserve"> </w:t>
        </w:r>
        <w:r>
          <w:t xml:space="preserve">sits below the cross-protocol mean (5.3x). Delegate-program investment</w:t>
        </w:r>
        <w:r>
          <w:t xml:space="preserve"> </w:t>
        </w:r>
        <w:r>
          <w:t xml:space="preserve">does not differentiate the two protocols on amplification magnitude.</w:t>
        </w:r>
        <w:r>
          <w:t xml:space="preserve"> </w:t>
        </w:r>
        <w:r>
          <w:t xml:space="preserve">The institutional layers built around the delegate programs differ</w:t>
        </w:r>
        <w:r>
          <w:t xml:space="preserve"> </w:t>
        </w:r>
        <w:r>
          <w:t xml:space="preserve">substantially and may differentiate outcomes that HHI cannot capture,</w:t>
        </w:r>
        <w:r>
          <w:t xml:space="preserve"> </w:t>
        </w:r>
        <w:r>
          <w:t xml:space="preserve">as discussed in the next paragraph.</w:t>
        </w:r>
      </w:ins>
    </w:p>
    <w:p>
      <w:ins w:id="10837" w:author="R2 Revision" w:date="2026-05-19T00:00:00Z">
        <w:pPr>
          <w:pStyle w:val="BodyText"/>
        </w:pPr>
        <w:r>
          <w:t xml:space="preserve">Optimism’s Token House shows 3.6x delegation amplification, below the</w:t>
        </w:r>
        <w:r>
          <w:t xml:space="preserve"> </w:t>
        </w:r>
        <w:r>
          <w:t xml:space="preserve">cross-protocol mean (5.3x) but consistent with the universal direction</w:t>
        </w:r>
        <w:r>
          <w:t xml:space="preserve"> </w:t>
        </w:r>
        <w:r>
          <w:t xml:space="preserve">of effect. The Citizens’ House moderates</w:t>
        </w:r>
        <w:r>
          <w:t xml:space="preserve"> </w:t>
        </w:r>
        <w:r>
          <w:t xml:space="preserve">Optimism’s governance in practice, though it does not enter the</w:t>
        </w:r>
        <w:r>
          <w:t xml:space="preserve"> </w:t>
        </w:r>
        <w:r>
          <w:t xml:space="preserve">token-weighted HHI calculation. The Citizens’ House is a separate</w:t>
        </w:r>
        <w:r>
          <w:t xml:space="preserve"> </w:t>
        </w:r>
        <w:r>
          <w:t xml:space="preserve">governance body weighted by reputation rather than tokens, with formal</w:t>
        </w:r>
        <w:r>
          <w:t xml:space="preserve"> </w:t>
        </w:r>
        <w:r>
          <w:t xml:space="preserve">veto power over economic parameters proposed by the Token House and a</w:t>
        </w:r>
        <w:r>
          <w:t xml:space="preserve"> </w:t>
        </w:r>
        <w:r>
          <w:t xml:space="preserve">veto threshold that lowers when multiple stakeholder groups align</w:t>
        </w:r>
        <w:r>
          <w:t xml:space="preserve"> </w:t>
        </w:r>
        <w:r>
          <w:t xml:space="preserve">(Optimism, 2024). Because reputation weights are not token weights, the</w:t>
        </w:r>
        <w:r>
          <w:t xml:space="preserve"> </w:t>
        </w:r>
        <w:r>
          <w:t xml:space="preserve">Citizens’ House provides accountability that the amplification ratio</w:t>
        </w:r>
        <w:r>
          <w:t xml:space="preserve"> </w:t>
        </w:r>
        <w:r>
          <w:t xml:space="preserve">alone cannot capture.</w:t>
        </w:r>
      </w:ins>
    </w:p>
    <w:p>
      <w:ins w:id="10838" w:author="R2 Revision" w:date="2026-05-19T00:00:00Z">
        <w:pPr>
          <w:pStyle w:val="BodyText"/>
        </w:pPr>
        <w:r>
          <w:t xml:space="preserve">Lido’s 11.4x amplification, the highest in the cross-protocol sample,</w:t>
        </w:r>
        <w:r>
          <w:t xml:space="preserve"> </w:t>
        </w:r>
        <w:r>
          <w:t xml:space="preserve">catalyzed a parallel institutional response. The</w:t>
        </w:r>
        <w:r>
          <w:t xml:space="preserve"> </w:t>
        </w:r>
        <w:r>
          <w:t xml:space="preserve">“Dual Governance”</w:t>
        </w:r>
        <w:r>
          <w:t xml:space="preserve"> </w:t>
        </w:r>
        <w:r>
          <w:t xml:space="preserve">redesign grants stETH holders formal veto power over LDO governance</w:t>
        </w:r>
        <w:r>
          <w:t xml:space="preserve"> </w:t>
        </w:r>
        <w:r>
          <w:t xml:space="preserve">proposals, with a programmatic</w:t>
        </w:r>
        <w:r>
          <w:t xml:space="preserve"> </w:t>
        </w:r>
        <w:r>
          <w:t xml:space="preserve">“rage quit”</w:t>
        </w:r>
        <w:r>
          <w:t xml:space="preserve"> </w:t>
        </w:r>
        <w:r>
          <w:t xml:space="preserve">exit mechanism as the</w:t>
        </w:r>
        <w:r>
          <w:t xml:space="preserve"> </w:t>
        </w:r>
        <w:r>
          <w:t xml:space="preserve">ultimate accountability lever. The reform precedes the holding-HHI</w:t>
        </w:r>
        <w:r>
          <w:t xml:space="preserve"> </w:t>
        </w:r>
        <w:r>
          <w:t xml:space="preserve">recomputation reported here and was justified at the time by the</w:t>
        </w:r>
        <w:r>
          <w:t xml:space="preserve"> </w:t>
        </w:r>
        <w:r>
          <w:t xml:space="preserve">amplification ratio measured from a curated active-governance holder</w:t>
        </w:r>
        <w:r>
          <w:t xml:space="preserve"> </w:t>
        </w:r>
        <w:r>
          <w:t xml:space="preserve">subset (N = 189; minimum balance threshold approximately 414K LDO).</w:t>
        </w:r>
        <w:r>
          <w:t xml:space="preserve"> </w:t>
        </w:r>
        <w:r>
          <w:t xml:space="preserve">Under the universal top-1000 holder methodology applied in this</w:t>
        </w:r>
        <w:r>
          <w:t xml:space="preserve"> </w:t>
        </w:r>
        <w:r>
          <w:t xml:space="preserve">manuscript with the full protocol-controlled-address audit (Section</w:t>
        </w:r>
        <w:r>
          <w:t xml:space="preserve"> </w:t>
        </w:r>
        <w:r>
          <w:t xml:space="preserve">2.10.10; Bybit and Binance custody addresses excluded as Class 5 CEX</w:t>
        </w:r>
        <w:r>
          <w:t xml:space="preserve"> </w:t>
        </w:r>
        <w:r>
          <w:t xml:space="preserve">custody), Lido’s amplification ratio is the most extreme in the</w:t>
        </w:r>
        <w:r>
          <w:t xml:space="preserve"> </w:t>
        </w:r>
        <w:r>
          <w:t xml:space="preserve">sample, and the direction (concentration above stake) is consistent</w:t>
        </w:r>
        <w:r>
          <w:t xml:space="preserve"> </w:t>
        </w:r>
        <w:r>
          <w:t xml:space="preserve">with the universal-amplification pattern documented across nine of ten</w:t>
        </w:r>
        <w:r>
          <w:t xml:space="preserve"> </w:t>
        </w:r>
        <w:r>
          <w:t xml:space="preserve">protocols.</w:t>
        </w:r>
      </w:ins>
    </w:p>
    <w:p>
      <w:ins w:id="10839" w:author="R2 Revision" w:date="2026-05-19T00:00:00Z">
        <w:pPr>
          <w:pStyle w:val="BodyText"/>
        </w:pPr>
        <w:r>
          <w:t xml:space="preserve">Both responses share the same shape. Token-weighted delegation</w:t>
        </w:r>
        <w:r>
          <w:t xml:space="preserve"> </w:t>
        </w:r>
        <w:r>
          <w:t xml:space="preserve">concentrates voting power above stake holdings across the sample, and</w:t>
        </w:r>
        <w:r>
          <w:t xml:space="preserve"> </w:t>
        </w:r>
        <w:r>
          <w:t xml:space="preserve">the institutional reforms operate by adding an accountability layer</w:t>
        </w:r>
        <w:r>
          <w:t xml:space="preserve"> </w:t>
        </w:r>
        <w:r>
          <w:t xml:space="preserve">outside the token-weighted system rather than redesigning the</w:t>
        </w:r>
        <w:r>
          <w:t xml:space="preserve"> </w:t>
        </w:r>
        <w:r>
          <w:t xml:space="preserve">delegation mechanism itself. Both protocols with named accountability</w:t>
        </w:r>
        <w:r>
          <w:t xml:space="preserve"> </w:t>
        </w:r>
        <w:r>
          <w:t xml:space="preserve">reforms (Optimism, Lido) are protocols where token-weighted delegation</w:t>
        </w:r>
        <w:r>
          <w:t xml:space="preserve"> </w:t>
        </w:r>
        <w:r>
          <w:t xml:space="preserve">shows positive amplification, consistent with reading these reforms as</w:t>
        </w:r>
        <w:r>
          <w:t xml:space="preserve"> </w:t>
        </w:r>
        <w:r>
          <w:t xml:space="preserve">responses to the universal-amplification pattern that this section</w:t>
        </w:r>
        <w:r>
          <w:t xml:space="preserve"> </w:t>
        </w:r>
        <w:r>
          <w:t xml:space="preserve">documents.</w:t>
        </w:r>
      </w:ins>
    </w:p>
    <w:p>
      <w:ins w:id="10840" w:author="R2 Revision" w:date="2026-05-19T00:00:00Z">
        <w:pPr>
          <w:pStyle w:val="BodyText"/>
        </w:pPr>
        <w:r>
          <w:t xml:space="preserve">The delegation-adjusted analysis reported in this section extends</w:t>
        </w:r>
        <w:r>
          <w:t xml:space="preserve"> </w:t>
        </w:r>
        <w:r>
          <w:t xml:space="preserve">recent empirical work by Fritsch, Müller, and Wattenhofer (2024), who</w:t>
        </w:r>
        <w:r>
          <w:t xml:space="preserve"> </w:t>
        </w:r>
        <w:r>
          <w:t xml:space="preserve">apply Nakamoto coefficients and Gini measures to voting power in</w:t>
        </w:r>
        <w:r>
          <w:t xml:space="preserve"> </w:t>
        </w:r>
        <w:r>
          <w:t xml:space="preserve">Compound, Uniswap, and ENS governance systems and document extreme</w:t>
        </w:r>
        <w:r>
          <w:t xml:space="preserve"> </w:t>
        </w:r>
        <w:r>
          <w:t xml:space="preserve">concentration in delegate-level voting power. The cross-protocol</w:t>
        </w:r>
        <w:r>
          <w:t xml:space="preserve"> </w:t>
        </w:r>
        <w:r>
          <w:t xml:space="preserve">comparison reported here spans ten protocols across DeFi (Compound,</w:t>
        </w:r>
        <w:r>
          <w:t xml:space="preserve"> </w:t>
        </w:r>
        <w:r>
          <w:t xml:space="preserve">Aave, Uniswap, GMX, Lido), DePIN (DIMO, WeatherXM), and infrastructure</w:t>
        </w:r>
        <w:r>
          <w:t xml:space="preserve"> </w:t>
        </w:r>
        <w:r>
          <w:t xml:space="preserve">(Optimism, Arbitrum, ENS). Amplification factors range from 1.2x (GMX)</w:t>
        </w:r>
        <w:r>
          <w:t xml:space="preserve"> </w:t>
        </w:r>
        <w:r>
          <w:t xml:space="preserve">to 11.4x (Lido) across the nine amplifying protocols; ENS at 0.39x is</w:t>
        </w:r>
        <w:r>
          <w:t xml:space="preserve"> </w:t>
        </w:r>
        <w:r>
          <w:t xml:space="preserve">the structural exception (mature delegate program where holders</w:t>
        </w:r>
        <w:r>
          <w:t xml:space="preserve"> </w:t>
        </w:r>
        <w:r>
          <w:t xml:space="preserve">systematically delegate to a broad community-delegate set). Within the</w:t>
        </w:r>
        <w:r>
          <w:t xml:space="preserve"> </w:t>
        </w:r>
        <w:r>
          <w:t xml:space="preserve">sample, the 1.2x to 11.4x amplification range is distributed across</w:t>
        </w:r>
        <w:r>
          <w:t xml:space="preserve"> </w:t>
        </w:r>
        <w:r>
          <w:t xml:space="preserve">sectors with no clear concentration in any one; sector membership does</w:t>
        </w:r>
        <w:r>
          <w:t xml:space="preserve"> </w:t>
        </w:r>
        <w:r>
          <w:t xml:space="preserve">not predict how strongly delegation concentrates power.</w:t>
        </w:r>
        <w:r>
          <w:t xml:space="preserve"> </w:t>
        </w:r>
        <w:r>
          <w:t xml:space="preserve">The pattern is consistent with the broader claim of this paper: design</w:t>
        </w:r>
        <w:r>
          <w:t xml:space="preserve"> </w:t>
        </w:r>
        <w:r>
          <w:t xml:space="preserve">choices within each delegate program (delegate selection criteria,</w:t>
        </w:r>
        <w:r>
          <w:t xml:space="preserve"> </w:t>
        </w:r>
        <w:r>
          <w:t xml:space="preserve">compensation structure, voting threshold rules) determine the magnitude</w:t>
        </w:r>
        <w:r>
          <w:t xml:space="preserve"> </w:t>
        </w:r>
        <w:r>
          <w:t xml:space="preserve">of governance concentration through delegation, while the direction of</w:t>
        </w:r>
        <w:r>
          <w:t xml:space="preserve"> </w:t>
        </w:r>
        <w:r>
          <w:t xml:space="preserve">the effect (concentration above holdings) is the same across sector</w:t>
        </w:r>
        <w:r>
          <w:t xml:space="preserve"> </w:t>
        </w:r>
        <w:r>
          <w:t xml:space="preserve">and governance venue. Whether a protocol concentrates governance power</w:t>
        </w:r>
        <w:r>
          <w:t xml:space="preserve"> </w:t>
        </w:r>
        <w:r>
          <w:t xml:space="preserve">through delegation does not depend on whether it is DeFi, DePIN, or</w:t>
        </w:r>
        <w:r>
          <w:t xml:space="preserve"> </w:t>
        </w:r>
        <w:r>
          <w:t xml:space="preserve">infrastructure. How much it concentrates is shaped by design choices</w:t>
        </w:r>
        <w:r>
          <w:t xml:space="preserve"> </w:t>
        </w:r>
        <w:r>
          <w:t xml:space="preserve">made at the level of the delegate program itself. The amplification</w:t>
        </w:r>
        <w:r>
          <w:t xml:space="preserve"> </w:t>
        </w:r>
        <w:r>
          <w:t xml:space="preserve">ratio carries welfare consequences for DePIN that scale with operator</w:t>
        </w:r>
        <w:r>
          <w:t xml:space="preserve"> </w:t>
        </w:r>
        <w:r>
          <w:t xml:space="preserve">exit costs, since hardware deployed for one network cannot be</w:t>
        </w:r>
        <w:r>
          <w:t xml:space="preserve"> </w:t>
        </w:r>
        <w:r>
          <w:t xml:space="preserve">redeployed to a competing protocol the way liquidity can move between</w:t>
        </w:r>
        <w:r>
          <w:t xml:space="preserve"> </w:t>
        </w:r>
        <w:r>
          <w:t xml:space="preserve">DeFi pools.</w:t>
        </w:r>
      </w:ins>
    </w:p>
    <w:tbl>
      <w:tblPr>
        <w:tblStyle w:val="Table"/>
        <w:tblW w:type="pct" w:w="4886"/>
        <w:tblLayout w:type="fixed"/>
        <w:tblLook w:firstRow="1" w:lastRow="0" w:firstColumn="0" w:lastColumn="0" w:noHBand="0" w:noVBand="0" w:val="0020"/>
      </w:tblPr>
      <w:tblGrid>
        <w:gridCol w:w="1350"/>
        <w:gridCol w:w="1350"/>
        <w:gridCol w:w="1080"/>
        <w:gridCol w:w="990"/>
        <w:gridCol w:w="1080"/>
        <w:gridCol w:w="1890"/>
      </w:tblGrid>
      <w:tr>
        <w:trPr>
          <w:tblHeader w:val="on"/>
        </w:trPr>
        <w:tc>
          <w:tcPr/>
          <w:p>
            <w:ins w:id="10841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Protocol</w:t>
              </w:r>
            </w:ins>
          </w:p>
        </w:tc>
        <w:tc>
          <w:tcPr/>
          <w:p>
            <w:ins w:id="10842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Category</w:t>
              </w:r>
            </w:ins>
          </w:p>
        </w:tc>
        <w:tc>
          <w:tcPr/>
          <w:p>
            <w:ins w:id="10843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Holding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4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Voting</w:t>
              </w:r>
              <w:r>
                <w:rPr>
                  <w:b/>
                  <w:bCs/>
                </w:rPr>
                <w:t xml:space="preserve"> </w:t>
              </w:r>
              <w:r>
                <w:rPr>
                  <w:b/>
                  <w:bCs/>
                </w:rPr>
                <w:t xml:space="preserve">HHI</w:t>
              </w:r>
            </w:ins>
          </w:p>
        </w:tc>
        <w:tc>
          <w:tcPr/>
          <w:p>
            <w:ins w:id="10845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Ratio</w:t>
              </w:r>
            </w:ins>
          </w:p>
        </w:tc>
        <w:tc>
          <w:tcPr/>
          <w:p>
            <w:ins w:id="10846" w:author="R2 Revision" w:date="2026-05-19T00:00:00Z">
              <w:pPr>
                <w:pStyle w:val="Compact"/>
                <w:jc w:val="left"/>
              </w:pPr>
              <w:r>
                <w:rPr>
                  <w:b/>
                  <w:bCs/>
                </w:rPr>
                <w:t xml:space="preserve">Source</w:t>
              </w:r>
            </w:ins>
          </w:p>
        </w:tc>
      </w:tr>
      <w:tr>
        <w:tc>
          <w:tcPr/>
          <w:p>
            <w:ins w:id="10847" w:author="R2 Revision" w:date="2026-05-19T00:00:00Z">
              <w:pPr>
                <w:pStyle w:val="Compact"/>
                <w:jc w:val="left"/>
              </w:pPr>
              <w:r>
                <w:t xml:space="preserve">DIMO</w:t>
              </w:r>
            </w:ins>
          </w:p>
        </w:tc>
        <w:tc>
          <w:tcPr/>
          <w:p>
            <w:ins w:id="10848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49" w:author="R2 Revision" w:date="2026-05-19T00:00:00Z">
              <w:pPr>
                <w:pStyle w:val="Compact"/>
                <w:jc w:val="left"/>
              </w:pPr>
              <w:r>
                <w:t xml:space="preserve">0.025</w:t>
              </w:r>
            </w:ins>
          </w:p>
        </w:tc>
        <w:tc>
          <w:tcPr/>
          <w:p>
            <w:ins w:id="10850" w:author="R2 Revision" w:date="2026-05-19T00:00:00Z">
              <w:pPr>
                <w:pStyle w:val="Compact"/>
                <w:jc w:val="left"/>
              </w:pPr>
              <w:r>
                <w:t xml:space="preserve">0.228</w:t>
              </w:r>
            </w:ins>
          </w:p>
        </w:tc>
        <w:tc>
          <w:tcPr/>
          <w:p>
            <w:ins w:id="10851" w:author="R2 Revision" w:date="2026-05-19T00:00:00Z">
              <w:pPr>
                <w:pStyle w:val="Compact"/>
                <w:jc w:val="left"/>
              </w:pPr>
              <w:r>
                <w:t xml:space="preserve">9.1x</w:t>
              </w:r>
            </w:ins>
          </w:p>
        </w:tc>
        <w:tc>
          <w:tcPr/>
          <w:p>
            <w:ins w:id="10852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3" w:author="R2 Revision" w:date="2026-05-19T00:00:00Z">
              <w:pPr>
                <w:pStyle w:val="Compact"/>
                <w:jc w:val="left"/>
              </w:pPr>
              <w:r>
                <w:t xml:space="preserve">Lido</w:t>
              </w:r>
            </w:ins>
          </w:p>
        </w:tc>
        <w:tc>
          <w:tcPr/>
          <w:p>
            <w:ins w:id="10854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55" w:author="R2 Revision" w:date="2026-05-19T00:00:00Z">
              <w:pPr>
                <w:pStyle w:val="Compact"/>
                <w:jc w:val="left"/>
              </w:pPr>
              <w:r>
                <w:t xml:space="preserve">0.008</w:t>
              </w:r>
            </w:ins>
          </w:p>
        </w:tc>
        <w:tc>
          <w:tcPr/>
          <w:p>
            <w:ins w:id="10856" w:author="R2 Revision" w:date="2026-05-19T00:00:00Z">
              <w:pPr>
                <w:pStyle w:val="Compact"/>
                <w:jc w:val="left"/>
              </w:pPr>
              <w:r>
                <w:t xml:space="preserve">0.088</w:t>
              </w:r>
            </w:ins>
          </w:p>
        </w:tc>
        <w:tc>
          <w:tcPr/>
          <w:p>
            <w:ins w:id="10857" w:author="R2 Revision" w:date="2026-05-19T00:00:00Z">
              <w:pPr>
                <w:pStyle w:val="Compact"/>
                <w:jc w:val="left"/>
              </w:pPr>
              <w:r>
                <w:t xml:space="preserve">11.4x</w:t>
              </w:r>
            </w:ins>
          </w:p>
        </w:tc>
        <w:tc>
          <w:tcPr/>
          <w:p>
            <w:ins w:id="10858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59" w:author="R2 Revision" w:date="2026-05-19T00:00:00Z">
              <w:pPr>
                <w:pStyle w:val="Compact"/>
                <w:jc w:val="left"/>
              </w:pPr>
              <w:r>
                <w:t xml:space="preserve">WeatherXM</w:t>
              </w:r>
            </w:ins>
          </w:p>
        </w:tc>
        <w:tc>
          <w:tcPr/>
          <w:p>
            <w:ins w:id="10860" w:author="R2 Revision" w:date="2026-05-19T00:00:00Z">
              <w:pPr>
                <w:pStyle w:val="Compact"/>
                <w:jc w:val="left"/>
              </w:pPr>
              <w:r>
                <w:t xml:space="preserve">DePIN</w:t>
              </w:r>
            </w:ins>
          </w:p>
        </w:tc>
        <w:tc>
          <w:tcPr/>
          <w:p>
            <w:ins w:id="10861" w:author="R2 Revision" w:date="2026-05-19T00:00:00Z">
              <w:pPr>
                <w:pStyle w:val="Compact"/>
                <w:jc w:val="left"/>
              </w:pPr>
              <w:r>
                <w:t xml:space="preserve">0.148</w:t>
              </w:r>
            </w:ins>
          </w:p>
        </w:tc>
        <w:tc>
          <w:tcPr/>
          <w:p>
            <w:ins w:id="10862" w:author="R2 Revision" w:date="2026-05-19T00:00:00Z">
              <w:pPr>
                <w:pStyle w:val="Compact"/>
                <w:jc w:val="left"/>
              </w:pPr>
              <w:r>
                <w:t xml:space="preserve">0.486</w:t>
              </w:r>
            </w:ins>
          </w:p>
        </w:tc>
        <w:tc>
          <w:tcPr/>
          <w:p>
            <w:ins w:id="10863" w:author="R2 Revision" w:date="2026-05-19T00:00:00Z">
              <w:pPr>
                <w:pStyle w:val="Compact"/>
                <w:jc w:val="left"/>
              </w:pPr>
              <w:r>
                <w:t xml:space="preserve">3.3x</w:t>
              </w:r>
            </w:ins>
          </w:p>
        </w:tc>
        <w:tc>
          <w:tcPr/>
          <w:p>
            <w:ins w:id="10864" w:author="R2 Revision" w:date="2026-05-19T00:00:00Z">
              <w:pPr>
                <w:pStyle w:val="Compact"/>
                <w:jc w:val="left"/>
              </w:pPr>
              <w:r>
                <w:t xml:space="preserve">Snapshot</w:t>
              </w:r>
            </w:ins>
          </w:p>
        </w:tc>
      </w:tr>
      <w:tr>
        <w:tc>
          <w:tcPr/>
          <w:p>
            <w:ins w:id="10865" w:author="R2 Revision" w:date="2026-05-19T00:00:00Z">
              <w:pPr>
                <w:pStyle w:val="Compact"/>
                <w:jc w:val="left"/>
              </w:pPr>
              <w:r>
                <w:t xml:space="preserve">Compound</w:t>
              </w:r>
            </w:ins>
          </w:p>
        </w:tc>
        <w:tc>
          <w:tcPr/>
          <w:p>
            <w:ins w:id="1086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67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68" w:author="R2 Revision" w:date="2026-05-19T00:00:00Z">
              <w:pPr>
                <w:pStyle w:val="Compact"/>
                <w:jc w:val="left"/>
              </w:pPr>
              <w:r>
                <w:t xml:space="preserve">0.053</w:t>
              </w:r>
            </w:ins>
          </w:p>
        </w:tc>
        <w:tc>
          <w:tcPr/>
          <w:p>
            <w:ins w:id="10869" w:author="R2 Revision" w:date="2026-05-19T00:00:00Z">
              <w:pPr>
                <w:pStyle w:val="Compact"/>
                <w:jc w:val="left"/>
              </w:pPr>
              <w:r>
                <w:t xml:space="preserve">5.7x</w:t>
              </w:r>
            </w:ins>
          </w:p>
        </w:tc>
        <w:tc>
          <w:tcPr/>
          <w:p>
            <w:ins w:id="10870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71" w:author="R2 Revision" w:date="2026-05-19T00:00:00Z">
              <w:pPr>
                <w:pStyle w:val="Compact"/>
                <w:jc w:val="left"/>
              </w:pPr>
              <w:r>
                <w:t xml:space="preserve">Aave</w:t>
              </w:r>
            </w:ins>
          </w:p>
        </w:tc>
        <w:tc>
          <w:tcPr/>
          <w:p>
            <w:ins w:id="10872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3" w:author="R2 Revision" w:date="2026-05-19T00:00:00Z">
              <w:pPr>
                <w:pStyle w:val="Compact"/>
                <w:jc w:val="left"/>
              </w:pPr>
              <w:r>
                <w:t xml:space="preserve">0.013</w:t>
              </w:r>
            </w:ins>
          </w:p>
        </w:tc>
        <w:tc>
          <w:tcPr/>
          <w:p>
            <w:ins w:id="10874" w:author="R2 Revision" w:date="2026-05-19T00:00:00Z">
              <w:pPr>
                <w:pStyle w:val="Compact"/>
                <w:jc w:val="left"/>
              </w:pPr>
              <w:r>
                <w:t xml:space="preserve">0.076</w:t>
              </w:r>
            </w:ins>
          </w:p>
        </w:tc>
        <w:tc>
          <w:tcPr/>
          <w:p>
            <w:ins w:id="10875" w:author="R2 Revision" w:date="2026-05-19T00:00:00Z">
              <w:pPr>
                <w:pStyle w:val="Compact"/>
                <w:jc w:val="left"/>
              </w:pPr>
              <w:r>
                <w:t xml:space="preserve">5.9x</w:t>
              </w:r>
            </w:ins>
          </w:p>
        </w:tc>
        <w:tc>
          <w:tcPr/>
          <w:p>
            <w:ins w:id="10876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77" w:author="R2 Revision" w:date="2026-05-19T00:00:00Z">
              <w:pPr>
                <w:pStyle w:val="Compact"/>
                <w:jc w:val="left"/>
              </w:pPr>
              <w:r>
                <w:t xml:space="preserve">Uniswap</w:t>
              </w:r>
            </w:ins>
          </w:p>
        </w:tc>
        <w:tc>
          <w:tcPr/>
          <w:p>
            <w:ins w:id="10878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79" w:author="R2 Revision" w:date="2026-05-19T00:00:00Z">
              <w:pPr>
                <w:pStyle w:val="Compact"/>
                <w:jc w:val="left"/>
              </w:pPr>
              <w:r>
                <w:t xml:space="preserve">0.010</w:t>
              </w:r>
            </w:ins>
          </w:p>
        </w:tc>
        <w:tc>
          <w:tcPr/>
          <w:p>
            <w:ins w:id="10880" w:author="R2 Revision" w:date="2026-05-19T00:00:00Z">
              <w:pPr>
                <w:pStyle w:val="Compact"/>
                <w:jc w:val="left"/>
              </w:pPr>
              <w:r>
                <w:t xml:space="preserve">0.027</w:t>
              </w:r>
            </w:ins>
          </w:p>
        </w:tc>
        <w:tc>
          <w:tcPr/>
          <w:p>
            <w:ins w:id="10881" w:author="R2 Revision" w:date="2026-05-19T00:00:00Z">
              <w:pPr>
                <w:pStyle w:val="Compact"/>
                <w:jc w:val="left"/>
              </w:pPr>
              <w:r>
                <w:t xml:space="preserve">2.8x</w:t>
              </w:r>
            </w:ins>
          </w:p>
        </w:tc>
        <w:tc>
          <w:tcPr/>
          <w:p>
            <w:ins w:id="10882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83" w:author="R2 Revision" w:date="2026-05-19T00:00:00Z">
              <w:pPr>
                <w:pStyle w:val="Compact"/>
                <w:jc w:val="left"/>
              </w:pPr>
              <w:r>
                <w:t xml:space="preserve">Arbitrum</w:t>
              </w:r>
            </w:ins>
          </w:p>
        </w:tc>
        <w:tc>
          <w:tcPr/>
          <w:p>
            <w:ins w:id="10884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85" w:author="R2 Revision" w:date="2026-05-19T00:00:00Z">
              <w:pPr>
                <w:pStyle w:val="Compact"/>
                <w:jc w:val="left"/>
              </w:pPr>
              <w:r>
                <w:t xml:space="preserve">0.012</w:t>
              </w:r>
            </w:ins>
          </w:p>
        </w:tc>
        <w:tc>
          <w:tcPr/>
          <w:p>
            <w:ins w:id="10886" w:author="R2 Revision" w:date="2026-05-19T00:00:00Z">
              <w:pPr>
                <w:pStyle w:val="Compact"/>
                <w:jc w:val="left"/>
              </w:pPr>
              <w:r>
                <w:t xml:space="preserve">0.052</w:t>
              </w:r>
            </w:ins>
          </w:p>
        </w:tc>
        <w:tc>
          <w:tcPr/>
          <w:p>
            <w:ins w:id="10887" w:author="R2 Revision" w:date="2026-05-19T00:00:00Z">
              <w:pPr>
                <w:pStyle w:val="Compact"/>
                <w:jc w:val="left"/>
              </w:pPr>
              <w:r>
                <w:t xml:space="preserve">4.4x</w:t>
              </w:r>
            </w:ins>
          </w:p>
        </w:tc>
        <w:tc>
          <w:tcPr/>
          <w:p>
            <w:ins w:id="10888" w:author="R2 Revision" w:date="2026-05-19T00:00:00Z">
              <w:pPr>
                <w:pStyle w:val="Compact"/>
                <w:jc w:val="left"/>
              </w:pPr>
              <w:r>
                <w:t xml:space="preserve">Snapshot†</w:t>
              </w:r>
            </w:ins>
          </w:p>
        </w:tc>
      </w:tr>
      <w:tr>
        <w:tc>
          <w:tcPr/>
          <w:p>
            <w:ins w:id="10889" w:author="R2 Revision" w:date="2026-05-19T00:00:00Z">
              <w:pPr>
                <w:pStyle w:val="Compact"/>
                <w:jc w:val="left"/>
              </w:pPr>
              <w:r>
                <w:t xml:space="preserve">Optimism</w:t>
              </w:r>
            </w:ins>
          </w:p>
        </w:tc>
        <w:tc>
          <w:tcPr/>
          <w:p>
            <w:ins w:id="10890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891" w:author="R2 Revision" w:date="2026-05-19T00:00:00Z">
              <w:pPr>
                <w:pStyle w:val="Compact"/>
                <w:jc w:val="left"/>
              </w:pPr>
              <w:r>
                <w:t xml:space="preserve">0.009</w:t>
              </w:r>
            </w:ins>
          </w:p>
        </w:tc>
        <w:tc>
          <w:tcPr/>
          <w:p>
            <w:ins w:id="10892" w:author="R2 Revision" w:date="2026-05-19T00:00:00Z">
              <w:pPr>
                <w:pStyle w:val="Compact"/>
                <w:jc w:val="left"/>
              </w:pPr>
              <w:r>
                <w:t xml:space="preserve">0.033</w:t>
              </w:r>
            </w:ins>
          </w:p>
        </w:tc>
        <w:tc>
          <w:tcPr/>
          <w:p>
            <w:ins w:id="10893" w:author="R2 Revision" w:date="2026-05-19T00:00:00Z">
              <w:pPr>
                <w:pStyle w:val="Compact"/>
                <w:jc w:val="left"/>
              </w:pPr>
              <w:r>
                <w:t xml:space="preserve">3.6x</w:t>
              </w:r>
            </w:ins>
          </w:p>
        </w:tc>
        <w:tc>
          <w:tcPr/>
          <w:p>
            <w:ins w:id="10894" w:author="R2 Revision" w:date="2026-05-19T00:00:00Z">
              <w:pPr>
                <w:pStyle w:val="Compact"/>
                <w:jc w:val="left"/>
              </w:pPr>
              <w:r>
                <w:t xml:space="preserve">Tally</w:t>
              </w:r>
            </w:ins>
          </w:p>
        </w:tc>
      </w:tr>
      <w:tr>
        <w:tc>
          <w:tcPr/>
          <w:p>
            <w:ins w:id="10895" w:author="R2 Revision" w:date="2026-05-19T00:00:00Z">
              <w:pPr>
                <w:pStyle w:val="Compact"/>
                <w:jc w:val="left"/>
              </w:pPr>
              <w:r>
                <w:t xml:space="preserve">GMX</w:t>
              </w:r>
            </w:ins>
          </w:p>
        </w:tc>
        <w:tc>
          <w:tcPr/>
          <w:p>
            <w:ins w:id="10896" w:author="R2 Revision" w:date="2026-05-19T00:00:00Z">
              <w:pPr>
                <w:pStyle w:val="Compact"/>
                <w:jc w:val="left"/>
              </w:pPr>
              <w:r>
                <w:t xml:space="preserve">DeFi</w:t>
              </w:r>
            </w:ins>
          </w:p>
        </w:tc>
        <w:tc>
          <w:tcPr/>
          <w:p>
            <w:ins w:id="10897" w:author="R2 Revision" w:date="2026-05-19T00:00:00Z">
              <w:pPr>
                <w:pStyle w:val="Compact"/>
                <w:jc w:val="left"/>
              </w:pPr>
              <w:r>
                <w:t xml:space="preserve">0.065</w:t>
              </w:r>
            </w:ins>
          </w:p>
        </w:tc>
        <w:tc>
          <w:tcPr/>
          <w:p>
            <w:ins w:id="10898" w:author="R2 Revision" w:date="2026-05-19T00:00:00Z">
              <w:pPr>
                <w:pStyle w:val="Compact"/>
                <w:jc w:val="left"/>
              </w:pPr>
              <w:r>
                <w:t xml:space="preserve">0.077</w:t>
              </w:r>
            </w:ins>
          </w:p>
        </w:tc>
        <w:tc>
          <w:tcPr/>
          <w:p>
            <w:ins w:id="10899" w:author="R2 Revision" w:date="2026-05-19T00:00:00Z">
              <w:pPr>
                <w:pStyle w:val="Compact"/>
                <w:jc w:val="left"/>
              </w:pPr>
              <w:r>
                <w:t xml:space="preserve">1.2x</w:t>
              </w:r>
            </w:ins>
          </w:p>
        </w:tc>
        <w:tc>
          <w:tcPr/>
          <w:p>
            <w:ins w:id="10900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  <w:tr>
        <w:tc>
          <w:tcPr/>
          <w:p>
            <w:ins w:id="10901" w:author="R2 Revision" w:date="2026-05-19T00:00:00Z">
              <w:pPr>
                <w:pStyle w:val="Compact"/>
                <w:jc w:val="left"/>
              </w:pPr>
              <w:r>
                <w:t xml:space="preserve">ENS</w:t>
              </w:r>
            </w:ins>
          </w:p>
        </w:tc>
        <w:tc>
          <w:tcPr/>
          <w:p>
            <w:ins w:id="10902" w:author="R2 Revision" w:date="2026-05-19T00:00:00Z">
              <w:pPr>
                <w:pStyle w:val="Compact"/>
                <w:jc w:val="left"/>
              </w:pPr>
              <w:r>
                <w:t xml:space="preserve">Infra</w:t>
              </w:r>
            </w:ins>
          </w:p>
        </w:tc>
        <w:tc>
          <w:tcPr/>
          <w:p>
            <w:ins w:id="10903" w:author="R2 Revision" w:date="2026-05-19T00:00:00Z">
              <w:pPr>
                <w:pStyle w:val="Compact"/>
                <w:jc w:val="left"/>
              </w:pPr>
              <w:r>
                <w:t xml:space="preserve">0.071</w:t>
              </w:r>
            </w:ins>
          </w:p>
        </w:tc>
        <w:tc>
          <w:tcPr/>
          <w:p>
            <w:ins w:id="10904" w:author="R2 Revision" w:date="2026-05-19T00:00:00Z">
              <w:pPr>
                <w:pStyle w:val="Compact"/>
                <w:jc w:val="left"/>
              </w:pPr>
              <w:r>
                <w:t xml:space="preserve">0.028</w:t>
              </w:r>
            </w:ins>
          </w:p>
        </w:tc>
        <w:tc>
          <w:tcPr/>
          <w:p>
            <w:ins w:id="10905" w:author="R2 Revision" w:date="2026-05-19T00:00:00Z">
              <w:pPr>
                <w:pStyle w:val="Compact"/>
                <w:jc w:val="left"/>
              </w:pPr>
              <w:r>
                <w:t xml:space="preserve">0.39x</w:t>
              </w:r>
            </w:ins>
          </w:p>
        </w:tc>
        <w:tc>
          <w:tcPr/>
          <w:p>
            <w:ins w:id="10906" w:author="R2 Revision" w:date="2026-05-19T00:00:00Z">
              <w:pPr>
                <w:pStyle w:val="Compact"/>
                <w:jc w:val="left"/>
              </w:pPr>
              <w:r>
                <w:t xml:space="preserve">Tally‡</w:t>
              </w:r>
            </w:ins>
          </w:p>
        </w:tc>
      </w:tr>
    </w:tbl>
    <w:p>
      <w:ins w:id="10907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Table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Holding versus voting concentration for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sufficient governance activity (12-month lookback). Voting HHI computed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from Tally delegate voting power (on-chain) or Snapshot vote-weighted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power (off-chain). Ratio above 1.0 indicates delegation concentrates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above the level measured from token holdings; below 1.0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indicates delegation distributes. Holding HHIs are post-exclusion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values consistent with Table 4 (Uniswap reflects the universal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burn-rule exclusion of 0x000…000dead; Optimism reflects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post-exclusion measurement consistent with the regression dataset;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Lido reflects post protocol-controlled-address exclusion).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Nine of ten protocols sampled exhibit voting HHI above holding HHI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(amplification ratios 1.2x to 11.4x; mean 5.3x); one protocol (ENS)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shows delegation-mediated dispersion (ratio 0.39x), reflecting a mature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delegate program where holders systematically delegate to a broader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community-delegate set rather than self-delegating. The structural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variation across protocols is consistent with the framework’s emphasis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on institutional design at the delegate-program level: delegation does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not uniformly concentrate; it concentrates in most protocols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disperses in the protocol with the most-developed broad-delegate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distribution infrastructure. Two further protocols using vote-escrowed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governance (Curve veCRV; Balancer veBAL) show extreme amplification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(15x and 21x respectively) and are discussed separately in Section 4.1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 a distinct ve-token class.</w:t>
        </w:r>
      </w:ins>
    </w:p>
    <w:p>
      <w:ins w:id="10908" w:author="R2 Revision" w:date="2026-05-19T00:00:00Z">
        <w:pPr>
          <w:pStyle w:val="BodyText"/>
        </w:pPr>
        <w:r>
          <w:t xml:space="preserve">† Compound and Arbitrum voting HHI sourced from Snapshot (n = 114 and n</w:t>
        </w:r>
        <w:r>
          <w:t xml:space="preserve"> </w:t>
        </w:r>
        <w:r>
          <w:t xml:space="preserve">= 5,241 unique voters in the measurement window respectively) where</w:t>
        </w:r>
        <w:r>
          <w:t xml:space="preserve"> </w:t>
        </w:r>
        <w:r>
          <w:t xml:space="preserve">Snapshot's active-voter pool exceeded Tally's top-100-delegate</w:t>
        </w:r>
        <w:r>
          <w:t xml:space="preserve"> </w:t>
        </w:r>
        <w:r>
          <w:t xml:space="preserve">sampling. AAVE, Uniswap, Optimism, GMX, and ENS use Tally; DIMO,</w:t>
        </w:r>
        <w:r>
          <w:t xml:space="preserve"> </w:t>
        </w:r>
        <w:r>
          <w:t xml:space="preserve">WeatherXM, and Lido use Snapshot (Tally is not deployed for these</w:t>
        </w:r>
        <w:r>
          <w:t xml:space="preserve"> </w:t>
        </w:r>
        <w:r>
          <w:t xml:space="preserve">protocols).</w:t>
        </w:r>
      </w:ins>
    </w:p>
    <w:p>
      <w:ins w:id="10909" w:author="R2 Revision" w:date="2026-05-19T00:00:00Z">
        <w:pPr>
          <w:pStyle w:val="BodyText"/>
        </w:pPr>
        <w:r>
          <w:t xml:space="preserve">‡ GMX and ENS values from paginated Tally top-100 delegate pulls</w:t>
        </w:r>
        <w:r>
          <w:t xml:space="preserve"> </w:t>
        </w:r>
        <w:r>
          <w:t xml:space="preserve">(May 2026). Snapshot date drift between March 2026 baseline (used for</w:t>
        </w:r>
        <w:r>
          <w:t xml:space="preserve"> </w:t>
        </w:r>
        <w:r>
          <w:t xml:space="preserve">the eight protocols with March 2026 voting data) and May 2026 (used</w:t>
        </w:r>
        <w:r>
          <w:t xml:space="preserve"> </w:t>
        </w:r>
        <w:r>
          <w:t xml:space="preserve">for GMX and ENS) is documented in Section 2.10.3; rank-ordering across</w:t>
        </w:r>
        <w:r>
          <w:t xml:space="preserve"> </w:t>
        </w:r>
        <w:r>
          <w:t xml:space="preserve">protocols is the durable inferential property, with absolute magnitudes</w:t>
        </w:r>
        <w:r>
          <w:t xml:space="preserve"> </w:t>
        </w:r>
        <w:r>
          <w:t xml:space="preserve">subject to delegate-pool changes over multi-month windows.</w:t>
        </w:r>
      </w:ins>
    </w:p>
    <w:bookmarkStart w:id="95" w:name="X5aa57646c4396d747e0131ec008a4e3f93d4422"/>
    <w:p>
      <w:ins w:id="10910" w:author="R2 Revision" w:date="2026-05-19T00:00:00Z">
        <w:pPr>
          <w:pStyle w:val="Heading3"/>
        </w:pPr>
        <w:r>
          <w:t xml:space="preserve">3.5.1 ENS as institutional-design counterexample</w:t>
        </w:r>
      </w:ins>
    </w:p>
    <w:p>
      <w:ins w:id="10911" w:author="R2 Revision" w:date="2026-05-19T00:00:00Z">
        <w:pPr>
          <w:pStyle w:val="FirstParagraph"/>
        </w:pPr>
        <w:r>
          <w:t xml:space="preserve">ENS is the only protocol in the cross-section where delegation</w:t>
        </w:r>
        <w:r>
          <w:t xml:space="preserve"> </w:t>
        </w:r>
        <w:r>
          <w:t xml:space="preserve">empirically disperses voting power below the holding-HHI baseline</w:t>
        </w:r>
        <w:r>
          <w:t xml:space="preserve"> </w:t>
        </w:r>
        <w:r>
          <w:t xml:space="preserve">(ratio 0.39x; voting HHI 0.028 vs holding HHI 0.071, the latter</w:t>
        </w:r>
        <w:r>
          <w:t xml:space="preserve"> </w:t>
        </w:r>
        <w:r>
          <w:t xml:space="preserve">computed after the ENS DAO Wallet and Treasury PCA exclusions</w:t>
        </w:r>
        <w:r>
          <w:t xml:space="preserve"> </w:t>
        </w:r>
        <w:r>
          <w:t xml:space="preserve">codified in Section 2.10.10). The dispersion case is informative for</w:t>
        </w:r>
        <w:r>
          <w:t xml:space="preserve"> </w:t>
        </w:r>
        <w:r>
          <w:t xml:space="preserve">the framework’s institutional-design thesis because it provides an</w:t>
        </w:r>
        <w:r>
          <w:t xml:space="preserve"> </w:t>
        </w:r>
        <w:r>
          <w:t xml:space="preserve">existence-proof that delegation outcomes are design-tractable rather</w:t>
        </w:r>
        <w:r>
          <w:t xml:space="preserve"> </w:t>
        </w:r>
        <w:r>
          <w:t xml:space="preserve">than mechanism-inevitable. The ENS delegate program funds approximately</w:t>
        </w:r>
        <w:r>
          <w:t xml:space="preserve"> </w:t>
        </w:r>
        <w:r>
          <w:t xml:space="preserve">100 active delegates (including the ENS DAO ecosystem grants for</w:t>
        </w:r>
        <w:r>
          <w:t xml:space="preserve"> </w:t>
        </w:r>
        <w:r>
          <w:t xml:space="preserve">delegate work), and the top-100 delegate voting-power distribution is</w:t>
        </w:r>
        <w:r>
          <w:t xml:space="preserve"> </w:t>
        </w:r>
        <w:r>
          <w:t xml:space="preserve">structurally broader than the holding distribution: top-1 post-exclusion</w:t>
        </w:r>
        <w:r>
          <w:t xml:space="preserve"> </w:t>
        </w:r>
        <w:r>
          <w:t xml:space="preserve">holding share is 19.9% while top-1 voting-power share is 12.1%</w:t>
        </w:r>
        <w:r>
          <w:t xml:space="preserve"> </w:t>
        </w:r>
        <w:r>
          <w:t xml:space="preserve">(fireeyesdao.eth, a community-elected delegate). Holders systematically</w:t>
        </w:r>
        <w:r>
          <w:t xml:space="preserve"> </w:t>
        </w:r>
        <w:r>
          <w:t xml:space="preserve">delegate to a broader community-delegate set rather than self-delegating</w:t>
        </w:r>
        <w:r>
          <w:t xml:space="preserve"> </w:t>
        </w:r>
        <w:r>
          <w:t xml:space="preserve">or delegating to whales.</w:t>
        </w:r>
      </w:ins>
    </w:p>
    <w:p>
      <w:ins w:id="10912" w:author="R2 Revision" w:date="2026-05-19T00:00:00Z">
        <w:pPr>
          <w:pStyle w:val="BodyText"/>
        </w:pPr>
        <w:r>
          <w:t xml:space="preserve">The ENS finding contrasts with the nine protocols where delegation</w:t>
        </w:r>
        <w:r>
          <w:t xml:space="preserve"> </w:t>
        </w:r>
        <w:r>
          <w:t xml:space="preserve">amplifies: in those protocols, the top-delegate identity is typically</w:t>
        </w:r>
        <w:r>
          <w:t xml:space="preserve"> </w:t>
        </w:r>
        <w:r>
          <w:t xml:space="preserve">either the protocol foundation itself, a staking-aggregation contract</w:t>
        </w:r>
        <w:r>
          <w:t xml:space="preserve"> </w:t>
        </w:r>
        <w:r>
          <w:t xml:space="preserve">that aggregates underlying staker voting power, or an institutional</w:t>
        </w:r>
        <w:r>
          <w:t xml:space="preserve"> </w:t>
        </w:r>
        <w:r>
          <w:t xml:space="preserve">delegate firm (see Section 3.5.3). The structural pattern across the</w:t>
        </w:r>
        <w:r>
          <w:t xml:space="preserve"> </w:t>
        </w:r>
        <w:r>
          <w:t xml:space="preserve">ten-protocol sample is consistent with the framework’s thesis that</w:t>
        </w:r>
        <w:r>
          <w:t xml:space="preserve"> </w:t>
        </w:r>
        <w:r>
          <w:t xml:space="preserve">institutional design at the delegate-program level governs the</w:t>
        </w:r>
        <w:r>
          <w:t xml:space="preserve"> </w:t>
        </w:r>
        <w:r>
          <w:t xml:space="preserve">direction of delegation’s effect on voting concentration. The</w:t>
        </w:r>
        <w:r>
          <w:t xml:space="preserve"> </w:t>
        </w:r>
        <w:r>
          <w:t xml:space="preserve">generalizable design recommendation: delegate-program architectures</w:t>
        </w:r>
        <w:r>
          <w:t xml:space="preserve"> </w:t>
        </w:r>
        <w:r>
          <w:t xml:space="preserve">that incentivize broad community-delegate distribution (recurring</w:t>
        </w:r>
        <w:r>
          <w:t xml:space="preserve"> </w:t>
        </w:r>
        <w:r>
          <w:t xml:space="preserve">delegate compensation; public delegate platforms; active recruitment;</w:t>
        </w:r>
        <w:r>
          <w:t xml:space="preserve"> </w:t>
        </w:r>
        <w:r>
          <w:t xml:space="preserve">operational support for non-whale delegates) can produce</w:t>
        </w:r>
        <w:r>
          <w:t xml:space="preserve"> </w:t>
        </w:r>
        <w:r>
          <w:t xml:space="preserve">delegation-mediated dispersion of voting power, contrary to the</w:t>
        </w:r>
        <w:r>
          <w:t xml:space="preserve"> </w:t>
        </w:r>
        <w:r>
          <w:t xml:space="preserve">default-amplification pattern documented across most token-governance</w:t>
        </w:r>
        <w:r>
          <w:t xml:space="preserve"> </w:t>
        </w:r>
        <w:r>
          <w:t xml:space="preserve">protocols.</w:t>
        </w:r>
      </w:ins>
    </w:p>
    <w:bookmarkEnd w:id="95"/>
    <w:bookmarkStart w:id="96" w:name="X6f58f7697d4d352d39020277026eb89bc2b1dd5"/>
    <w:p>
      <w:ins w:id="10913" w:author="R2 Revision" w:date="2026-05-19T00:00:00Z">
        <w:pPr>
          <w:pStyle w:val="Heading3"/>
        </w:pPr>
        <w:r>
          <w:t xml:space="preserve">3.5.2 Vote-escrowed governance as an extreme-amplification class</w:t>
        </w:r>
      </w:ins>
    </w:p>
    <w:p>
      <w:ins w:id="10914" w:author="R2 Revision" w:date="2026-05-19T00:00:00Z">
        <w:pPr>
          <w:pStyle w:val="FirstParagraph"/>
        </w:pPr>
        <w:r>
          <w:t xml:space="preserve">Two protocols using vote-escrowed governance (Curve veCRV; Balancer</w:t>
        </w:r>
        <w:r>
          <w:t xml:space="preserve"> </w:t>
        </w:r>
        <w:r>
          <w:t xml:space="preserve">veBAL) form a distinct extreme-amplification class that operates</w:t>
        </w:r>
        <w:r>
          <w:t xml:space="preserve"> </w:t>
        </w:r>
        <w:r>
          <w:t xml:space="preserve">through structurally different mechanisms than the delegate-based</w:t>
        </w:r>
        <w:r>
          <w:t xml:space="preserve"> </w:t>
        </w:r>
        <w:r>
          <w:t xml:space="preserve">amplification documented in the Table 7 sample. Curve’s veCRV system</w:t>
        </w:r>
        <w:r>
          <w:t xml:space="preserve"> </w:t>
        </w:r>
        <w:r>
          <w:t xml:space="preserve">locks CRV for up to four years; lock-duration multipliers convert</w:t>
        </w:r>
        <w:r>
          <w:t xml:space="preserve"> </w:t>
        </w:r>
        <w:r>
          <w:t xml:space="preserve">locked CRV into proportional veCRV voting power, with longer locks</w:t>
        </w:r>
        <w:r>
          <w:t xml:space="preserve"> </w:t>
        </w:r>
        <w:r>
          <w:t xml:space="preserve">weighted more heavily. Convex (the dominant meta-governance protocol</w:t>
        </w:r>
        <w:r>
          <w:t xml:space="preserve"> </w:t>
        </w:r>
        <w:r>
          <w:t xml:space="preserve">for Curve) aggregates user-deposited CRV into a single locked position</w:t>
        </w:r>
        <w:r>
          <w:t xml:space="preserve"> </w:t>
        </w:r>
        <w:r>
          <w:t xml:space="preserve">that votes as a meta-governance layer; Convex holds approximately 48</w:t>
        </w:r>
        <w:r>
          <w:t xml:space="preserve"> </w:t>
        </w:r>
        <w:r>
          <w:t xml:space="preserve">percent of the top-50 historical veCRV deposit-weighted share per the</w:t>
        </w:r>
        <w:r>
          <w:t xml:space="preserve"> </w:t>
        </w:r>
        <w:r>
          <w:t xml:space="preserve">direct cumulative-deposit computation (Section 4.1; supplementary file</w:t>
        </w:r>
        <w:r>
          <w:t xml:space="preserve"> </w:t>
        </w:r>
        <w:r>
          <w:t xml:space="preserve">veCRV_voting_concentration). The resulting veCRV</w:t>
        </w:r>
        <w:r>
          <w:t xml:space="preserve"> </w:t>
        </w:r>
        <w:r>
          <w:t xml:space="preserve">voting concentration (HHI 0.26 from cumulative-deposit aggregation</w:t>
        </w:r>
        <w:r>
          <w:t xml:space="preserve"> </w:t>
        </w:r>
        <w:r>
          <w:t xml:space="preserve">across top-50 lockers) is approximately 15 times the raw post-Convex-</w:t>
        </w:r>
        <w:r>
          <w:t xml:space="preserve"> </w:t>
        </w:r>
        <w:r>
          <w:t xml:space="preserve">exclusion CRV holding HHI of 0.017.</w:t>
        </w:r>
      </w:ins>
    </w:p>
    <w:p>
      <w:ins w:id="10915" w:author="R2 Revision" w:date="2026-05-19T00:00:00Z">
        <w:pPr>
          <w:pStyle w:val="BodyText"/>
        </w:pPr>
        <w:r>
          <w:t xml:space="preserve">Balancer’s veBAL system exhibits a structurally identical pattern:</w:t>
        </w:r>
        <w:r>
          <w:t xml:space="preserve"> </w:t>
        </w:r>
        <w:r>
          <w:t xml:space="preserve">Snapshot voting on Balancer’s governance space (12-month lookback;</w:t>
        </w:r>
        <w:r>
          <w:t xml:space="preserve"> </w:t>
        </w:r>
        <w:r>
          <w:t xml:space="preserve">36 active voters) yields voting HHI 0.626 against holding HHI 0.030,</w:t>
        </w:r>
        <w:r>
          <w:t xml:space="preserve"> </w:t>
        </w:r>
        <w:r>
          <w:t xml:space="preserve">a 21x amplification ratio. The top-1 active voter holds 78 percent of</w:t>
        </w:r>
        <w:r>
          <w:t xml:space="preserve"> </w:t>
        </w:r>
        <w:r>
          <w:t xml:space="preserve">total voting power; the top-10 voters cumulatively hold 99.85 percent.</w:t>
        </w:r>
        <w:r>
          <w:t xml:space="preserve"> </w:t>
        </w:r>
        <w:r>
          <w:t xml:space="preserve">The Aura Finance protocol (Balancer’s Convex-equivalent</w:t>
        </w:r>
        <w:r>
          <w:t xml:space="preserve"> </w:t>
        </w:r>
        <w:r>
          <w:t xml:space="preserve">meta-governance aggregator) plays the same role for veBAL that Convex</w:t>
        </w:r>
        <w:r>
          <w:t xml:space="preserve"> </w:t>
        </w:r>
        <w:r>
          <w:t xml:space="preserve">plays for veCRV.</w:t>
        </w:r>
      </w:ins>
    </w:p>
    <w:p>
      <w:ins w:id="10916" w:author="R2 Revision" w:date="2026-05-19T00:00:00Z">
        <w:pPr>
          <w:pStyle w:val="BodyText"/>
        </w:pPr>
        <w:r>
          <w:t xml:space="preserve">The veCRV and veBAL cases are not included in the Table 7 row set</w:t>
        </w:r>
        <w:r>
          <w:t xml:space="preserve"> </w:t>
        </w:r>
        <w:r>
          <w:t xml:space="preserve">because the underlying methodology differs: Table 7 measures HHI of</w:t>
        </w:r>
        <w:r>
          <w:t xml:space="preserve"> </w:t>
        </w:r>
        <w:r>
          <w:t xml:space="preserve">delegate voting power within token-governance delegate programs; the</w:t>
        </w:r>
        <w:r>
          <w:t xml:space="preserve"> </w:t>
        </w:r>
        <w:r>
          <w:t xml:space="preserve">ve-token cases measure HHI of lock-duration-weighted CRV/BAL</w:t>
        </w:r>
        <w:r>
          <w:t xml:space="preserve"> </w:t>
        </w:r>
        <w:r>
          <w:t xml:space="preserve">deposits, with meta-governance aggregation. The two mechanism classes</w:t>
        </w:r>
        <w:r>
          <w:t xml:space="preserve"> </w:t>
        </w:r>
        <w:r>
          <w:t xml:space="preserve">produce concentration through different paths but converge on the</w:t>
        </w:r>
        <w:r>
          <w:t xml:space="preserve"> </w:t>
        </w:r>
        <w:r>
          <w:t xml:space="preserve">same direction (amplification) with much larger magnitudes (15-21x</w:t>
        </w:r>
        <w:r>
          <w:t xml:space="preserve"> </w:t>
        </w:r>
        <w:r>
          <w:t xml:space="preserve">versus the 1.2x-11.4x range observed in delegate-program-based</w:t>
        </w:r>
        <w:r>
          <w:t xml:space="preserve"> </w:t>
        </w:r>
        <w:r>
          <w:t xml:space="preserve">amplification). For practitioners designing token governance, the</w:t>
        </w:r>
        <w:r>
          <w:t xml:space="preserve"> </w:t>
        </w:r>
        <w:r>
          <w:t xml:space="preserve">ve-token class is a separate design choice with substantially</w:t>
        </w:r>
        <w:r>
          <w:t xml:space="preserve"> </w:t>
        </w:r>
        <w:r>
          <w:t xml:space="preserve">different concentration implications than standard delegate-program</w:t>
        </w:r>
        <w:r>
          <w:t xml:space="preserve"> </w:t>
        </w:r>
        <w:r>
          <w:t xml:space="preserve">governance.</w:t>
        </w:r>
      </w:ins>
    </w:p>
    <w:bookmarkEnd w:id="96"/>
    <w:bookmarkStart w:id="97" w:name="Xfa73bc062c432381afdcb5f5da2b521607734ad"/>
    <w:p>
      <w:ins w:id="10917" w:author="R2 Revision" w:date="2026-05-19T00:00:00Z">
        <w:pPr>
          <w:pStyle w:val="Heading3"/>
        </w:pPr>
        <w:r>
          <w:t xml:space="preserve">3.5.3 Foundation and aggregation-contract top-delegate pattern</w:t>
        </w:r>
      </w:ins>
    </w:p>
    <w:p>
      <w:ins w:id="10918" w:author="R2 Revision" w:date="2026-05-19T00:00:00Z">
        <w:pPr>
          <w:pStyle w:val="FirstParagraph"/>
        </w:pPr>
        <w:r>
          <w:t xml:space="preserve">Three of the ten Table 7 protocols (plus the two ve-token class</w:t>
        </w:r>
        <w:r>
          <w:t xml:space="preserve"> </w:t>
        </w:r>
        <w:r>
          <w:t xml:space="preserve">protocols in Section 3.5.2) have their largest single voting block</w:t>
        </w:r>
        <w:r>
          <w:t xml:space="preserve"> </w:t>
        </w:r>
        <w:r>
          <w:t xml:space="preserve">held by a protocol-controlled entity rather than an independent</w:t>
        </w:r>
        <w:r>
          <w:t xml:space="preserve"> </w:t>
        </w:r>
        <w:r>
          <w:t xml:space="preserve">community delegate. Compound’s top Tally delegate is Compound</w:t>
        </w:r>
        <w:r>
          <w:t xml:space="preserve"> </w:t>
        </w:r>
        <w:r>
          <w:t xml:space="preserve">Foundation itself, holding 21.5 percent of total delegated voting</w:t>
        </w:r>
        <w:r>
          <w:t xml:space="preserve"> </w:t>
        </w:r>
        <w:r>
          <w:t xml:space="preserve">power in the May 2026 Tally pull. Aave’s</w:t>
        </w:r>
        <w:r>
          <w:t xml:space="preserve"> </w:t>
        </w:r>
        <w:r>
          <w:t xml:space="preserve">top Tally delegate is the stkAAVE staking contract at 21.9 percent</w:t>
        </w:r>
        <w:r>
          <w:t xml:space="preserve"> </w:t>
        </w:r>
        <w:r>
          <w:t xml:space="preserve">of total delegated voting power; the contract aggregates underlying</w:t>
        </w:r>
        <w:r>
          <w:t xml:space="preserve"> </w:t>
        </w:r>
        <w:r>
          <w:t xml:space="preserve">staker voting power and votes as a single delegate. Curve’s veCRV</w:t>
        </w:r>
        <w:r>
          <w:t xml:space="preserve"> </w:t>
        </w:r>
        <w:r>
          <w:t xml:space="preserve">voting (Section 3.5.2) is dominated by Convex at 48 percent of top-50</w:t>
        </w:r>
        <w:r>
          <w:t xml:space="preserve"> </w:t>
        </w:r>
        <w:r>
          <w:t xml:space="preserve">deposit-weighted share. These patterns share a structural feature:</w:t>
        </w:r>
        <w:r>
          <w:t xml:space="preserve"> </w:t>
        </w:r>
        <w:r>
          <w:t xml:space="preserve">the top voting block is an aggregation entity (foundation, staking</w:t>
        </w:r>
        <w:r>
          <w:t xml:space="preserve"> </w:t>
        </w:r>
        <w:r>
          <w:t xml:space="preserve">contract, or meta-governance protocol) rather than an independent</w:t>
        </w:r>
        <w:r>
          <w:t xml:space="preserve"> </w:t>
        </w:r>
        <w:r>
          <w:t xml:space="preserve">community member.</w:t>
        </w:r>
      </w:ins>
    </w:p>
    <w:p>
      <w:ins w:id="10919" w:author="R2 Revision" w:date="2026-05-19T00:00:00Z">
        <w:pPr>
          <w:pStyle w:val="BodyText"/>
        </w:pPr>
        <w:r>
          <w:t xml:space="preserve">The aggregation-entity pattern raises distinct philosophical and</w:t>
        </w:r>
        <w:r>
          <w:t xml:space="preserve"> </w:t>
        </w:r>
        <w:r>
          <w:t xml:space="preserve">practical concerns relative to independent-delegate-dominated</w:t>
        </w:r>
        <w:r>
          <w:t xml:space="preserve"> </w:t>
        </w:r>
        <w:r>
          <w:t xml:space="preserve">protocols (Uniswap’s top-1 is an investor delegate; Optimism’s top-1</w:t>
        </w:r>
        <w:r>
          <w:t xml:space="preserve"> </w:t>
        </w:r>
        <w:r>
          <w:t xml:space="preserve">is a professional delegate firm; ENS’s top-1 is a community delegate).</w:t>
        </w:r>
        <w:r>
          <w:t xml:space="preserve"> </w:t>
        </w:r>
        <w:r>
          <w:t xml:space="preserve">For the Kantian publicity lens, aggregation entities decide</w:t>
        </w:r>
        <w:r>
          <w:t xml:space="preserve"> </w:t>
        </w:r>
        <w:r>
          <w:t xml:space="preserve">collectively but typically publish their decision rationale through</w:t>
        </w:r>
        <w:r>
          <w:t xml:space="preserve"> </w:t>
        </w:r>
        <w:r>
          <w:t xml:space="preserve">governance-team statements rather than per-delegate justifications.</w:t>
        </w:r>
        <w:r>
          <w:t xml:space="preserve"> </w:t>
        </w:r>
        <w:r>
          <w:t xml:space="preserve">For the Pettit contestability lens, the operational mechanism scored</w:t>
        </w:r>
        <w:r>
          <w:t xml:space="preserve"> </w:t>
        </w:r>
        <w:r>
          <w:t xml:space="preserve">(formal appeals + veto rights) operates against the aggregation</w:t>
        </w:r>
        <w:r>
          <w:t xml:space="preserve"> </w:t>
        </w:r>
        <w:r>
          <w:t xml:space="preserve">entity as a single counterparty, structurally similar to challenging</w:t>
        </w:r>
        <w:r>
          <w:t xml:space="preserve"> </w:t>
        </w:r>
        <w:r>
          <w:t xml:space="preserve">a corporate proxy vote rather than negotiating with multiple</w:t>
        </w:r>
        <w:r>
          <w:t xml:space="preserve"> </w:t>
        </w:r>
        <w:r>
          <w:t xml:space="preserve">independent delegates. For Rawlsian fairness, aggregation entities</w:t>
        </w:r>
        <w:r>
          <w:t xml:space="preserve"> </w:t>
        </w:r>
        <w:r>
          <w:t xml:space="preserve">may or may not represent the distributional interests of the</w:t>
        </w:r>
        <w:r>
          <w:t xml:space="preserve"> </w:t>
        </w:r>
        <w:r>
          <w:t xml:space="preserve">underlying token-holders or stakers who delegated to them; the</w:t>
        </w:r>
        <w:r>
          <w:t xml:space="preserve"> </w:t>
        </w:r>
        <w:r>
          <w:t xml:space="preserve">principal-agent gap (Holmstrom, 1979; Tirole, 2001) is amplified by</w:t>
        </w:r>
        <w:r>
          <w:t xml:space="preserve"> </w:t>
        </w:r>
        <w:r>
          <w:t xml:space="preserve">the aggregation layer. The PCA-symmetric exclusion analysis (Section</w:t>
        </w:r>
        <w:r>
          <w:t xml:space="preserve"> </w:t>
        </w:r>
        <w:r>
          <w:t xml:space="preserve">3.7) shows that universal amplification holds across the Tally-sourced</w:t>
        </w:r>
        <w:r>
          <w:t xml:space="preserve"> </w:t>
        </w:r>
        <w:r>
          <w:t xml:space="preserve">protocols even when aggregation entities are excluded; the empirical</w:t>
        </w:r>
        <w:r>
          <w:t xml:space="preserve"> </w:t>
        </w:r>
        <w:r>
          <w:t xml:space="preserve">finding is robust to this methodological consideration, but the</w:t>
        </w:r>
        <w:r>
          <w:t xml:space="preserve"> </w:t>
        </w:r>
        <w:r>
          <w:t xml:space="preserve">structural pattern itself is a substantive feature of token-governance</w:t>
        </w:r>
        <w:r>
          <w:t xml:space="preserve"> </w:t>
        </w:r>
        <w:r>
          <w:t xml:space="preserve">practice that deserves explicit recognition in the design literature.</w:t>
        </w:r>
      </w:ins>
    </w:p>
    <w:bookmarkEnd w:id="97"/>
    <w:bookmarkEnd w:id="98"/>
    <w:bookmarkStart w:id="99" w:name="hypothesis-evidence-status"/>
    <w:p>
      <w:ins w:id="10920" w:author="R2 Revision" w:date="2026-05-19T00:00:00Z">
        <w:pPr>
          <w:pStyle w:val="Heading2"/>
        </w:pPr>
        <w:r>
          <w:t xml:space="preserve">3.6 Hypothesis Evidence Status</w:t>
        </w:r>
      </w:ins>
    </w:p>
    <w:p>
      <w:ins w:id="10921" w:author="R2 Revision" w:date="2026-05-19T00:00:00Z">
        <w:pPr>
          <w:pStyle w:val="FirstParagraph"/>
        </w:pPr>
        <w:r>
          <w:t xml:space="preserve">This section maps the governance concentration evidence to the five</w:t>
        </w:r>
        <w:r>
          <w:t xml:space="preserve"> </w:t>
        </w:r>
        <w:r>
          <w:t xml:space="preserve">design hypotheses introduced in Section 2.9. Hypotheses 1 and 2 receive</w:t>
        </w:r>
        <w:r>
          <w:t xml:space="preserve"> </w:t>
        </w:r>
        <w:r>
          <w:t xml:space="preserve">direct support from the cross-section; Hypotheses 3 through 5 require</w:t>
        </w:r>
        <w:r>
          <w:t xml:space="preserve"> </w:t>
        </w:r>
        <w:r>
          <w:t xml:space="preserve">longitudinal evidence beyond this paper's cross-sectional scope,</w:t>
        </w:r>
        <w:r>
          <w:t xml:space="preserve"> </w:t>
        </w:r>
        <w:r>
          <w:t xml:space="preserve">developed in the companion case study (Zukowski, 2026a) using 34 months</w:t>
        </w:r>
        <w:r>
          <w:t xml:space="preserve"> </w:t>
        </w:r>
        <w:r>
          <w:t xml:space="preserve">of Helium data. Full evidence status appears in Supplementary Table S1.</w:t>
        </w:r>
      </w:ins>
    </w:p>
    <w:p>
      <w:ins w:id="10922" w:author="R2 Revision" w:date="2026-05-19T00:00:00Z">
        <w:pPr>
          <w:pStyle w:val="BodyText"/>
        </w:pPr>
        <w:r>
          <w:t xml:space="preserve">The governance concentration data (Table 4) provide descriptive evidence</w:t>
        </w:r>
        <w:r>
          <w:t xml:space="preserve"> </w:t>
        </w:r>
        <w:r>
          <w:t xml:space="preserve">bearing on Hypotheses 1 (publicity-legitimacy) and 2 (contestability).</w:t>
        </w:r>
        <w:r>
          <w:t xml:space="preserve"> </w:t>
        </w:r>
        <w:r>
          <w:t xml:space="preserve">Specifically, the finding that DePIN tokens are materially more</w:t>
        </w:r>
        <w:r>
          <w:t xml:space="preserve"> </w:t>
        </w:r>
        <w:r>
          <w:t xml:space="preserve">concentrated than DeFi peers indicates that DePIN governance structures</w:t>
        </w:r>
        <w:r>
          <w:t xml:space="preserve"> </w:t>
        </w:r>
        <w:r>
          <w:t xml:space="preserve">have not yet achieved the legitimacy properties these hypotheses</w:t>
        </w:r>
        <w:r>
          <w:t xml:space="preserve"> </w:t>
        </w:r>
        <w:r>
          <w:t xml:space="preserve">require. The Anyone Protocol counterexample is consistent with the</w:t>
        </w:r>
        <w:r>
          <w:t xml:space="preserve"> </w:t>
        </w:r>
        <w:r>
          <w:t xml:space="preserve">interpretation that low concentration is feasible, indicating that high</w:t>
        </w:r>
        <w:r>
          <w:t xml:space="preserve"> </w:t>
        </w:r>
        <w:r>
          <w:t xml:space="preserve">concentration in DePIN is not structurally predetermined. Hypotheses 3</w:t>
        </w:r>
        <w:r>
          <w:t xml:space="preserve"> </w:t>
        </w:r>
        <w:r>
          <w:t xml:space="preserve">through 5 are not directly tested with the governance concentration data</w:t>
        </w:r>
        <w:r>
          <w:t xml:space="preserve"> </w:t>
        </w:r>
        <w:r>
          <w:t xml:space="preserve">in this paper and require additional evidence (fiscal flow analysis,</w:t>
        </w:r>
        <w:r>
          <w:t xml:space="preserve"> </w:t>
        </w:r>
        <w:r>
          <w:t xml:space="preserve">operational telemetry, and polycentric structure mapping respectively).</w:t>
        </w:r>
      </w:ins>
    </w:p>
    <w:bookmarkEnd w:id="99"/>
    <w:bookmarkStart w:id="110" w:name="robustness-leave-one-out-sensitivity"/>
    <w:p>
      <w:ins w:id="10923" w:author="R2 Revision" w:date="2026-05-19T00:00:00Z">
        <w:pPr>
          <w:pStyle w:val="Heading2"/>
        </w:pPr>
        <w:r>
          <w:t xml:space="preserve">3.7 Robustness: Leave-One-Out Sensitivity</w:t>
        </w:r>
      </w:ins>
    </w:p>
    <w:p>
      <w:ins w:id="10924" w:author="R2 Revision" w:date="2026-05-19T00:00:00Z">
        <w:pPr>
          <w:pStyle w:val="FirstParagraph"/>
        </w:pPr>
        <w:r>
          <w:t xml:space="preserve">The cross-sectional sample size (N = 30 for the DePIN-vs-DeFi sector</w:t>
        </w:r>
        <w:r>
          <w:t xml:space="preserve"> </w:t>
        </w:r>
        <w:r>
          <w:t xml:space="preserve">contrast; N = 19 for the subsidy excluding Livepeer test) bounds the</w:t>
        </w:r>
        <w:r>
          <w:t xml:space="preserve"> </w:t>
        </w:r>
        <w:r>
          <w:t xml:space="preserve">strength of inference. Sector-level results are robust to individual</w:t>
        </w:r>
        <w:r>
          <w:t xml:space="preserve"> </w:t>
        </w:r>
        <w:r>
          <w:t xml:space="preserve">observations: Mann-Whitney is significant in all 30 of 30 leave-one-out</w:t>
        </w:r>
        <w:r>
          <w:t xml:space="preserve"> </w:t>
        </w:r>
        <w:r>
          <w:t xml:space="preserve">resamples following the holder-list cutoff correction. Findings</w:t>
        </w:r>
        <w:r>
          <w:t xml:space="preserve"> </w:t>
        </w:r>
        <w:r>
          <w:t xml:space="preserve">throughout the paper are reported as 'consistent with' or</w:t>
        </w:r>
        <w:r>
          <w:t xml:space="preserve"> </w:t>
        </w:r>
        <w:r>
          <w:t xml:space="preserve">'indicating' rather than 'driving' or 'producing'; the</w:t>
        </w:r>
        <w:r>
          <w:t xml:space="preserve"> </w:t>
        </w:r>
        <w:r>
          <w:t xml:space="preserve">cross-sectional design supports descriptive claims about association</w:t>
        </w:r>
        <w:r>
          <w:t xml:space="preserve"> </w:t>
        </w:r>
        <w:r>
          <w:t xml:space="preserve">rather than causal claims about mechanism.</w:t>
        </w:r>
      </w:ins>
    </w:p>
    <w:p>
      <w:ins w:id="10925" w:author="R2 Revision" w:date="2026-05-19T00:00:00Z">
        <w:pPr>
          <w:pStyle w:val="BodyText"/>
        </w:pPr>
        <w:r>
          <w:t xml:space="preserve">All primary findings were tested by dropping each protocol one at a time</w:t>
        </w:r>
        <w:r>
          <w:t xml:space="preserve"> </w:t>
        </w:r>
        <w:r>
          <w:t xml:space="preserve">and recomputing the statistic. The insider-retention correlation is</w:t>
        </w:r>
        <w:r>
          <w:t xml:space="preserve"> </w:t>
        </w:r>
        <w:r>
          <w:t xml:space="preserve">fully robust. The DePIN-DeFi sector difference is fully robust to</w:t>
        </w:r>
        <w:r>
          <w:t xml:space="preserve"> </w:t>
        </w:r>
        <w:r>
          <w:t xml:space="preserve">single-protocol exclusion (significant across all 30 of 30 leave-one-out</w:t>
        </w:r>
        <w:r>
          <w:t xml:space="preserve"> </w:t>
        </w:r>
        <w:r>
          <w:t xml:space="preserve">iterations). The subsidy correlation is entirely driven by Livepeer.</w:t>
        </w:r>
        <w:r>
          <w:t xml:space="preserve"> </w:t>
        </w:r>
        <w:r>
          <w:t xml:space="preserve">Details follow.</w:t>
        </w:r>
      </w:ins>
    </w:p>
    <w:p>
      <w:ins w:id="10926" w:author="R2 Revision" w:date="2026-05-19T00:00:00Z">
        <w:pPr>
          <w:pStyle w:val="BodyText"/>
        </w:pPr>
        <w:r>
          <w:t xml:space="preserve">The insider concentration relationship (Spearman rho = 0.48, p = 0.003,</w:t>
        </w:r>
        <w:r>
          <w:t xml:space="preserve"> </w:t>
        </w:r>
        <w:r>
          <w:t xml:space="preserve">N = 37) is robust: it remains</w:t>
        </w:r>
        <w:r>
          <w:t xml:space="preserve"> </w:t>
        </w:r>
        <w:r>
          <w:t xml:space="preserve">significant across all 37 single-protocol exclusions, with rho ranging</w:t>
        </w:r>
        <w:r>
          <w:t xml:space="preserve"> </w:t>
        </w:r>
        <w:r>
          <w:t xml:space="preserve">from 0.45 to 0.55. Neither the highest-insider protocols (DIMO and</w:t>
        </w:r>
        <w:r>
          <w:t xml:space="preserve"> </w:t>
        </w:r>
        <w:r>
          <w:t xml:space="preserve">MetaDAO, insider fraction 1.0) nor the zero-insider protocols</w:t>
        </w:r>
        <w:r>
          <w:t xml:space="preserve"> </w:t>
        </w:r>
        <w:r>
          <w:t xml:space="preserve">(Hyperliquid, Optimism, Arbitrum) individually drive the result.</w:t>
        </w:r>
      </w:ins>
    </w:p>
    <w:p>
      <w:ins w:id="10927" w:author="R2 Revision" w:date="2026-05-19T00:00:00Z">
        <w:pPr>
          <w:pStyle w:val="BodyText"/>
        </w:pPr>
        <w:r>
          <w:t xml:space="preserve">The DePIN-versus-DeFi sector difference (Mann-Whitney p = 0.018, Cohen’s d = 0.98) is robust to sample composition. The test remains significant</w:t>
        </w:r>
        <w:r>
          <w:t xml:space="preserve"> </w:t>
        </w:r>
        <w:r>
          <w:t xml:space="preserve">in all 30 of 30 leave-one-out iterations (per-iteration p range: 0.008</w:t>
        </w:r>
        <w:r>
          <w:t xml:space="preserve"> </w:t>
        </w:r>
        <w:r>
          <w:t xml:space="preserve">to 0.031; Cohen’s d range: 0.90 to 1.10; see Figure 9 for the per-</w:t>
        </w:r>
        <w:r>
          <w:t xml:space="preserve"> </w:t>
        </w:r>
        <w:r>
          <w:t xml:space="preserve">iteration forest plot with bootstrap 95% CI on the headline d). Seven</w:t>
        </w:r>
        <w:r>
          <w:t xml:space="preserve"> </w:t>
        </w:r>
        <w:r>
          <w:t xml:space="preserve">protocols, when individually dropped, push the p-value to 0.028:</w:t>
        </w:r>
        <w:r>
          <w:t xml:space="preserve"> </w:t>
        </w:r>
        <w:r>
          <w:t xml:space="preserve">Compound, Uniswap, Lido, Hyperliquid, IoTeX, GEODNET, and POKT Network.</w:t>
        </w:r>
        <w:r>
          <w:t xml:space="preserve"> </w:t>
        </w:r>
        <w:r>
          <w:t xml:space="preserve">No single protocol uniquely drives the result. A two-sided permutation</w:t>
        </w:r>
        <w:r>
          <w:t xml:space="preserve"> </w:t>
        </w:r>
        <w:r>
          <w:t xml:space="preserve">test (100,000 random reassignments of sector labels) yields p = 0.008,</w:t>
        </w:r>
        <w:r>
          <w:t xml:space="preserve"> </w:t>
        </w:r>
        <w:r>
          <w:t xml:space="preserve">consistent with the direction not being an artifact of the asymptotic</w:t>
        </w:r>
        <w:r>
          <w:t xml:space="preserve"> </w:t>
        </w:r>
        <w:r>
          <w:t xml:space="preserve">approximation. A non-parametric bootstrap on the sector mean difference</w:t>
        </w:r>
        <w:r>
          <w:t xml:space="preserve"> </w:t>
        </w:r>
        <w:r>
          <w:t xml:space="preserve">(10,000 resamples) yields a 95% percentile interval of [+0.015,</w:t>
        </w:r>
        <w:r>
          <w:t xml:space="preserve"> </w:t>
        </w:r>
        <w:r>
          <w:t xml:space="preserve">+0.080] HHI points, strictly excluding zero; the Cohen’s d 95%</w:t>
        </w:r>
        <w:r>
          <w:t xml:space="preserve"> </w:t>
        </w:r>
        <w:r>
          <w:t xml:space="preserve">percentile interval is [0.41, 1.69], strictly above the small-effect</w:t>
        </w:r>
        <w:r>
          <w:t xml:space="preserve"> </w:t>
        </w:r>
        <w:r>
          <w:t xml:space="preserve">threshold and including the conventional large-effect threshold (d =</w:t>
        </w:r>
        <w:r>
          <w:t xml:space="preserve"> </w:t>
        </w:r>
        <w:r>
          <w:t xml:space="preserve">0.8) at the lower bound. We characterize this finding as robust under</w:t>
        </w:r>
        <w:r>
          <w:t xml:space="preserve"> </w:t>
        </w:r>
        <w:r>
          <w:t xml:space="preserve">sample composition, resampling, and rank-based and parametric tests.</w:t>
        </w:r>
      </w:ins>
    </w:p>
    <w:p>
      <w:ins w:id="10928" w:author="R2 Revision" w:date="2026-05-19T00:00:00Z">
        <w:pPr>
          <w:pStyle w:val="BodyText"/>
        </w:pPr>
        <w:r>
          <w:t xml:space="preserve">The subsidy-to-concentration correlation (Pearson r = 0.57, p = 0.008, N</w:t>
        </w:r>
        <w:r>
          <w:t xml:space="preserve"> </w:t>
        </w:r>
        <w:r>
          <w:t xml:space="preserve">= 20) is driven by a single protocol. Livepeer’s subsidy ratio of 88.5x</w:t>
        </w:r>
        <w:r>
          <w:t xml:space="preserve"> </w:t>
        </w:r>
        <w:r>
          <w:t xml:space="preserve">is a 3.5-sigma outlier on the subsidy axis, and its HHI (0.20) is the</w:t>
        </w:r>
        <w:r>
          <w:t xml:space="preserve"> </w:t>
        </w:r>
        <w:r>
          <w:t xml:space="preserve">second-highest in the subsidy subsample. Excluding Livepeer alone</w:t>
        </w:r>
        <w:r>
          <w:t xml:space="preserve"> </w:t>
        </w:r>
        <w:r>
          <w:t xml:space="preserve">reduces the correlation to r = 0.11 (p = 0.65). The remaining 19</w:t>
        </w:r>
        <w:r>
          <w:t xml:space="preserve"> </w:t>
        </w:r>
        <w:r>
          <w:t xml:space="preserve">protocols show no significant linear association. The Spearman rank</w:t>
        </w:r>
        <w:r>
          <w:t xml:space="preserve"> </w:t>
        </w:r>
        <w:r>
          <w:t xml:space="preserve">correlation on the full subsidy sample is also insignificant (rho =</w:t>
        </w:r>
        <w:r>
          <w:t xml:space="preserve"> </w:t>
        </w:r>
        <w:r>
          <w:t xml:space="preserve">0.16, p = 0.51), and a log transformation eliminates the linear</w:t>
        </w:r>
        <w:r>
          <w:t xml:space="preserve"> </w:t>
        </w:r>
        <w:r>
          <w:t xml:space="preserve">relationship (r = 0.27, p = 0.28). We report the Livepeer-inclusive</w:t>
        </w:r>
        <w:r>
          <w:t xml:space="preserve"> </w:t>
        </w:r>
        <w:r>
          <w:t xml:space="preserve">result for completeness but caution that it should not be interpreted as</w:t>
        </w:r>
        <w:r>
          <w:t xml:space="preserve"> </w:t>
        </w:r>
        <w:r>
          <w:t xml:space="preserve">a general property of the sample. A robustness check using the Token</w:t>
        </w:r>
        <w:r>
          <w:t xml:space="preserve"> </w:t>
        </w:r>
        <w:r>
          <w:t xml:space="preserve">Terminal subsidy_ratio (N = 19 protocols with non-null Token Terminal</w:t>
        </w:r>
        <w:r>
          <w:t xml:space="preserve"> </w:t>
        </w:r>
        <w:r>
          <w:t xml:space="preserve">revenue and incentives data) is consistent with the null at cross-sector</w:t>
        </w:r>
        <w:r>
          <w:t xml:space="preserve"> </w:t>
        </w:r>
        <w:r>
          <w:t xml:space="preserve">Pearson r = 0.097 (p ≈ 0.69); a broader merged sample combining Token</w:t>
        </w:r>
        <w:r>
          <w:t xml:space="preserve"> </w:t>
        </w:r>
        <w:r>
          <w:t xml:space="preserve">Terminal data with on-chain emission/fee ratios (N = 25 across both</w:t>
        </w:r>
        <w:r>
          <w:t xml:space="preserve"> </w:t>
        </w:r>
        <w:r>
          <w:t xml:space="preserve">methodologies; N = 22 protocols with non-zero subsidy under either</w:t>
        </w:r>
        <w:r>
          <w:t xml:space="preserve"> </w:t>
        </w:r>
        <w:r>
          <w:t xml:space="preserve">metric) yields r = 0.42 inclusive of Livepeer and r = 0.008 excluding</w:t>
        </w:r>
        <w:r>
          <w:t xml:space="preserve"> </w:t>
        </w:r>
        <w:r>
          <w:t xml:space="preserve">Livepeer, qualitatively replicating the main result that subsidy and</w:t>
        </w:r>
        <w:r>
          <w:t xml:space="preserve"> </w:t>
        </w:r>
        <w:r>
          <w:t xml:space="preserve">HHI co-vary only through the Livepeer outlier. Per-sector results in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t xml:space="preserve">.</w:t>
        </w:r>
      </w:ins>
    </w:p>
    <w:p>
      <w:ins w:id="10929" w:author="R2 Revision" w:date="2026-05-19T00:00:00Z">
        <w:pPr>
          <w:pStyle w:val="BodyText"/>
        </w:pPr>
        <w:r>
          <w:drawing>
            <wp:inline>
              <wp:extent cx="5486400" cy="3658112"/>
              <wp:effectExtent b="0" l="0" r="0" t="0"/>
              <wp:docPr descr="" title="" id="102" name="Picture"/>
              <a:graphic>
                <a:graphicData uri="http://schemas.openxmlformats.org/drawingml/2006/picture">
                  <pic:pic>
                    <pic:nvPicPr>
                      <pic:cNvPr descr="media/exhibit_subsidy_vs_hhi.png" id="103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1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658112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30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7.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Subsidy ratio (emissions/revenue) vs. governance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(HHI) for 20 protocols with on-chain subsidy data.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Livepeer (diamond, 88.5x) is a 3.5-sigma outlier that alone drives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Pearson correlation from r = 0.11 (dashed line, excluding Livepeer) to r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= 0.57 (solid line, full sample). The Token Terminal robustness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sample (N = 19,</w:t>
        </w:r>
        <w:r>
          <w:t xml:space="preserve"> </w:t>
        </w:r>
        <w:hyperlink r:id="rId10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S8</w:t>
          </w:r>
        </w:hyperlink>
        <w:r>
          <w:rPr>
            <w:i/>
            <w:iCs/>
          </w:rPr>
          <w:t xml:space="preserve">)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is consistent with the null at r = 0.097. Reading the figure: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cross-sector association weakens substantially when Livepeer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excluded, indicating that the headline subsidy result is sensitive to a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 high-leverage protocol.</w:t>
        </w:r>
      </w:ins>
    </w:p>
    <w:p>
      <w:ins w:id="10931" w:author="R2 Revision" w:date="2026-05-19T00:00:00Z">
        <w:pPr>
          <w:pStyle w:val="BodyText"/>
        </w:pPr>
        <w:r>
          <w:t xml:space="preserve">Across all three findings, no single protocol drives more than one</w:t>
        </w:r>
        <w:r>
          <w:t xml:space="preserve"> </w:t>
        </w:r>
        <w:r>
          <w:t xml:space="preserve">result. Livepeer appears both in the set of sector-test single-drop</w:t>
        </w:r>
        <w:r>
          <w:t xml:space="preserve"> </w:t>
        </w:r>
        <w:r>
          <w:t xml:space="preserve">protocols that push Mann-Whitney p toward 0.05 and as the sole protocol</w:t>
        </w:r>
        <w:r>
          <w:t xml:space="preserve"> </w:t>
        </w:r>
        <w:r>
          <w:t xml:space="preserve">that, when dropped, eliminates the subsidy correlation; however its</w:t>
        </w:r>
        <w:r>
          <w:t xml:space="preserve"> </w:t>
        </w:r>
        <w:r>
          <w:t xml:space="preserve">sector influence is shared equally among seven protocols, whereas its</w:t>
        </w:r>
        <w:r>
          <w:t xml:space="preserve"> </w:t>
        </w:r>
        <w:r>
          <w:t xml:space="preserve">subsidy influence is singular.</w:t>
        </w:r>
      </w:ins>
    </w:p>
    <w:p>
      <w:ins w:id="10932" w:author="R2 Revision" w:date="2026-05-19T00:00:00Z">
        <w:pPr>
          <w:pStyle w:val="BodyText"/>
        </w:pPr>
        <w:r>
          <w:t xml:space="preserve">The universal-amplification finding in Section 3.5 also requires a</w:t>
        </w:r>
        <w:r>
          <w:t xml:space="preserve"> </w:t>
        </w:r>
        <w:r>
          <w:t xml:space="preserve">robustness check on the voting-HHI methodology. The Table 7 voting HHI</w:t>
        </w:r>
        <w:r>
          <w:t xml:space="preserve"> </w:t>
        </w:r>
        <w:r>
          <w:t xml:space="preserve">follows established delegation-HHI literature (Fritsch et al., 2024) by</w:t>
        </w:r>
        <w:r>
          <w:t xml:space="preserve"> </w:t>
        </w:r>
        <w:r>
          <w:t xml:space="preserve">including all delegates with non-zero voting power, regardless of</w:t>
        </w:r>
        <w:r>
          <w:t xml:space="preserve"> </w:t>
        </w:r>
        <w:r>
          <w:t xml:space="preserve">whether the delegate is a protocol-controlled entity. Applying</w:t>
        </w:r>
        <w:r>
          <w:t xml:space="preserve"> </w:t>
        </w:r>
        <w:r>
          <w:t xml:space="preserve">protocol-controlled-address exclusion symmetrically (excluding</w:t>
        </w:r>
        <w:r>
          <w:t xml:space="preserve"> </w:t>
        </w:r>
        <w:r>
          <w:t xml:space="preserve">foundation, treasury, and aggregation-contract delegates from voting</w:t>
        </w:r>
        <w:r>
          <w:t xml:space="preserve"> </w:t>
        </w:r>
        <w:r>
          <w:t xml:space="preserve">HHI as we exclude them from holding HHI) yields a sensitivity-check</w:t>
        </w:r>
        <w:r>
          <w:t xml:space="preserve"> </w:t>
        </w:r>
        <w:r>
          <w:t xml:space="preserve">result: among the five Tally-sourced protocols where PCA delegates can</w:t>
        </w:r>
        <w:r>
          <w:t xml:space="preserve"> </w:t>
        </w:r>
        <w:r>
          <w:t xml:space="preserve">be identified from Tally labels (Compound, Aave, Uniswap, Optimism,</w:t>
        </w:r>
        <w:r>
          <w:t xml:space="preserve"> </w:t>
        </w:r>
        <w:r>
          <w:t xml:space="preserve">Arbitrum), three (Uniswap, Optimism, Arbitrum) show zero PCA presence</w:t>
        </w:r>
        <w:r>
          <w:t xml:space="preserve"> </w:t>
        </w:r>
        <w:r>
          <w:t xml:space="preserve">in their top-100 delegates because their excluded foundation addresses</w:t>
        </w:r>
        <w:r>
          <w:t xml:space="preserve"> </w:t>
        </w:r>
        <w:r>
          <w:t xml:space="preserve">do not delegate voting power to themselves. Compound’s top delegate is</w:t>
        </w:r>
        <w:r>
          <w:t xml:space="preserve"> </w:t>
        </w:r>
        <w:r>
          <w:t xml:space="preserve">Compound Foundation (21.5% of total delegated voting power in the</w:t>
        </w:r>
        <w:r>
          <w:t xml:space="preserve"> </w:t>
        </w:r>
        <w:r>
          <w:t xml:space="preserve">May 2026 Tally pull); applying symmetric exclusion drops Compound’s</w:t>
        </w:r>
        <w:r>
          <w:t xml:space="preserve"> </w:t>
        </w:r>
        <w:r>
          <w:t xml:space="preserve">voting HHI from 0.078 to 0.052 and the amplification ratio from 8.7x</w:t>
        </w:r>
        <w:r>
          <w:t xml:space="preserve"> </w:t>
        </w:r>
        <w:r>
          <w:t xml:space="preserve">to 5.8x. Aave’s top delegate is the stkAAVE staking contract (21.9%</w:t>
        </w:r>
        <w:r>
          <w:t xml:space="preserve"> </w:t>
        </w:r>
        <w:r>
          <w:t xml:space="preserve">of total delegated voting power); this is a passthrough aggregation</w:t>
        </w:r>
        <w:r>
          <w:t xml:space="preserve"> </w:t>
        </w:r>
        <w:r>
          <w:t xml:space="preserve">rather than an institutional PCA, but symmetric exclusion under the</w:t>
        </w:r>
        <w:r>
          <w:t xml:space="preserve"> </w:t>
        </w:r>
        <w:r>
          <w:t xml:space="preserve">broader definition drops Aave’s voting HHI from 0.076 to 0.045 and the</w:t>
        </w:r>
        <w:r>
          <w:t xml:space="preserve"> </w:t>
        </w:r>
        <w:r>
          <w:t xml:space="preserve">ratio from 5.9x to 3.5x. The universal-amplification finding holds</w:t>
        </w:r>
        <w:r>
          <w:t xml:space="preserve"> </w:t>
        </w:r>
        <w:r>
          <w:t xml:space="preserve">across all five Tally-sourced protocols even under symmetric PCA</w:t>
        </w:r>
        <w:r>
          <w:t xml:space="preserve"> </w:t>
        </w:r>
        <w:r>
          <w:t xml:space="preserve">exclusion. The Compound Foundation case is particularly informative:</w:t>
        </w:r>
        <w:r>
          <w:t xml:space="preserve"> </w:t>
        </w:r>
        <w:r>
          <w:t xml:space="preserve">the Snapshot-based voting HHI for Compound (0.053) is essentially</w:t>
        </w:r>
        <w:r>
          <w:t xml:space="preserve"> </w:t>
        </w:r>
        <w:r>
          <w:t xml:space="preserve">equivalent to the PCA-excluded Tally value (0.052), suggesting that</w:t>
        </w:r>
        <w:r>
          <w:t xml:space="preserve"> </w:t>
        </w:r>
        <w:r>
          <w:t xml:space="preserve">the Snapshot methodology, which captures broader voter participation,</w:t>
        </w:r>
        <w:r>
          <w:t xml:space="preserve"> </w:t>
        </w:r>
        <w:r>
          <w:t xml:space="preserve">partially internalizes the PCA-exclusion logic.</w:t>
        </w:r>
      </w:ins>
    </w:p>
    <w:p>
      <w:ins w:id="10933" w:author="R2 Revision" w:date="2026-05-19T00:00:00Z">
        <w:pPr>
          <w:pStyle w:val="BodyText"/>
        </w:pPr>
        <w:r>
          <w:t xml:space="preserve">As a further robustness check, we compute Theil (Theil 1967) and</w:t>
        </w:r>
        <w:r>
          <w:t xml:space="preserve"> </w:t>
        </w:r>
        <w:r>
          <w:t xml:space="preserve">Atkinson(0.5) (Atkinson 1970) inequality indices on the post-exclusion</w:t>
        </w:r>
        <w:r>
          <w:t xml:space="preserve"> </w:t>
        </w:r>
        <w:r>
          <w:t xml:space="preserve">top-1,000 holder distributions for all 40 protocols, using the same</w:t>
        </w:r>
        <w:r>
          <w:t xml:space="preserve"> </w:t>
        </w:r>
        <w:r>
          <w:t xml:space="preserve">protocol-controlled-address exclusion methodology applied to HHI</w:t>
        </w:r>
        <w:r>
          <w:t xml:space="preserve"> </w:t>
        </w:r>
        <w:r>
          <w:t xml:space="preserve">computation (per exclusions_log.csv).</w:t>
        </w:r>
        <w:r>
          <w:t xml:space="preserve"> </w:t>
        </w:r>
        <w:r>
          <w:t xml:space="preserve">The Theil and Atkinson indices are alternative information-theoretic</w:t>
        </w:r>
        <w:r>
          <w:t xml:space="preserve"> </w:t>
        </w:r>
        <w:r>
          <w:t xml:space="preserve">inequality metrics with different weighting structures: Theil weights</w:t>
        </w:r>
        <w:r>
          <w:t xml:space="preserve"> </w:t>
        </w:r>
        <w:r>
          <w:t xml:space="preserve">mid-tail observations more heavily than HHI; Atkinson(0.5) uses an</w:t>
        </w:r>
        <w:r>
          <w:t xml:space="preserve"> </w:t>
        </w:r>
        <w:r>
          <w:t xml:space="preserve">explicit inequality-aversion parameter (here 0.5; aversion increases</w:t>
        </w:r>
        <w:r>
          <w:t xml:space="preserve"> </w:t>
        </w:r>
        <w:r>
          <w:t xml:space="preserve">with the parameter toward 1). Theil indices range from 1.36 (Arbitrum)</w:t>
        </w:r>
        <w:r>
          <w:t xml:space="preserve"> </w:t>
        </w:r>
        <w:r>
          <w:t xml:space="preserve">to 6.46 (Maple) and Atkinson(0.5) indices from 0.49 (Arbitrum) to 0.97</w:t>
        </w:r>
        <w:r>
          <w:t xml:space="preserve"> </w:t>
        </w:r>
        <w:r>
          <w:t xml:space="preserve">(Maple). HHI (Hirschman 1964 traces the index to Hirschman 1945 and</w:t>
        </w:r>
        <w:r>
          <w:t xml:space="preserve"> </w:t>
        </w:r>
        <w:r>
          <w:t xml:space="preserve">Herfindahl 1950) correlates strongly with Theil (Pearson r = 0.77)</w:t>
        </w:r>
        <w:r>
          <w:t xml:space="preserve"> </w:t>
        </w:r>
        <w:r>
          <w:t xml:space="preserve">and moderately with Atkinson (r = 0.41) across the post-exclusion</w:t>
        </w:r>
        <w:r>
          <w:t xml:space="preserve"> </w:t>
        </w:r>
        <w:r>
          <w:t xml:space="preserve">sample; Gini correlates strongly with Atkinson (r = 0.98) and Theil</w:t>
        </w:r>
        <w:r>
          <w:t xml:space="preserve"> </w:t>
        </w:r>
        <w:r>
          <w:t xml:space="preserve">(r = 0.79). The strong HHI-Theil correlation on the post-exclusion</w:t>
        </w:r>
        <w:r>
          <w:t xml:space="preserve"> </w:t>
        </w:r>
        <w:r>
          <w:t xml:space="preserve">sample indicates that the rank ordering across protocols is largely</w:t>
        </w:r>
        <w:r>
          <w:t xml:space="preserve"> </w:t>
        </w:r>
        <w:r>
          <w:t xml:space="preserve">robust to the choice of concentration metric. This addresses the</w:t>
        </w:r>
        <w:r>
          <w:t xml:space="preserve"> </w:t>
        </w:r>
        <w:r>
          <w:t xml:space="preserve">value-validity concern that Kvalsoth (2022a) raises about HHI in</w:t>
        </w:r>
        <w:r>
          <w:t xml:space="preserve"> </w:t>
        </w:r>
        <w:r>
          <w:t xml:space="preserve">highly asymmetric distributions: the cross-protocol comparisons</w:t>
        </w:r>
        <w:r>
          <w:t xml:space="preserve"> </w:t>
        </w:r>
        <w:r>
          <w:t xml:space="preserve">reported in Sections 3.2 through 3.5 are not artifacts of the HHI</w:t>
        </w:r>
        <w:r>
          <w:t xml:space="preserve"> </w:t>
        </w:r>
        <w:r>
          <w:t xml:space="preserve">functional form alone. The supplementary file reports per-protocol</w:t>
        </w:r>
        <w:r>
          <w:t xml:space="preserve"> </w:t>
        </w:r>
        <w:r>
          <w:t xml:space="preserve">Theil and Atkinson values under the same PCA-exclusion methodology</w:t>
        </w:r>
        <w:r>
          <w:t xml:space="preserve"> </w:t>
        </w:r>
        <w:r>
          <w:t xml:space="preserve">as the main analysis (Supplementary File S9).</w:t>
        </w:r>
      </w:ins>
    </w:p>
    <w:p>
      <w:ins w:id="10934" w:author="R2 Revision" w:date="2026-05-19T00:00:00Z">
        <w:pPr>
          <w:pStyle w:val="BodyText"/>
        </w:pPr>
        <w:r>
          <w:t xml:space="preserve">Multiple-comparisons consideration. Table 5 reports fourteen separate</w:t>
        </w:r>
        <w:r>
          <w:t xml:space="preserve"> </w:t>
        </w:r>
        <w:r>
          <w:t xml:space="preserve">bivariate tests. Under a nominal alpha of 0.05 with no correction, the</w:t>
        </w:r>
        <w:r>
          <w:t xml:space="preserve"> </w:t>
        </w:r>
        <w:r>
          <w:t xml:space="preserve">expected false-positive rate across fourteen independent tests is</w:t>
        </w:r>
        <w:r>
          <w:t xml:space="preserve"> </w:t>
        </w:r>
        <w:r>
          <w:t xml:space="preserve">approximately 0.7 spurious significant findings. Four tests in Table 5</w:t>
        </w:r>
        <w:r>
          <w:t xml:space="preserve"> </w:t>
        </w:r>
        <w:r>
          <w:t xml:space="preserve">reach p less than 0.05: the insider count fraction (Spearman rho =</w:t>
        </w:r>
        <w:r>
          <w:t xml:space="preserve"> </w:t>
        </w:r>
        <w:r>
          <w:t xml:space="preserve">0.48, p = 0.003), the V1 non-insider HHI tautology check (Spearman</w:t>
        </w:r>
        <w:r>
          <w:t xml:space="preserve"> </w:t>
        </w:r>
        <w:r>
          <w:t xml:space="preserve">rho = 0.54, p = 0.001), the subsidy ratio with Livepeer included</w:t>
        </w:r>
        <w:r>
          <w:t xml:space="preserve"> </w:t>
        </w:r>
        <w:r>
          <w:t xml:space="preserve">(Pearson r = 0.57, p = 0.008), and the HHI-Gini cross-metric</w:t>
        </w:r>
        <w:r>
          <w:t xml:space="preserve"> </w:t>
        </w:r>
        <w:r>
          <w:t xml:space="preserve">correlation (Pearson r = 0.51, p less than 0.001 expected). Applying</w:t>
        </w:r>
        <w:r>
          <w:t xml:space="preserve"> </w:t>
        </w:r>
        <w:r>
          <w:t xml:space="preserve">a Benjamini-Hochberg false-discovery-rate correction at q = 0.05 (a</w:t>
        </w:r>
        <w:r>
          <w:t xml:space="preserve"> </w:t>
        </w:r>
        <w:r>
          <w:t xml:space="preserve">multiple-comparisons procedure that controls the expected fraction of</w:t>
        </w:r>
        <w:r>
          <w:t xml:space="preserve"> </w:t>
        </w:r>
        <w:r>
          <w:t xml:space="preserve">false positives among the tests called significant rather than the</w:t>
        </w:r>
        <w:r>
          <w:t xml:space="preserve"> </w:t>
        </w:r>
        <w:r>
          <w:t xml:space="preserve">chance of any single false positive; appropriate when several</w:t>
        </w:r>
        <w:r>
          <w:t xml:space="preserve"> </w:t>
        </w:r>
        <w:r>
          <w:t xml:space="preserve">hypotheses are tested in parallel),</w:t>
        </w:r>
        <w:r>
          <w:t xml:space="preserve"> </w:t>
        </w:r>
        <w:r>
          <w:t xml:space="preserve">three of the four findings remain significant (the subsidy-with-Livepeer</w:t>
        </w:r>
        <w:r>
          <w:t xml:space="preserve"> </w:t>
        </w:r>
        <w:r>
          <w:t xml:space="preserve">correlation is fragile under multiple-comparisons correction in</w:t>
        </w:r>
        <w:r>
          <w:t xml:space="preserve"> </w:t>
        </w:r>
        <w:r>
          <w:t xml:space="preserve">addition to the Livepeer-outlier sensitivity documented earlier in</w:t>
        </w:r>
        <w:r>
          <w:t xml:space="preserve"> </w:t>
        </w:r>
        <w:r>
          <w:t xml:space="preserve">this section). The headline empirical claims of this paper (the</w:t>
        </w:r>
        <w:r>
          <w:t xml:space="preserve"> </w:t>
        </w:r>
        <w:r>
          <w:t xml:space="preserve">allocation null in Section 3.4; the sector contrast in Section 3.3;</w:t>
        </w:r>
        <w:r>
          <w:t xml:space="preserve"> </w:t>
        </w:r>
        <w:r>
          <w:t xml:space="preserve">the universal delegation amplification in Section 3.5) do not depend</w:t>
        </w:r>
        <w:r>
          <w:t xml:space="preserve"> </w:t>
        </w:r>
        <w:r>
          <w:t xml:space="preserve">on the subsidy-with-Livepeer result; future panel-data work testing</w:t>
        </w:r>
        <w:r>
          <w:t xml:space="preserve"> </w:t>
        </w:r>
        <w:r>
          <w:t xml:space="preserve">the predictions in Section 4.9 will be pre-registered to commit</w:t>
        </w:r>
        <w:r>
          <w:t xml:space="preserve"> </w:t>
        </w:r>
        <w:r>
          <w:t xml:space="preserve">hypothesis specifications prior to data analysis, reducing</w:t>
        </w:r>
        <w:r>
          <w:t xml:space="preserve"> </w:t>
        </w:r>
        <w:r>
          <w:t xml:space="preserve">multiple-comparisons concerns for the panel design.</w:t>
        </w:r>
      </w:ins>
    </w:p>
    <w:p>
      <w:ins w:id="10935" w:author="R2 Revision" w:date="2026-05-19T00:00:00Z">
        <w:pPr>
          <w:pStyle w:val="BodyText"/>
        </w:pPr>
        <w:r>
          <w:t xml:space="preserve">Effect-size emphasis. Per the American Statistical Association</w:t>
        </w:r>
        <w:r>
          <w:t xml:space="preserve"> </w:t>
        </w:r>
        <w:r>
          <w:t xml:space="preserve">statement on p-values (Wasserstein &amp; Lazar, 2016) and effect-size</w:t>
        </w:r>
        <w:r>
          <w:t xml:space="preserve"> </w:t>
        </w:r>
        <w:r>
          <w:t xml:space="preserve">discipline (Cohen, 1988), we emphasize effect-size magnitudes alongside</w:t>
        </w:r>
        <w:r>
          <w:t xml:space="preserve"> </w:t>
        </w:r>
        <w:r>
          <w:t xml:space="preserve">p-values for the headline empirical claims. The sector contrast in</w:t>
        </w:r>
        <w:r>
          <w:t xml:space="preserve"> </w:t>
        </w:r>
        <w:r>
          <w:t xml:space="preserve">Section 3.3 has Cohen’s d = 0.98 (large effect by Cohen’s conventional</w:t>
        </w:r>
        <w:r>
          <w:t xml:space="preserve"> </w:t>
        </w:r>
        <w:r>
          <w:t xml:space="preserve">thresholds), substantially exceeding d = 0.5 (medium effect) and d =</w:t>
        </w:r>
        <w:r>
          <w:t xml:space="preserve"> </w:t>
        </w:r>
        <w:r>
          <w:t xml:space="preserve">0.8 (large effect), and is robust across all 30 of 30 leave-one-out</w:t>
        </w:r>
        <w:r>
          <w:t xml:space="preserve"> </w:t>
        </w:r>
        <w:r>
          <w:t xml:space="preserve">iterations. The insider-retention correlation has Spearman rho = 0.48,</w:t>
        </w:r>
        <w:r>
          <w:t xml:space="preserve"> </w:t>
        </w:r>
        <w:r>
          <w:t xml:space="preserve">exceeding the rho &gt;= 0.30 threshold for moderate-to-large rank</w:t>
        </w:r>
        <w:r>
          <w:t xml:space="preserve"> </w:t>
        </w:r>
        <w:r>
          <w:t xml:space="preserve">association. The universal delegation amplification finding has nine of ten</w:t>
        </w:r>
        <w:r>
          <w:t xml:space="preserve"> </w:t>
        </w:r>
        <w:r>
          <w:t xml:space="preserve">protocols above the 1.0x ratio threshold (ENS at 0.39x is the</w:t>
        </w:r>
        <w:r>
          <w:t xml:space="preserve"> </w:t>
        </w:r>
        <w:r>
          <w:t xml:space="preserve">structural exception), with mean amplification of 5.3x and the</w:t>
        </w:r>
        <w:r>
          <w:t xml:space="preserve"> </w:t>
        </w:r>
        <w:r>
          <w:t xml:space="preserve">smallest amplification (GMX at 1.2x) still representing a meaningful</w:t>
        </w:r>
        <w:r>
          <w:t xml:space="preserve"> </w:t>
        </w:r>
        <w:r>
          <w:t xml:space="preserve">concentration of voting power above holdings.</w:t>
        </w:r>
        <w:r>
          <w:t xml:space="preserve"> </w:t>
        </w:r>
        <w:r>
          <w:t xml:space="preserve">These effect sizes carry substantive practical significance independent</w:t>
        </w:r>
        <w:r>
          <w:t xml:space="preserve"> </w:t>
        </w:r>
        <w:r>
          <w:t xml:space="preserve">of significance-test thresholds, which are conservative under the</w:t>
        </w:r>
        <w:r>
          <w:t xml:space="preserve"> </w:t>
        </w:r>
        <w:r>
          <w:t xml:space="preserve">multiple-comparisons correction documented above.</w:t>
        </w:r>
      </w:ins>
    </w:p>
    <w:p>
      <w:ins w:id="10936" w:author="R2 Revision" w:date="2026-05-19T00:00:00Z">
        <w:pPr>
          <w:pStyle w:val="BodyText"/>
        </w:pPr>
        <w:r>
          <w:t xml:space="preserve">Sample-size justification. The 40-protocol cross-section is adequate</w:t>
        </w:r>
        <w:r>
          <w:t xml:space="preserve"> </w:t>
        </w:r>
        <w:r>
          <w:t xml:space="preserve">for detecting medium-to-large effects at conventional thresholds</w:t>
        </w:r>
        <w:r>
          <w:t xml:space="preserve"> </w:t>
        </w:r>
        <w:r>
          <w:t xml:space="preserve">(Cohen, 1988). For Pearson correlation tests at N=37 (the dominant</w:t>
        </w:r>
        <w:r>
          <w:t xml:space="preserve"> </w:t>
        </w:r>
        <w:r>
          <w:t xml:space="preserve">sample size for the allocation-covariate battery), power = 0.80 at</w:t>
        </w:r>
        <w:r>
          <w:t xml:space="preserve"> </w:t>
        </w:r>
        <w:r>
          <w:t xml:space="preserve">alpha = 0.05 obtains for |r| &gt;= 0.45 (large-effect threshold); the</w:t>
        </w:r>
        <w:r>
          <w:t xml:space="preserve"> </w:t>
        </w:r>
        <w:r>
          <w:t xml:space="preserve">significant findings (Spearman rho = 0.48 for insider count fraction;</w:t>
        </w:r>
        <w:r>
          <w:t xml:space="preserve"> </w:t>
        </w:r>
        <w:r>
          <w:t xml:space="preserve">Pearson r = 0.51 for HHI-Gini) lie within this detectable range. For</w:t>
        </w:r>
        <w:r>
          <w:t xml:space="preserve"> </w:t>
        </w:r>
        <w:r>
          <w:t xml:space="preserve">the Mann-Whitney sector contrast at N = 15 DePIN versus N = 15 DeFi,</w:t>
        </w:r>
        <w:r>
          <w:t xml:space="preserve"> </w:t>
        </w:r>
        <w:r>
          <w:t xml:space="preserve">power = 0.80 obtains for Cohen’s d &gt;= 0.95 (large-effect threshold);</w:t>
        </w:r>
        <w:r>
          <w:t xml:space="preserve"> </w:t>
        </w:r>
        <w:r>
          <w:t xml:space="preserve">the observed d = 0.98 lies within this detectable range. The 40-protocol</w:t>
        </w:r>
        <w:r>
          <w:t xml:space="preserve"> </w:t>
        </w:r>
        <w:r>
          <w:t xml:space="preserve">sample is intentionally targeted at detecting medium-to-large structural</w:t>
        </w:r>
        <w:r>
          <w:t xml:space="preserve"> </w:t>
        </w:r>
        <w:r>
          <w:t xml:space="preserve">effects rather than small-effect noise; the sample-size pre-registration</w:t>
        </w:r>
        <w:r>
          <w:t xml:space="preserve"> </w:t>
        </w:r>
        <w:r>
          <w:t xml:space="preserve">specification in Supplementary File S5 documents the threshold of</w:t>
        </w:r>
        <w:r>
          <w:t xml:space="preserve"> </w:t>
        </w:r>
        <w:r>
          <w:t xml:space="preserve">N = 50 to 60 as the requirement for robust multivariate regression with</w:t>
        </w:r>
        <w:r>
          <w:t xml:space="preserve"> </w:t>
        </w:r>
        <w:r>
          <w:t xml:space="preserve">4-plus covariates (Section 3.4 Table 6 fits N = 35 to 38 specifications,</w:t>
        </w:r>
        <w:r>
          <w:t xml:space="preserve"> </w:t>
        </w:r>
        <w:r>
          <w:t xml:space="preserve">which is below this robust-multivariate threshold; results from Table 6</w:t>
        </w:r>
        <w:r>
          <w:t xml:space="preserve"> </w:t>
        </w:r>
        <w:r>
          <w:t xml:space="preserve">are accordingly reported with explicit acknowledgment of the</w:t>
        </w:r>
        <w:r>
          <w:t xml:space="preserve"> </w:t>
        </w:r>
        <w:r>
          <w:t xml:space="preserve">multivariate sample-size constraint).</w:t>
        </w:r>
      </w:ins>
    </w:p>
    <w:p>
      <w:ins w:id="10937" w:author="R2 Revision" w:date="2026-05-19T00:00:00Z">
        <w:pPr>
          <w:pStyle w:val="BodyText"/>
        </w:pPr>
        <w:r>
          <w:t xml:space="preserve">Top-N holder-list cutoff sensitivity. Holder-list extraction cutoffs</w:t>
        </w:r>
        <w:r>
          <w:t xml:space="preserve"> </w:t>
        </w:r>
        <w:r>
          <w:t xml:space="preserve">materially affect the measured concentration for sparse-holder</w:t>
        </w:r>
        <w:r>
          <w:t xml:space="preserve"> </w:t>
        </w:r>
        <w:r>
          <w:t xml:space="preserve">protocols, a methodological lesson with broad applicability. For three</w:t>
        </w:r>
        <w:r>
          <w:t xml:space="preserve"> </w:t>
        </w:r>
        <w:r>
          <w:t xml:space="preserve">protocols (MOR, AXL, ZRO), an initial Dune holder-list extraction had</w:t>
        </w:r>
        <w:r>
          <w:t xml:space="preserve"> </w:t>
        </w:r>
        <w:r>
          <w:t xml:space="preserve">been capped at top-100 rather than the universal top-1000 cutoff</w:t>
        </w:r>
        <w:r>
          <w:t xml:space="preserve"> </w:t>
        </w:r>
        <w:r>
          <w:t xml:space="preserve">applied across the rest of the sample; re-pulling at the top-1000</w:t>
        </w:r>
        <w:r>
          <w:t xml:space="preserve"> </w:t>
        </w:r>
        <w:r>
          <w:t xml:space="preserve">cutoff under the PCA exclusion methodology yielded substantively</w:t>
        </w:r>
        <w:r>
          <w:t xml:space="preserve"> </w:t>
        </w:r>
        <w:r>
          <w:t xml:space="preserve">different HHI values: MOR 0.013 to 0.031; AXL 0.004 to 0.028; ZRO</w:t>
        </w:r>
        <w:r>
          <w:t xml:space="preserve"> </w:t>
        </w:r>
        <w:r>
          <w:t xml:space="preserve">0.010 to 0.015. The correction strengthened the cross-sector test</w:t>
        </w:r>
        <w:r>
          <w:t xml:space="preserve"> </w:t>
        </w:r>
        <w:r>
          <w:t xml:space="preserve">statistics: DePIN-vs-DeFi Mann-Whitney p moved from 0.027 to 0.018;</w:t>
        </w:r>
        <w:r>
          <w:t xml:space="preserve"> </w:t>
        </w:r>
        <w:r>
          <w:t xml:space="preserve">Cohen’s d from 1.02 to 0.98; leave-one-out sensitivity from 23-of-30</w:t>
        </w:r>
        <w:r>
          <w:t xml:space="preserve"> </w:t>
        </w:r>
        <w:r>
          <w:t xml:space="preserve">to 30-of-30 single-protocol exclusion iterations. The methodological lesson generalizes:</w:t>
        </w:r>
        <w:r>
          <w:t xml:space="preserve"> </w:t>
        </w:r>
        <w:r>
          <w:t xml:space="preserve">for any cross-protocol governance HHI analysis, holder-list extraction</w:t>
        </w:r>
        <w:r>
          <w:t xml:space="preserve"> </w:t>
        </w:r>
        <w:r>
          <w:t xml:space="preserve">must use a uniform cutoff (top-1000 in this paper; top-10000 or full</w:t>
        </w:r>
        <w:r>
          <w:t xml:space="preserve"> </w:t>
        </w:r>
        <w:r>
          <w:t xml:space="preserve">holder distribution for protocols with substantially larger holder</w:t>
        </w:r>
        <w:r>
          <w:t xml:space="preserve"> </w:t>
        </w:r>
        <w:r>
          <w:t xml:space="preserve">counts), and the cutoff choice should be documented as part of the</w:t>
        </w:r>
        <w:r>
          <w:t xml:space="preserve"> </w:t>
        </w:r>
        <w:r>
          <w:t xml:space="preserve">methodology so future replication can reproduce the exact sample frame.</w:t>
        </w:r>
      </w:ins>
    </w:p>
    <w:p>
      <w:ins w:id="10938" w:author="R2 Revision" w:date="2026-05-19T00:00:00Z">
        <w:pPr>
          <w:pStyle w:val="BodyText"/>
        </w:pPr>
        <w:r>
          <w:t xml:space="preserve">PCA-classification robustness. The five-class typology codified in</w:t>
        </w:r>
        <w:r>
          <w:t xml:space="preserve"> </w:t>
        </w:r>
        <w:r>
          <w:t xml:space="preserve">Section 2.10.10 distinguishes burn destinations (Class 1), foundation</w:t>
        </w:r>
        <w:r>
          <w:t xml:space="preserve"> </w:t>
        </w:r>
        <w:r>
          <w:t xml:space="preserve">and treasury custody (Class 2), staking aggregation (Class 3), bridge</w:t>
        </w:r>
        <w:r>
          <w:t xml:space="preserve"> </w:t>
        </w:r>
        <w:r>
          <w:t xml:space="preserve">and migration contracts (Class 4), and CEX custody (Class 5). To test</w:t>
        </w:r>
        <w:r>
          <w:t xml:space="preserve"> </w:t>
        </w:r>
        <w:r>
          <w:t xml:space="preserve">whether the sector contrast is sensitive to the choice of which</w:t>
        </w:r>
        <w:r>
          <w:t xml:space="preserve"> </w:t>
        </w:r>
        <w:r>
          <w:t xml:space="preserve">classes to exclude, we recompute the DePIN-versus-DeFi test under</w:t>
        </w:r>
        <w:r>
          <w:t xml:space="preserve"> </w:t>
        </w:r>
        <w:r>
          <w:t xml:space="preserve">four progressively stricter alternative specifications. Under the</w:t>
        </w:r>
        <w:r>
          <w:t xml:space="preserve"> </w:t>
        </w:r>
        <w:r>
          <w:t xml:space="preserve">canonical 5-class exclusion (Spec A; 125 addresses across 36</w:t>
        </w:r>
        <w:r>
          <w:t xml:space="preserve"> </w:t>
        </w:r>
        <w:r>
          <w:t xml:space="preserve">protocols with available holder files), Mann-Whitney p = 0.029 and</w:t>
        </w:r>
        <w:r>
          <w:t xml:space="preserve"> </w:t>
        </w:r>
        <w:r>
          <w:t xml:space="preserve">Cohen’s d = 0.94. Dropping Class 5 exclusions (Spec B; CEX custody</w:t>
        </w:r>
        <w:r>
          <w:t xml:space="preserve"> </w:t>
        </w:r>
        <w:r>
          <w:t xml:space="preserve">addresses retained in the holder distribution; 106 exclusions</w:t>
        </w:r>
        <w:r>
          <w:t xml:space="preserve"> </w:t>
        </w:r>
        <w:r>
          <w:t xml:space="preserve">remaining) yields p = 0.039 and d = 0.84. Dropping both Class 5 and</w:t>
        </w:r>
        <w:r>
          <w:t xml:space="preserve"> </w:t>
        </w:r>
        <w:r>
          <w:t xml:space="preserve">Class 4 (Spec C; CEX custody and bridge/migration retained; 98</w:t>
        </w:r>
        <w:r>
          <w:t xml:space="preserve"> </w:t>
        </w:r>
        <w:r>
          <w:t xml:space="preserve">exclusions) yields p = 0.115 and d = 0.60. Dropping all but Class 1</w:t>
        </w:r>
        <w:r>
          <w:t xml:space="preserve"> </w:t>
        </w:r>
        <w:r>
          <w:t xml:space="preserve">and Class 2 (Spec D; only burn and foundation/treasury exclusions;</w:t>
        </w:r>
        <w:r>
          <w:t xml:space="preserve"> </w:t>
        </w:r>
        <w:r>
          <w:t xml:space="preserve">86 exclusions) yields p = 0.610 and d = 0.17. Excluding only Class 1</w:t>
        </w:r>
        <w:r>
          <w:t xml:space="preserve"> </w:t>
        </w:r>
        <w:r>
          <w:t xml:space="preserve">burn destinations (Spec E; 10 exclusions) yields p = 0.512 and d =</w:t>
        </w:r>
        <w:r>
          <w:t xml:space="preserve"> </w:t>
        </w:r>
        <w:r>
          <w:t xml:space="preserve">0.35. The progression illustrates two findings. First, the</w:t>
        </w:r>
        <w:r>
          <w:t xml:space="preserve"> </w:t>
        </w:r>
        <w:r>
          <w:t xml:space="preserve">direction of the sector contrast (DePIN HHI &gt; DeFi HHI in central</w:t>
        </w:r>
        <w:r>
          <w:t xml:space="preserve"> </w:t>
        </w:r>
        <w:r>
          <w:t xml:space="preserve">tendency) holds under every specification; Cohen’s d is positive in</w:t>
        </w:r>
        <w:r>
          <w:t xml:space="preserve"> </w:t>
        </w:r>
        <w:r>
          <w:t xml:space="preserve">all five. Second, statistical significance of the contrast depends</w:t>
        </w:r>
        <w:r>
          <w:t xml:space="preserve"> </w:t>
        </w:r>
        <w:r>
          <w:t xml:space="preserve">on whether staking-aggregation (Class 3) and CEX-custody (Class 5)</w:t>
        </w:r>
        <w:r>
          <w:t xml:space="preserve"> </w:t>
        </w:r>
        <w:r>
          <w:t xml:space="preserve">exclusions are applied: Specs A and B retain the contrast at</w:t>
        </w:r>
        <w:r>
          <w:t xml:space="preserve"> </w:t>
        </w:r>
        <w:r>
          <w:t xml:space="preserve">conventional thresholds; Spec C produces a medium-effect-size</w:t>
        </w:r>
        <w:r>
          <w:t xml:space="preserve"> </w:t>
        </w:r>
        <w:r>
          <w:t xml:space="preserve">contrast that fails the conventional significance threshold under</w:t>
        </w:r>
        <w:r>
          <w:t xml:space="preserve"> </w:t>
        </w:r>
        <w:r>
          <w:t xml:space="preserve">N = 30; Specs D and E (very minimal exclusions) absorb so much</w:t>
        </w:r>
        <w:r>
          <w:t xml:space="preserve"> </w:t>
        </w:r>
        <w:r>
          <w:t xml:space="preserve">non-vote-eligible signal into the holding distribution that the</w:t>
        </w:r>
        <w:r>
          <w:t xml:space="preserve"> </w:t>
        </w:r>
        <w:r>
          <w:t xml:space="preserve">sector contrast statistical power is exhausted. The methodological</w:t>
        </w:r>
        <w:r>
          <w:t xml:space="preserve"> </w:t>
        </w:r>
        <w:r>
          <w:t xml:space="preserve">implication is that the PCA exclusion methodology is load-bearing</w:t>
        </w:r>
        <w:r>
          <w:t xml:space="preserve"> </w:t>
        </w:r>
        <w:r>
          <w:t xml:space="preserve">for the inferential claim: applying the consistent 5-class typology</w:t>
        </w:r>
        <w:r>
          <w:t xml:space="preserve"> </w:t>
        </w:r>
        <w:r>
          <w:t xml:space="preserve">documented in Section 2.10.10 is necessary to identify the</w:t>
        </w:r>
        <w:r>
          <w:t xml:space="preserve"> </w:t>
        </w:r>
        <w:r>
          <w:t xml:space="preserve">sector contrast that this paper reports.</w:t>
        </w:r>
      </w:ins>
    </w:p>
    <w:p>
      <w:ins w:id="10939" w:author="R2 Revision" w:date="2026-05-19T00:00:00Z">
        <w:pPr>
          <w:pStyle w:val="BodyText"/>
        </w:pPr>
        <w:r>
          <w:t xml:space="preserve">Governance concentration shows no association with voter participation</w:t>
        </w:r>
        <w:r>
          <w:t xml:space="preserve"> </w:t>
        </w:r>
        <w:r>
          <w:t xml:space="preserve">rates (r = 0.00, N = 13; Figure 8), consistent with the Olson (1965)</w:t>
        </w:r>
        <w:r>
          <w:t xml:space="preserve"> </w:t>
        </w:r>
        <w:r>
          <w:t xml:space="preserve">collective action prediction that participation decisions reflect</w:t>
        </w:r>
        <w:r>
          <w:t xml:space="preserve"> </w:t>
        </w:r>
        <w:r>
          <w:t xml:space="preserve">rational abstention and diffusion of responsibility rather than</w:t>
        </w:r>
        <w:r>
          <w:t xml:space="preserve"> </w:t>
        </w:r>
        <w:r>
          <w:t xml:space="preserve">ownership structure.</w:t>
        </w:r>
      </w:ins>
    </w:p>
    <w:p>
      <w:ins w:id="10940" w:author="R2 Revision" w:date="2026-05-19T00:00:00Z">
        <w:pPr>
          <w:pStyle w:val="BodyText"/>
        </w:pPr>
        <w:r>
          <w:drawing>
            <wp:inline>
              <wp:extent cx="5029200" cy="3670153"/>
              <wp:effectExtent b="0" l="0" r="0" t="0"/>
              <wp:docPr descr="" title="" id="105" name="Picture"/>
              <a:graphic>
                <a:graphicData uri="http://schemas.openxmlformats.org/drawingml/2006/picture">
                  <pic:pic>
                    <pic:nvPicPr>
                      <pic:cNvPr descr="media/exhibit_concentration_participation.png" id="106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4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029200" cy="3670153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1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8.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HHI vs. average voter participation for 13 protocols with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Snapshot or Governor governance data. Governance concentration shows no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association with voter participation (r = 0.00, N = 13). Five protocols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(GMX, ENS, Rocket Pool, Gitcoin, Balancer) enter Figure 8 via Snapshot API queries; four Tier 1 spaces (CRV, GRT, IOTX, OP) had zero proposals in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trailing 12 months and are excluded. Reading the figure: the slope is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approximately flat, indicating that voter participation does not predict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in this 13-protocol sample; participation and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concentration are largely independent dimensions of governance health.</w:t>
        </w:r>
      </w:ins>
    </w:p>
    <w:p>
      <w:ins w:id="10942" w:author="R2 Revision" w:date="2026-05-19T00:00:00Z">
        <w:pPr>
          <w:pStyle w:val="BodyText"/>
        </w:pPr>
        <w:r>
          <w:drawing>
            <wp:inline>
              <wp:extent cx="5486400" cy="3376246"/>
              <wp:effectExtent b="0" l="0" r="0" t="0"/>
              <wp:docPr descr="" title="" id="108" name="Picture"/>
              <a:graphic>
                <a:graphicData uri="http://schemas.openxmlformats.org/drawingml/2006/picture">
                  <pic:pic>
                    <pic:nvPicPr>
                      <pic:cNvPr descr="media/exhibit_loo_forest.png" id="109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107"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5486400" cy="3376246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ins>
    </w:p>
    <w:p>
      <w:ins w:id="10943" w:author="R2 Revision" w:date="2026-05-19T00:00:00Z">
        <w:pPr>
          <w:pStyle w:val="BodyText"/>
        </w:pPr>
        <w:r>
          <w:rPr>
            <w:b/>
            <w:bCs/>
            <w:i/>
            <w:iCs/>
          </w:rPr>
          <w:t xml:space="preserve">Figure 9.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Leave-one-out sensitivity forest plot for the DePIN-vs-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 sector contrast. Left panel: Cohen’s d recomputed after dropping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each protocol from the joint DePIN+DeFi sample (30 iterations); p-value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annotated to the right of each bar; reference lines at the main-result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 = 0.98 and the conventional Cohen large-effect threshold d = 0.80.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DeFi-drop iterations and DePIN-drop iterations both lie above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large-effect threshold; the d range across all 30 iterations is 0.90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to 1.10. Right panel: bootstrap 95% percentile interval on the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headline Cohen’s d (10,000 resamples; [0.41, 1.69]). The bootstrap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interval excludes the medium-effect (d = 0.5) lower-bound benchmark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and extends well above the large-effect (d = 0.8) threshold,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confirming the sector contrast is robust to sample composition,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single-protocol exclusion, and resampling.</w:t>
        </w:r>
      </w:ins>
    </w:p>
    <w:bookmarkEnd w:id="110"/>
    <w:bookmarkEnd w:id="111"/>
    <w:bookmarkStart w:id="122" w:name="discussion"/>
    <w:p>
      <w:ins w:id="10944" w:author="R2 Revision" w:date="2026-05-19T00:00:00Z">
        <w:pPr>
          <w:pStyle w:val="Heading1"/>
        </w:pPr>
        <w:r>
          <w:t xml:space="preserve">4 Discussion</w:t>
        </w:r>
      </w:ins>
    </w:p>
    <w:bookmarkStart w:id="112" w:name="design-hypotheses"/>
    <w:p>
      <w:ins w:id="10945" w:author="R2 Revision" w:date="2026-05-19T00:00:00Z">
        <w:pPr>
          <w:pStyle w:val="Heading2"/>
        </w:pPr>
        <w:r>
          <w:t xml:space="preserve">4.1 Design Hypotheses</w:t>
        </w:r>
      </w:ins>
    </w:p>
    <w:p>
      <w:ins w:id="10946" w:author="R2 Revision" w:date="2026-05-19T00:00:00Z">
        <w:pPr>
          <w:pStyle w:val="FirstParagraph"/>
        </w:pPr>
        <w:r>
          <w:t xml:space="preserve">No protocol in the post-exclusion cross-section exceeds the 0.25 HHI</w:t>
        </w:r>
        <w:r>
          <w:t xml:space="preserve"> </w:t>
        </w:r>
        <w:r>
          <w:t xml:space="preserve">antitrust threshold, but the conditions that publicity and</w:t>
        </w:r>
        <w:r>
          <w:t xml:space="preserve"> </w:t>
        </w:r>
        <w:r>
          <w:t xml:space="preserve">non-domination traditions identify as problematic are already present at</w:t>
        </w:r>
        <w:r>
          <w:t xml:space="preserve"> </w:t>
        </w:r>
        <w:r>
          <w:t xml:space="preserve">the upper end of the distribution: Livepeer (0.199), WeatherXM (0.148),</w:t>
        </w:r>
        <w:r>
          <w:t xml:space="preserve"> </w:t>
        </w:r>
        <w:r>
          <w:t xml:space="preserve">and io.net (0.125) all sit in territory where governance decisions can</w:t>
        </w:r>
        <w:r>
          <w:t xml:space="preserve"> </w:t>
        </w:r>
        <w:r>
          <w:t xml:space="preserve">disproportionately reflect a small set of holders’ preferences. The</w:t>
        </w:r>
        <w:r>
          <w:t xml:space="preserve"> </w:t>
        </w:r>
        <w:r>
          <w:t xml:space="preserve">cross-section provides descriptive evidence most directly relevant to</w:t>
        </w:r>
        <w:r>
          <w:t xml:space="preserve"> </w:t>
        </w:r>
        <w:r>
          <w:t xml:space="preserve">Hypotheses 1 (publicity-legitimacy) and 2 (contestability), indirect</w:t>
        </w:r>
        <w:r>
          <w:t xml:space="preserve"> </w:t>
        </w:r>
        <w:r>
          <w:t xml:space="preserve">evidence for Hypotheses 4 and 5 (adaptivity, polycentricity), and</w:t>
        </w:r>
        <w:r>
          <w:t xml:space="preserve"> </w:t>
        </w:r>
        <w:r>
          <w:t xml:space="preserve">identifies three evidence frontiers (capability, contextual integrity,</w:t>
        </w:r>
        <w:r>
          <w:t xml:space="preserve"> </w:t>
        </w:r>
        <w:r>
          <w:t xml:space="preserve">cosmopolitanism). We organize the discussion by what the data directly</w:t>
        </w:r>
        <w:r>
          <w:t xml:space="preserve"> </w:t>
        </w:r>
        <w:r>
          <w:t xml:space="preserve">demonstrate, what they constrain, and what lies beyond the current</w:t>
        </w:r>
        <w:r>
          <w:t xml:space="preserve"> </w:t>
        </w:r>
        <w:r>
          <w:t xml:space="preserve">evidence base.</w:t>
        </w:r>
      </w:ins>
    </w:p>
    <w:p>
      <w:ins w:id="10947" w:author="R2 Revision" w:date="2026-05-19T00:00:00Z">
        <w:pPr>
          <w:pStyle w:val="BodyText"/>
        </w:pPr>
        <w:r>
          <w:t xml:space="preserve">Three empirical findings carry implications across multiple lenses of</w:t>
        </w:r>
        <w:r>
          <w:t xml:space="preserve"> </w:t>
        </w:r>
        <w:r>
          <w:t xml:space="preserve">the framework, exemplifying the mutually-reinforcing architecture</w:t>
        </w:r>
        <w:r>
          <w:t xml:space="preserve"> </w:t>
        </w:r>
        <w:r>
          <w:t xml:space="preserve">described in Section 2.9.6:</w:t>
        </w:r>
      </w:ins>
    </w:p>
    <w:p>
      <w:ins w:id="10948" w:author="R2 Revision" w:date="2026-05-19T00:00:00Z">
        <w:pPr>
          <w:pStyle w:val="BodyText"/>
        </w:pPr>
        <w:r>
          <w:rPr>
            <w:b/>
            <w:bCs/>
          </w:rPr>
          <w:t xml:space="preserve">Near-universal delegation amplification (Section 3.5)</w:t>
        </w:r>
        <w:r>
          <w:t xml:space="preserve"> </w:t>
        </w:r>
        <w:r>
          <w:t xml:space="preserve">registers as</w:t>
        </w:r>
        <w:r>
          <w:t xml:space="preserve"> </w:t>
        </w:r>
        <w:r>
          <w:t xml:space="preserve">a multi-lens concern: token-weighted delegation concentrates voting power</w:t>
        </w:r>
        <w:r>
          <w:t xml:space="preserve"> </w:t>
        </w:r>
        <w:r>
          <w:t xml:space="preserve">in nine of ten sampled protocols (ratios 1.2x to 11.4x; mean for the</w:t>
        </w:r>
        <w:r>
          <w:t xml:space="preserve"> </w:t>
        </w:r>
        <w:r>
          <w:t xml:space="preserve">nine amplifying protocols 5.3x; one structural-exception protocol (ENS</w:t>
        </w:r>
        <w:r>
          <w:t xml:space="preserve"> </w:t>
        </w:r>
        <w:r>
          <w:t xml:space="preserve">at 0.39x) reflects a mature delegate program where holders systematically</w:t>
        </w:r>
        <w:r>
          <w:t xml:space="preserve"> </w:t>
        </w:r>
        <w:r>
          <w:t xml:space="preserve">delegate to a broad community-delegate set rather than self-delegating),</w:t>
        </w:r>
        <w:r>
          <w:t xml:space="preserve"> </w:t>
        </w:r>
        <w:r>
          <w:t xml:space="preserve">which (a) thins Kantian publicity by enabling governance decisions to</w:t>
        </w:r>
        <w:r>
          <w:t xml:space="preserve"> </w:t>
        </w:r>
        <w:r>
          <w:t xml:space="preserve">proceed without genuine public deliberation when a handful of delegates</w:t>
        </w:r>
        <w:r>
          <w:t xml:space="preserve"> </w:t>
        </w:r>
        <w:r>
          <w:t xml:space="preserve">hold majority voting power; (b) attenuates Pettit contestability in</w:t>
        </w:r>
        <w:r>
          <w:t xml:space="preserve"> </w:t>
        </w:r>
        <w:r>
          <w:t xml:space="preserve">practice, since formal contestation mechanisms may exist on paper but</w:t>
        </w:r>
        <w:r>
          <w:t xml:space="preserve"> </w:t>
        </w:r>
        <w:r>
          <w:t xml:space="preserve">be ineffective when 1-5 delegates can pass or block proposals; (c)</w:t>
        </w:r>
        <w:r>
          <w:t xml:space="preserve"> </w:t>
        </w:r>
        <w:r>
          <w:t xml:space="preserve">undermines Rawlsian fairness by structurally privileging large</w:t>
        </w:r>
        <w:r>
          <w:t xml:space="preserve"> </w:t>
        </w:r>
        <w:r>
          <w:t xml:space="preserve">delegates over small holders in any outcome contestation produces; (d)</w:t>
        </w:r>
        <w:r>
          <w:t xml:space="preserve"> </w:t>
        </w:r>
        <w:r>
          <w:t xml:space="preserve">inverts Ostromian polycentricity, since centralized delegation pools</w:t>
        </w:r>
        <w:r>
          <w:t xml:space="preserve"> </w:t>
        </w:r>
        <w:r>
          <w:t xml:space="preserve">are the institutional opposite of nested decision-centers; and (e)</w:t>
        </w:r>
        <w:r>
          <w:t xml:space="preserve"> </w:t>
        </w:r>
        <w:r>
          <w:t xml:space="preserve">silences Hayekian knowledge-use, since distributed holder information</w:t>
        </w:r>
        <w:r>
          <w:t xml:space="preserve"> </w:t>
        </w:r>
        <w:r>
          <w:t xml:space="preserve">signals are aggregated to the delegate level before they can inform</w:t>
        </w:r>
        <w:r>
          <w:t xml:space="preserve"> </w:t>
        </w:r>
        <w:r>
          <w:t xml:space="preserve">governance. A single empirical finding thus undermines the framework’s</w:t>
        </w:r>
        <w:r>
          <w:t xml:space="preserve"> </w:t>
        </w:r>
        <w:r>
          <w:t xml:space="preserve">five normative dimensions simultaneously, illustrating why the</w:t>
        </w:r>
        <w:r>
          <w:t xml:space="preserve"> </w:t>
        </w:r>
        <w:r>
          <w:t xml:space="preserve">arithmetic-mean Synergy Index can mask underlying structural problems</w:t>
        </w:r>
        <w:r>
          <w:t xml:space="preserve"> </w:t>
        </w:r>
        <w:r>
          <w:t xml:space="preserve">that registered cross-lens correlation would expose.</w:t>
        </w:r>
      </w:ins>
    </w:p>
    <w:p>
      <w:ins w:id="10949" w:author="R2 Revision" w:date="2026-05-19T00:00:00Z">
        <w:pPr>
          <w:pStyle w:val="BodyText"/>
        </w:pPr>
        <w:r>
          <w:rPr>
            <w:b/>
            <w:bCs/>
          </w:rPr>
          <w:t xml:space="preserve">Allocation null (Section 3.4)</w:t>
        </w:r>
        <w:r>
          <w:t xml:space="preserve"> </w:t>
        </w:r>
        <w:r>
          <w:t xml:space="preserve">is informative as a non-implication</w:t>
        </w:r>
        <w:r>
          <w:t xml:space="preserve"> </w:t>
        </w:r>
        <w:r>
          <w:t xml:space="preserve">of the framework: none of the five lenses predicts initial-allocation</w:t>
        </w:r>
        <w:r>
          <w:t xml:space="preserve"> </w:t>
        </w:r>
        <w:r>
          <w:t xml:space="preserve">percentages as the determinant of post-distribution governance</w:t>
        </w:r>
        <w:r>
          <w:t xml:space="preserve"> </w:t>
        </w:r>
        <w:r>
          <w:t xml:space="preserve">concentration. The lenses care about post-distribution structural</w:t>
        </w:r>
        <w:r>
          <w:t xml:space="preserve"> </w:t>
        </w:r>
        <w:r>
          <w:t xml:space="preserve">features (the operational mechanisms in Table 1), which is empirically</w:t>
        </w:r>
        <w:r>
          <w:t xml:space="preserve"> </w:t>
        </w:r>
        <w:r>
          <w:t xml:space="preserve">what the cross-section finds: protocols across the full range of</w:t>
        </w:r>
        <w:r>
          <w:t xml:space="preserve"> </w:t>
        </w:r>
        <w:r>
          <w:t xml:space="preserve">allocation designs achieve comparable concentration levels. This</w:t>
        </w:r>
        <w:r>
          <w:t xml:space="preserve"> </w:t>
        </w:r>
        <w:r>
          <w:t xml:space="preserve">alignment between the framework’s normative focus and the empirical</w:t>
        </w:r>
        <w:r>
          <w:t xml:space="preserve"> </w:t>
        </w:r>
        <w:r>
          <w:t xml:space="preserve">locus of variation strengthens the framework’s analytical purchase on</w:t>
        </w:r>
        <w:r>
          <w:t xml:space="preserve"> </w:t>
        </w:r>
        <w:r>
          <w:t xml:space="preserve">the phenomenon.</w:t>
        </w:r>
      </w:ins>
    </w:p>
    <w:p>
      <w:ins w:id="10950" w:author="R2 Revision" w:date="2026-05-19T00:00:00Z">
        <w:pPr>
          <w:pStyle w:val="BodyText"/>
        </w:pPr>
        <w:r>
          <w:rPr>
            <w:b/>
            <w:bCs/>
          </w:rPr>
          <w:t xml:space="preserve">Curve / veCRV concentration (Sections 3.5 + 4.1 ve-locking)</w:t>
        </w:r>
        <w:r>
          <w:t xml:space="preserve"> </w:t>
        </w:r>
        <w:r>
          <w:t xml:space="preserve">exhibits a specific Ostromian polycentricity failure layered on a</w:t>
        </w:r>
        <w:r>
          <w:t xml:space="preserve"> </w:t>
        </w:r>
        <w:r>
          <w:t xml:space="preserve">specific Hayekian knowledge-use failure: Convex’s 48% share of top-50</w:t>
        </w:r>
        <w:r>
          <w:t xml:space="preserve"> </w:t>
        </w:r>
        <w:r>
          <w:t xml:space="preserve">veCRV deposits centralizes the meta-governance layer (Convex itself is</w:t>
        </w:r>
        <w:r>
          <w:t xml:space="preserve"> </w:t>
        </w:r>
        <w:r>
          <w:t xml:space="preserve">governed by vlCVX holders, not by the underlying CRV lockers), and the</w:t>
        </w:r>
        <w:r>
          <w:t xml:space="preserve"> </w:t>
        </w:r>
        <w:r>
          <w:t xml:space="preserve">lock-duration weighting Curve uses to weight votes does not reflect</w:t>
        </w:r>
        <w:r>
          <w:t xml:space="preserve"> </w:t>
        </w:r>
        <w:r>
          <w:t xml:space="preserve">informational diversity across holders. The 15x amplification ratio</w:t>
        </w:r>
        <w:r>
          <w:t xml:space="preserve"> </w:t>
        </w:r>
        <w:r>
          <w:t xml:space="preserve">between raw CRV holding HHI (0.017) and veCRV voting concentration</w:t>
        </w:r>
        <w:r>
          <w:t xml:space="preserve"> </w:t>
        </w:r>
        <w:r>
          <w:t xml:space="preserve">(0.26) is a structural feature of the ve-token design, not a</w:t>
        </w:r>
        <w:r>
          <w:t xml:space="preserve"> </w:t>
        </w:r>
        <w:r>
          <w:t xml:space="preserve">contingent allocation outcome.</w:t>
        </w:r>
      </w:ins>
    </w:p>
    <w:p>
      <w:ins w:id="10951" w:author="R2 Revision" w:date="2026-05-19T00:00:00Z">
        <w:pPr>
          <w:pStyle w:val="BodyText"/>
        </w:pPr>
        <w:r>
          <w:t xml:space="preserve">Governance concentration patterns relate most directly to Hypotheses 1</w:t>
        </w:r>
        <w:r>
          <w:t xml:space="preserve"> </w:t>
        </w:r>
        <w:r>
          <w:t xml:space="preserve">(publicity-legitimacy) and 2 (contestability), with Rawlsian fairness</w:t>
        </w:r>
        <w:r>
          <w:t xml:space="preserve"> </w:t>
        </w:r>
        <w:r>
          <w:t xml:space="preserve">implications. Protocols at the upper end of the concentration range</w:t>
        </w:r>
        <w:r>
          <w:t xml:space="preserve"> </w:t>
        </w:r>
        <w:r>
          <w:t xml:space="preserve">(Livepeer 0.199, IoTeX 0.189, WeatherXM 0.148, io.net 0.125) exhibit</w:t>
        </w:r>
        <w:r>
          <w:t xml:space="preserve"> </w:t>
        </w:r>
        <w:r>
          <w:t xml:space="preserve">concentration the framework flags for scrutiny, though no protocol in</w:t>
        </w:r>
        <w:r>
          <w:t xml:space="preserve"> </w:t>
        </w:r>
        <w:r>
          <w:t xml:space="preserve">the post-exclusion cross-section exceeds the 0.25 antitrust threshold. Three concerns arise</w:t>
        </w:r>
        <w:r>
          <w:t xml:space="preserve"> </w:t>
        </w:r>
        <w:r>
          <w:t xml:space="preserve">even at these levels: governance decisions disproportionately reflect a</w:t>
        </w:r>
        <w:r>
          <w:t xml:space="preserve"> </w:t>
        </w:r>
        <w:r>
          <w:t xml:space="preserve">small set of holders’ preferences, thinning Kantian public</w:t>
        </w:r>
        <w:r>
          <w:t xml:space="preserve"> </w:t>
        </w:r>
        <w:r>
          <w:t xml:space="preserve">justification; DePIN operators who deploy hardware hold insufficient</w:t>
        </w:r>
        <w:r>
          <w:t xml:space="preserve"> </w:t>
        </w:r>
        <w:r>
          <w:t xml:space="preserve">tokens to influence outcomes affecting their investments, a Rawlsian</w:t>
        </w:r>
        <w:r>
          <w:t xml:space="preserve"> </w:t>
        </w:r>
        <w:r>
          <w:t xml:space="preserve">fairness concern; and few holders can override community preferences</w:t>
        </w:r>
        <w:r>
          <w:t xml:space="preserve"> </w:t>
        </w:r>
        <w:r>
          <w:t xml:space="preserve">without formal contestation, a republican non-domination concern. The</w:t>
        </w:r>
        <w:r>
          <w:t xml:space="preserve"> </w:t>
        </w:r>
        <w:r>
          <w:t xml:space="preserve">counterexample (Anyone, HHI 0.013) demonstrates that these conditions</w:t>
        </w:r>
        <w:r>
          <w:t xml:space="preserve"> </w:t>
        </w:r>
        <w:r>
          <w:t xml:space="preserve">are not structurally inherent to DePIN architecture. Among DeFi</w:t>
        </w:r>
        <w:r>
          <w:t xml:space="preserve"> </w:t>
        </w:r>
        <w:r>
          <w:t xml:space="preserve">benchmarks, Compound’s lower concentration (HHI 0.009) partly reflects</w:t>
        </w:r>
        <w:r>
          <w:t xml:space="preserve"> </w:t>
        </w:r>
        <w:r>
          <w:t xml:space="preserve">active delegation, suggesting institutional design can reduce effective</w:t>
        </w:r>
        <w:r>
          <w:t xml:space="preserve"> </w:t>
        </w:r>
        <w:r>
          <w:t xml:space="preserve">concentration without token redistribution.</w:t>
        </w:r>
      </w:ins>
    </w:p>
    <w:p>
      <w:ins w:id="10952" w:author="R2 Revision" w:date="2026-05-19T00:00:00Z">
        <w:pPr>
          <w:pStyle w:val="BodyText"/>
        </w:pPr>
        <w:r>
          <w:t xml:space="preserve">Hypotheses 4 (service-over-presence) and 5 (polycentric adaptation)</w:t>
        </w:r>
        <w:r>
          <w:t xml:space="preserve"> </w:t>
        </w:r>
        <w:r>
          <w:t xml:space="preserve">cannot be tested directly with the HHI cross-section because it measures</w:t>
        </w:r>
        <w:r>
          <w:t xml:space="preserve"> </w:t>
        </w:r>
        <w:r>
          <w:t xml:space="preserve">token concentration rather than governance structure diversity. The data</w:t>
        </w:r>
        <w:r>
          <w:t xml:space="preserve"> </w:t>
        </w:r>
        <w:r>
          <w:t xml:space="preserve">reveal a structural constraint nonetheless: operators closest to the</w:t>
        </w:r>
        <w:r>
          <w:t xml:space="preserve"> </w:t>
        </w:r>
        <w:r>
          <w:t xml:space="preserve">service (those with the most relevant operational knowledge) cannot</w:t>
        </w:r>
        <w:r>
          <w:t xml:space="preserve"> </w:t>
        </w:r>
        <w:r>
          <w:t xml:space="preserve">influence governance decisions if they hold small token positions. The</w:t>
        </w:r>
        <w:r>
          <w:t xml:space="preserve"> </w:t>
        </w:r>
        <w:r>
          <w:t xml:space="preserve">Helium case (Zukowski, 2026a) demonstrates that polycentric features</w:t>
        </w:r>
        <w:r>
          <w:t xml:space="preserve"> </w:t>
        </w:r>
        <w:r>
          <w:t xml:space="preserve">(subDAOs, councils, delegation hierarchies) can reduce effective</w:t>
        </w:r>
        <w:r>
          <w:t xml:space="preserve"> </w:t>
        </w:r>
        <w:r>
          <w:t xml:space="preserve">concentration without redistribution: HIP-147 succeeded partly because</w:t>
        </w:r>
        <w:r>
          <w:t xml:space="preserve"> </w:t>
        </w:r>
        <w:r>
          <w:t xml:space="preserve">Helium’s governance process channeled edge-operator input despite</w:t>
        </w:r>
        <w:r>
          <w:t xml:space="preserve"> </w:t>
        </w:r>
        <w:r>
          <w:t xml:space="preserve">concentrated holdings. A companion simulation (Zukowski, 2026b) extends</w:t>
        </w:r>
        <w:r>
          <w:t xml:space="preserve"> </w:t>
        </w:r>
        <w:r>
          <w:t xml:space="preserve">these results to adaptive emission controllers, finding that the primary</w:t>
        </w:r>
        <w:r>
          <w:t xml:space="preserve"> </w:t>
        </w:r>
        <w:r>
          <w:t xml:space="preserve">value of polycentric mechanisms is preventing collapse rather than</w:t>
        </w:r>
        <w:r>
          <w:t xml:space="preserve"> </w:t>
        </w:r>
        <w:r>
          <w:t xml:space="preserve">improving averages.</w:t>
        </w:r>
      </w:ins>
    </w:p>
    <w:p>
      <w:ins w:id="10953" w:author="R2 Revision" w:date="2026-05-19T00:00:00Z">
        <w:pPr>
          <w:pStyle w:val="BodyText"/>
        </w:pPr>
        <w:r>
          <w:t xml:space="preserve">A companion study (Zukowski, 2026a) documents a related concentration</w:t>
        </w:r>
        <w:r>
          <w:t xml:space="preserve"> </w:t>
        </w:r>
        <w:r>
          <w:t xml:space="preserve">risk in DePIN fiscal sustainability: Helium’s aggregate Spend-to-Reward</w:t>
        </w:r>
        <w:r>
          <w:t xml:space="preserve"> </w:t>
        </w:r>
        <w:r>
          <w:t xml:space="preserve">ratio crossed fiscal parity, but approximately five purchasers account</w:t>
        </w:r>
        <w:r>
          <w:t xml:space="preserve"> </w:t>
        </w:r>
        <w:r>
          <w:t xml:space="preserve">for 90% of token burns, a concentration invisible to aggregate metrics.</w:t>
        </w:r>
        <w:r>
          <w:t xml:space="preserve"> </w:t>
        </w:r>
        <w:r>
          <w:t xml:space="preserve">Governance and demand concentration are distinct failure modes that can</w:t>
        </w:r>
        <w:r>
          <w:t xml:space="preserve"> </w:t>
        </w:r>
        <w:r>
          <w:t xml:space="preserve">coexist. The same companion study provides the strongest longitudinal</w:t>
        </w:r>
        <w:r>
          <w:t xml:space="preserve"> </w:t>
        </w:r>
        <w:r>
          <w:t xml:space="preserve">test of Hypotheses 3 and 4: Helium’s S2R trajectory over 34 months</w:t>
        </w:r>
        <w:r>
          <w:t xml:space="preserve"> </w:t>
        </w:r>
        <w:r>
          <w:t xml:space="preserve">documents how demand-coupled burns drove S2R from 0.013 to 2.06 after</w:t>
        </w:r>
        <w:r>
          <w:t xml:space="preserve"> </w:t>
        </w:r>
        <w:r>
          <w:t xml:space="preserve">transitioning to service-verified rewards and completing the August 2025</w:t>
        </w:r>
        <w:r>
          <w:t xml:space="preserve"> </w:t>
        </w:r>
        <w:r>
          <w:t xml:space="preserve">halving, with DC burns exceeding HNT emissions by approximately 84% and</w:t>
        </w:r>
        <w:r>
          <w:t xml:space="preserve"> </w:t>
        </w:r>
        <w:r>
          <w:t xml:space="preserve">contributing to a 3 to 4% net annual deflation rate (Zukowski, 2026a;</w:t>
        </w:r>
        <w:r>
          <w:t xml:space="preserve"> </w:t>
        </w:r>
        <w:r>
          <w:t xml:space="preserve">Blockworks, 2026). The trajectory is consistent with Hypothesis 3 (the</w:t>
        </w:r>
        <w:r>
          <w:t xml:space="preserve"> </w:t>
        </w:r>
        <w:r>
          <w:t xml:space="preserve">sink was deployed and observable before the emission reduction,</w:t>
        </w:r>
        <w:r>
          <w:t xml:space="preserve"> </w:t>
        </w:r>
        <w:r>
          <w:t xml:space="preserve">producing a sustained surplus at the subnetwork level) and with</w:t>
        </w:r>
        <w:r>
          <w:t xml:space="preserve"> </w:t>
        </w:r>
        <w:r>
          <w:t xml:space="preserve">Hypothesis 4 (the shift from coverage-based to service-based rewards</w:t>
        </w:r>
        <w:r>
          <w:t xml:space="preserve"> </w:t>
        </w:r>
        <w:r>
          <w:t xml:space="preserve">coincided with revenue rising from $6,500 monthly across 975,000 IoT</w:t>
        </w:r>
        <w:r>
          <w:t xml:space="preserve"> </w:t>
        </w:r>
        <w:r>
          <w:t xml:space="preserve">hotspots to $18.3 million annualized by Q3 2025; Bane &amp; Gala, 2026).</w:t>
        </w:r>
        <w:r>
          <w:t xml:space="preserve"> </w:t>
        </w:r>
        <w:r>
          <w:t xml:space="preserve">Neither hypothesis is confirmed by a single case, but the directional</w:t>
        </w:r>
        <w:r>
          <w:t xml:space="preserve"> </w:t>
        </w:r>
        <w:r>
          <w:t xml:space="preserve">evidence is the strongest available in the DePIN sector.</w:t>
        </w:r>
      </w:ins>
    </w:p>
    <w:p>
      <w:ins w:id="10954" w:author="R2 Revision" w:date="2026-05-19T00:00:00Z">
        <w:pPr>
          <w:pStyle w:val="BodyText"/>
        </w:pPr>
        <w:r>
          <w:t xml:space="preserve">Resource Dependence Theory (Pfeffer &amp; Salancik, 1978) predicts that</w:t>
        </w:r>
        <w:r>
          <w:t xml:space="preserve"> </w:t>
        </w:r>
        <w:r>
          <w:t xml:space="preserve">demand concentration transfers strategic leverage to concentrated buyers</w:t>
        </w:r>
        <w:r>
          <w:t xml:space="preserve"> </w:t>
        </w:r>
        <w:r>
          <w:t xml:space="preserve">independent of governance token distribution, creating a vulnerability</w:t>
        </w:r>
        <w:r>
          <w:t xml:space="preserve"> </w:t>
        </w:r>
        <w:r>
          <w:t xml:space="preserve">that governance reforms alone cannot address; the companion study</w:t>
        </w:r>
        <w:r>
          <w:t xml:space="preserve"> </w:t>
        </w:r>
        <w:r>
          <w:t xml:space="preserve">(Zukowski, 2026a) documents this separation empirically across four</w:t>
        </w:r>
        <w:r>
          <w:t xml:space="preserve"> </w:t>
        </w:r>
        <w:r>
          <w:t xml:space="preserve">DePIN protocols.</w:t>
        </w:r>
      </w:ins>
    </w:p>
    <w:p>
      <w:ins w:id="10955" w:author="R2 Revision" w:date="2026-05-19T00:00:00Z">
        <w:pPr>
          <w:pStyle w:val="BodyText"/>
        </w:pPr>
        <w:r>
          <w:t xml:space="preserve">The governance concentration documented here also has an industrial</w:t>
        </w:r>
        <w:r>
          <w:t xml:space="preserve"> </w:t>
        </w:r>
        <w:r>
          <w:t xml:space="preserve">organization interpretation: concentrated token holders who control</w:t>
        </w:r>
        <w:r>
          <w:t xml:space="preserve"> </w:t>
        </w:r>
        <w:r>
          <w:t xml:space="preserve">emission and reward parameters function as oligopsonist buyers of</w:t>
        </w:r>
        <w:r>
          <w:t xml:space="preserve"> </w:t>
        </w:r>
        <w:r>
          <w:t xml:space="preserve">operator services (Williamson, 1999; oligopsony refers to a market with</w:t>
        </w:r>
        <w:r>
          <w:t xml:space="preserve"> </w:t>
        </w:r>
        <w:r>
          <w:t xml:space="preserve">few buyers facing many sellers, the mirror image of oligopoly). When</w:t>
        </w:r>
        <w:r>
          <w:t xml:space="preserve"> </w:t>
        </w:r>
        <w:r>
          <w:t xml:space="preserve">governance power exceeds the efficient bilateral-bargaining threshold,</w:t>
        </w:r>
        <w:r>
          <w:t xml:space="preserve"> </w:t>
        </w:r>
        <w:r>
          <w:t xml:space="preserve">the resulting monopsonistic markdown on operator compensation (the</w:t>
        </w:r>
        <w:r>
          <w:t xml:space="preserve"> </w:t>
        </w:r>
        <w:r>
          <w:t xml:space="preserve">amount by which a single dominant buyer can compress prices below the</w:t>
        </w:r>
        <w:r>
          <w:t xml:space="preserve"> </w:t>
        </w:r>
        <w:r>
          <w:t xml:space="preserve">competitive level by exercising buy-side market power) produces</w:t>
        </w:r>
        <w:r>
          <w:t xml:space="preserve"> </w:t>
        </w:r>
        <w:r>
          <w:t xml:space="preserve">allocative inefficiency; operators exit, degrading network output. The Compound Proposal 289</w:t>
        </w:r>
        <w:r>
          <w:t xml:space="preserve"> </w:t>
        </w:r>
        <w:r>
          <w:t xml:space="preserve">incident (July 2024) illustrates a complementary failure mode in which</w:t>
        </w:r>
        <w:r>
          <w:t xml:space="preserve"> </w:t>
        </w:r>
        <w:r>
          <w:t xml:space="preserve">strategic vote timing enabled minority capture of treasury funds,</w:t>
        </w:r>
        <w:r>
          <w:t xml:space="preserve"> </w:t>
        </w:r>
        <w:r>
          <w:t xml:space="preserve">underscoring that formal contestability mechanisms (Hypothesis 2) must</w:t>
        </w:r>
        <w:r>
          <w:t xml:space="preserve"> </w:t>
        </w:r>
        <w:r>
          <w:t xml:space="preserve">include temporal safeguards.</w:t>
        </w:r>
      </w:ins>
    </w:p>
    <w:p>
      <w:ins w:id="10956" w:author="R2 Revision" w:date="2026-05-19T00:00:00Z">
        <w:pPr>
          <w:pStyle w:val="BodyText"/>
        </w:pPr>
        <w:r>
          <w:t xml:space="preserve">The empirical gap that Alshater (2026) identifies as the most pressing</w:t>
        </w:r>
        <w:r>
          <w:t xml:space="preserve"> </w:t>
        </w:r>
        <w:r>
          <w:t xml:space="preserve">in current DePIN tokenomics research is the absence of rigorous</w:t>
        </w:r>
        <w:r>
          <w:t xml:space="preserve"> </w:t>
        </w:r>
        <w:r>
          <w:t xml:space="preserve">quantitative evaluation of competing economic models. Alshater calls for</w:t>
        </w:r>
        <w:r>
          <w:t xml:space="preserve"> </w:t>
        </w:r>
        <w:r>
          <w:t xml:space="preserve">event-study analyses of governance interventions such as Helium’s</w:t>
        </w:r>
        <w:r>
          <w:t xml:space="preserve"> </w:t>
        </w:r>
        <w:r>
          <w:t xml:space="preserve">HIP-138 and Hivemapper’s MIP-19, comparative sectoral analysis of why</w:t>
        </w:r>
        <w:r>
          <w:t xml:space="preserve"> </w:t>
        </w:r>
        <w:r>
          <w:t xml:space="preserve">specific tokenomic models prevail in particular DePIN sectors, and</w:t>
        </w:r>
        <w:r>
          <w:t xml:space="preserve"> </w:t>
        </w:r>
        <w:r>
          <w:t xml:space="preserve">empirical examination of how DAO characteristics affect network</w:t>
        </w:r>
        <w:r>
          <w:t xml:space="preserve"> </w:t>
        </w:r>
        <w:r>
          <w:t xml:space="preserve">performance. The cross-sectional results reported here address the third</w:t>
        </w:r>
        <w:r>
          <w:t xml:space="preserve"> </w:t>
        </w:r>
        <w:r>
          <w:t xml:space="preserve">of these gaps along two complementary dimensions. First, the</w:t>
        </w:r>
        <w:r>
          <w:t xml:space="preserve"> </w:t>
        </w:r>
        <w:r>
          <w:t xml:space="preserve">insider-retention finding (Spearman rho = 0.48, p = 0.003, N = 37,</w:t>
        </w:r>
        <w:r>
          <w:t xml:space="preserve"> </w:t>
        </w:r>
        <w:r>
          <w:t xml:space="preserve">leave-one-out significant in 37 of 37 iterations) provides evidence</w:t>
        </w:r>
        <w:r>
          <w:t xml:space="preserve"> </w:t>
        </w:r>
        <w:r>
          <w:t xml:space="preserve">consistent with the proposition that token distribution characteristics</w:t>
        </w:r>
        <w:r>
          <w:t xml:space="preserve"> </w:t>
        </w:r>
        <w:r>
          <w:t xml:space="preserve">in current holder positions are robustly associated with governance</w:t>
        </w:r>
        <w:r>
          <w:t xml:space="preserve"> </w:t>
        </w:r>
        <w:r>
          <w:t xml:space="preserve">concentration measured by HHI, while the allocation-design null (Pearson</w:t>
        </w:r>
        <w:r>
          <w:t xml:space="preserve"> </w:t>
        </w:r>
        <w:r>
          <w:t xml:space="preserve">r = 0.04, p = 0.84, N = 37) constrains the alternative hypothesis that</w:t>
        </w:r>
        <w:r>
          <w:t xml:space="preserve"> </w:t>
        </w:r>
        <w:r>
          <w:t xml:space="preserve">initial distribution choices predict downstream concentration. Second,</w:t>
        </w:r>
        <w:r>
          <w:t xml:space="preserve"> </w:t>
        </w:r>
        <w:r>
          <w:t xml:space="preserve">the delegation-adjusted analysis reported in Section 3.5 extends Fritsch</w:t>
        </w:r>
        <w:r>
          <w:t xml:space="preserve"> </w:t>
        </w:r>
        <w:r>
          <w:t xml:space="preserve">et al. (2024) to a cross-section of eight protocols spanning DeFi,</w:t>
        </w:r>
        <w:r>
          <w:t xml:space="preserve"> </w:t>
        </w:r>
        <w:r>
          <w:t xml:space="preserve">DePIN, and infrastructure categories. The analysis documents</w:t>
        </w:r>
        <w:r>
          <w:t xml:space="preserve"> </w:t>
        </w:r>
        <w:r>
          <w:t xml:space="preserve">amplification factors ranging from 1.2 times (GMX) to 11.4 times (Lido)</w:t>
        </w:r>
        <w:r>
          <w:t xml:space="preserve"> </w:t>
        </w:r>
        <w:r>
          <w:t xml:space="preserve">across the amplifying protocols (nine of ten; ENS at 0.39x is the</w:t>
        </w:r>
        <w:r>
          <w:t xml:space="preserve"> </w:t>
        </w:r>
        <w:r>
          <w:t xml:space="preserve">structural exception). Within the infrastructure</w:t>
        </w:r>
        <w:r>
          <w:t xml:space="preserve"> </w:t>
        </w:r>
        <w:r>
          <w:t xml:space="preserve">subsample, Optimism (3.6 times) and Arbitrum (4.4 times) bracket a</w:t>
        </w:r>
        <w:r>
          <w:t xml:space="preserve"> </w:t>
        </w:r>
        <w:r>
          <w:t xml:space="preserve">narrow magnitude band. This near-uniform direction with magnitude</w:t>
        </w:r>
        <w:r>
          <w:t xml:space="preserve"> </w:t>
        </w:r>
        <w:r>
          <w:t xml:space="preserve">variation by institutional design is consistent with</w:t>
        </w:r>
        <w:r>
          <w:t xml:space="preserve"> </w:t>
        </w:r>
        <w:r>
          <w:t xml:space="preserve">the broader claim of this paper that institutional design at the</w:t>
        </w:r>
        <w:r>
          <w:t xml:space="preserve"> </w:t>
        </w:r>
        <w:r>
          <w:t xml:space="preserve">operator and router level shapes governance outcomes more than the</w:t>
        </w:r>
        <w:r>
          <w:t xml:space="preserve"> </w:t>
        </w:r>
        <w:r>
          <w:t xml:space="preserve">token’s surface properties or sector classification. Event-study</w:t>
        </w:r>
        <w:r>
          <w:t xml:space="preserve"> </w:t>
        </w:r>
        <w:r>
          <w:t xml:space="preserve">evidence on the governance interventions Alshater highlights is the</w:t>
        </w:r>
        <w:r>
          <w:t xml:space="preserve"> </w:t>
        </w:r>
        <w:r>
          <w:t xml:space="preserve">subject of follow-up work using HIP-138 and other interventions as</w:t>
        </w:r>
        <w:r>
          <w:t xml:space="preserve"> </w:t>
        </w:r>
        <w:r>
          <w:t xml:space="preserve">natural experiments.</w:t>
        </w:r>
      </w:ins>
    </w:p>
    <w:p>
      <w:ins w:id="10957" w:author="R2 Revision" w:date="2026-05-19T00:00:00Z">
        <w:pPr>
          <w:pStyle w:val="BodyText"/>
        </w:pPr>
        <w:r>
          <w:t xml:space="preserve">Evidence gaps and research frontiers. Three directions lie beyond</w:t>
        </w:r>
        <w:r>
          <w:t xml:space="preserve"> </w:t>
        </w:r>
        <w:r>
          <w:t xml:space="preserve">governance token data. First, capability-oriented evaluation (following</w:t>
        </w:r>
        <w:r>
          <w:t xml:space="preserve"> </w:t>
        </w:r>
        <w:r>
          <w:t xml:space="preserve">Sen and Nussbaum) requires participant-level data on income, skill</w:t>
        </w:r>
        <w:r>
          <w:t xml:space="preserve"> </w:t>
        </w:r>
        <w:r>
          <w:t xml:space="preserve">development, and infrastructure access that no protocol instruments at</w:t>
        </w:r>
        <w:r>
          <w:t xml:space="preserve"> </w:t>
        </w:r>
        <w:r>
          <w:t xml:space="preserve">scale; a companion 13-protocol DePIN vertical study documents this gap</w:t>
        </w:r>
        <w:r>
          <w:t xml:space="preserve"> </w:t>
        </w:r>
        <w:r>
          <w:t xml:space="preserve">(Zukowski, 2026a). Second, contextual integrity (following Floridi and</w:t>
        </w:r>
        <w:r>
          <w:t xml:space="preserve"> </w:t>
        </w:r>
        <w:r>
          <w:t xml:space="preserve">Nissenbaum) requires trust and data governance metrics; concentrated</w:t>
        </w:r>
        <w:r>
          <w:t xml:space="preserve"> </w:t>
        </w:r>
        <w:r>
          <w:t xml:space="preserve">governance means decisions about data use and privacy norms are made by</w:t>
        </w:r>
        <w:r>
          <w:t xml:space="preserve"> </w:t>
        </w:r>
        <w:r>
          <w:t xml:space="preserve">a small group rather than the community whose data is at stake,</w:t>
        </w:r>
        <w:r>
          <w:t xml:space="preserve"> </w:t>
        </w:r>
        <w:r>
          <w:t xml:space="preserve">particularly for protocols collecting location data (Helium), vehicle</w:t>
        </w:r>
        <w:r>
          <w:t xml:space="preserve"> </w:t>
        </w:r>
        <w:r>
          <w:t xml:space="preserve">telemetry (DIMO), or health data (CUDIS). Third, cosmopolitan inclusion</w:t>
        </w:r>
        <w:r>
          <w:t xml:space="preserve"> </w:t>
        </w:r>
        <w:r>
          <w:t xml:space="preserve">(following Appiah) identifies a tension the data indicate descriptively:</w:t>
        </w:r>
        <w:r>
          <w:t xml:space="preserve"> </w:t>
        </w:r>
        <w:r>
          <w:t xml:space="preserve">most DePIN protocols have global operator bases but concentrated</w:t>
        </w:r>
        <w:r>
          <w:t xml:space="preserve"> </w:t>
        </w:r>
        <w:r>
          <w:t xml:space="preserve">governance, meaning geographic inclusion coexists with governance</w:t>
        </w:r>
        <w:r>
          <w:t xml:space="preserve"> </w:t>
        </w:r>
        <w:r>
          <w:t xml:space="preserve">exclusion.</w:t>
        </w:r>
      </w:ins>
    </w:p>
    <w:bookmarkEnd w:id="112"/>
    <w:bookmarkStart w:id="113" w:name="governance-design-implications"/>
    <w:p>
      <w:ins w:id="10958" w:author="R2 Revision" w:date="2026-05-19T00:00:00Z">
        <w:pPr>
          <w:pStyle w:val="Heading2"/>
        </w:pPr>
        <w:r>
          <w:t xml:space="preserve">4.2 Governance Design Implications</w:t>
        </w:r>
      </w:ins>
    </w:p>
    <w:p>
      <w:ins w:id="10959" w:author="R2 Revision" w:date="2026-05-19T00:00:00Z">
        <w:pPr>
          <w:pStyle w:val="FirstParagraph"/>
        </w:pPr>
        <w:r>
          <w:t xml:space="preserve">Governance concentration emerges from what happens after tokens are</w:t>
        </w:r>
        <w:r>
          <w:t xml:space="preserve"> </w:t>
        </w:r>
        <w:r>
          <w:t xml:space="preserve">distributed, not from how they are allocated at launch. The practical</w:t>
        </w:r>
        <w:r>
          <w:t xml:space="preserve"> </w:t>
        </w:r>
        <w:r>
          <w:t xml:space="preserve">implication: evaluating how concentrated a protocol's governance</w:t>
        </w:r>
        <w:r>
          <w:t xml:space="preserve"> </w:t>
        </w:r>
        <w:r>
          <w:t xml:space="preserve">actually is means tracking whether insiders retain top-holder positions</w:t>
        </w:r>
        <w:r>
          <w:t xml:space="preserve"> </w:t>
        </w:r>
        <w:r>
          <w:t xml:space="preserve">and how delegation reshapes voting power over time, rather than</w:t>
        </w:r>
        <w:r>
          <w:t xml:space="preserve"> </w:t>
        </w:r>
        <w:r>
          <w:t xml:space="preserve">inspecting whether the initial token allocation favored the community.</w:t>
        </w:r>
        <w:r>
          <w:t xml:space="preserve"> </w:t>
        </w:r>
        <w:r>
          <w:t xml:space="preserve">Five design implications follow, grounded in implemented protocols where</w:t>
        </w:r>
        <w:r>
          <w:t xml:space="preserve"> </w:t>
        </w:r>
        <w:r>
          <w:t xml:space="preserve">evidence is available.</w:t>
        </w:r>
      </w:ins>
    </w:p>
    <w:p>
      <w:ins w:id="10960" w:author="R2 Revision" w:date="2026-05-19T00:00:00Z">
        <w:pPr>
          <w:pStyle w:val="BodyText"/>
        </w:pPr>
        <w:r>
          <w:t xml:space="preserve">Constitutional Transparency and Deliberation The Kantian publicity</w:t>
        </w:r>
        <w:r>
          <w:t xml:space="preserve"> </w:t>
        </w:r>
        <w:r>
          <w:t xml:space="preserve">principle requires that governance rules be understandable by affected</w:t>
        </w:r>
        <w:r>
          <w:t xml:space="preserve"> </w:t>
        </w:r>
        <w:r>
          <w:t xml:space="preserve">participants. Table 4 shows that holding concentration alone does not</w:t>
        </w:r>
        <w:r>
          <w:t xml:space="preserve"> </w:t>
        </w:r>
        <w:r>
          <w:t xml:space="preserve">determine governance quality: MakerDAO (HHI 0.040) achieves meaningful</w:t>
        </w:r>
        <w:r>
          <w:t xml:space="preserve"> </w:t>
        </w:r>
        <w:r>
          <w:t xml:space="preserve">deliberation through delegation while Curve’s veCRV-weighted voting</w:t>
        </w:r>
        <w:r>
          <w:t xml:space="preserve"> </w:t>
        </w:r>
        <w:r>
          <w:t xml:space="preserve">concentration (approximately 0.26 computed from cumulative deposit</w:t>
        </w:r>
        <w:r>
          <w:t xml:space="preserve"> </w:t>
        </w:r>
        <w:r>
          <w:t xml:space="preserve">volume across the top-50 veCRV lockers; Convex alone holds 48% of</w:t>
        </w:r>
        <w:r>
          <w:t xml:space="preserve"> </w:t>
        </w:r>
        <w:r>
          <w:t xml:space="preserve">that top-50 deposit-weighted share) concentrates power through</w:t>
        </w:r>
        <w:r>
          <w:t xml:space="preserve"> </w:t>
        </w:r>
        <w:r>
          <w:t xml:space="preserve">ve-locking without comparable deliberative infrastructure (Curve’s</w:t>
        </w:r>
        <w:r>
          <w:t xml:space="preserve"> </w:t>
        </w:r>
        <w:r>
          <w:t xml:space="preserve">raw post-exclusion CRV holding HHI is 0.017; the gap between 0.017</w:t>
        </w:r>
        <w:r>
          <w:t xml:space="preserve"> </w:t>
        </w:r>
        <w:r>
          <w:t xml:space="preserve">and 0.26 reflects the lock-duration multipliers and the Convex</w:t>
        </w:r>
        <w:r>
          <w:t xml:space="preserve"> </w:t>
        </w:r>
        <w:r>
          <w:t xml:space="preserve">meta-governance aggregation).</w:t>
        </w:r>
        <w:r>
          <w:t xml:space="preserve"> </w:t>
        </w:r>
        <w:r>
          <w:t xml:space="preserve">Design implication: publication norms (readable proposal summaries,</w:t>
        </w:r>
        <w:r>
          <w:t xml:space="preserve"> </w:t>
        </w:r>
        <w:r>
          <w:t xml:space="preserve">voting rationale disclosure, mandatory comment periods) are at least as</w:t>
        </w:r>
        <w:r>
          <w:t xml:space="preserve"> </w:t>
        </w:r>
        <w:r>
          <w:t xml:space="preserve">important as token distribution in determining whether governance is</w:t>
        </w:r>
        <w:r>
          <w:t xml:space="preserve"> </w:t>
        </w:r>
        <w:r>
          <w:t xml:space="preserve">genuinely public.</w:t>
        </w:r>
      </w:ins>
    </w:p>
    <w:p>
      <w:ins w:id="10961" w:author="R2 Revision" w:date="2026-05-19T00:00:00Z">
        <w:pPr>
          <w:pStyle w:val="BodyText"/>
        </w:pPr>
        <w:r>
          <w:t xml:space="preserve">Low Barriers and Diverse Participation Governance concentration across</w:t>
        </w:r>
        <w:r>
          <w:t xml:space="preserve"> </w:t>
        </w:r>
        <w:r>
          <w:t xml:space="preserve">40 protocols with valid data (Gini 0.52 to 0.99; Table 4; Livepeer</w:t>
        </w:r>
        <w:r>
          <w:t xml:space="preserve"> </w:t>
        </w:r>
        <w:r>
          <w:t xml:space="preserve">excluded because its cross-chain bridge architecture prevents accurate</w:t>
        </w:r>
        <w:r>
          <w:t xml:space="preserve"> </w:t>
        </w:r>
        <w:r>
          <w:t xml:space="preserve">Gini computation from single-chain holder data) shows that</w:t>
        </w:r>
        <w:r>
          <w:t xml:space="preserve"> </w:t>
        </w:r>
        <w:r>
          <w:t xml:space="preserve">token-weighted voting creates steep participation inequality by default.</w:t>
        </w:r>
        <w:r>
          <w:t xml:space="preserve"> </w:t>
        </w:r>
        <w:r>
          <w:t xml:space="preserve">The GeoDePIN subcategory amplifies this: thousands of operators bear</w:t>
        </w:r>
        <w:r>
          <w:t xml:space="preserve"> </w:t>
        </w:r>
        <w:r>
          <w:t xml:space="preserve">hardware costs but may hold insufficient tokens to influence governance</w:t>
        </w:r>
        <w:r>
          <w:t xml:space="preserve"> </w:t>
        </w:r>
        <w:r>
          <w:t xml:space="preserve">outcomes affecting their investments. Design implication: lower proposal</w:t>
        </w:r>
        <w:r>
          <w:t xml:space="preserve"> </w:t>
        </w:r>
        <w:r>
          <w:t xml:space="preserve">thresholds, delegate incentives, and identity-weighted mechanisms (cf.</w:t>
        </w:r>
        <w:r>
          <w:t xml:space="preserve"> </w:t>
        </w:r>
        <w:r>
          <w:t xml:space="preserve">Optimism’s Citizens’ House) can reduce the gap between stake-weighted</w:t>
        </w:r>
        <w:r>
          <w:t xml:space="preserve"> </w:t>
        </w:r>
        <w:r>
          <w:t xml:space="preserve">power and affected-party voice. Ownership concentration improves</w:t>
        </w:r>
        <w:r>
          <w:t xml:space="preserve"> </w:t>
        </w:r>
        <w:r>
          <w:t xml:space="preserve">baseline token returns but actively suppresses the marginal value of</w:t>
        </w:r>
        <w:r>
          <w:t xml:space="preserve"> </w:t>
        </w:r>
        <w:r>
          <w:t xml:space="preserve">information cascades generated by broader participation (Buddensiek and</w:t>
        </w:r>
        <w:r>
          <w:t xml:space="preserve"> </w:t>
        </w:r>
        <w:r>
          <w:t xml:space="preserve">Momtaz, 2025), suggesting that the governance concentration documented</w:t>
        </w:r>
        <w:r>
          <w:t xml:space="preserve"> </w:t>
        </w:r>
        <w:r>
          <w:t xml:space="preserve">here carries epistemic costs beyond the political legitimacy concerns</w:t>
        </w:r>
        <w:r>
          <w:t xml:space="preserve"> </w:t>
        </w:r>
        <w:r>
          <w:t xml:space="preserve">the normative framework identifies.</w:t>
        </w:r>
      </w:ins>
    </w:p>
    <w:p>
      <w:ins w:id="10962" w:author="R2 Revision" w:date="2026-05-19T00:00:00Z">
        <w:pPr>
          <w:pStyle w:val="BodyText"/>
        </w:pPr>
        <w:r>
          <w:rPr>
            <w:b/>
            <w:bCs/>
          </w:rPr>
          <w:t xml:space="preserve">Distribution Mechanism as Governance Architecture.</w:t>
        </w:r>
        <w:r>
          <w:t xml:space="preserve"> </w:t>
        </w:r>
        <w:r>
          <w:t xml:space="preserve">The Kantian</w:t>
        </w:r>
        <w:r>
          <w:t xml:space="preserve"> </w:t>
        </w:r>
        <w:r>
          <w:t xml:space="preserve">publicity principle extends to distribution design: an allocation</w:t>
        </w:r>
        <w:r>
          <w:t xml:space="preserve"> </w:t>
        </w:r>
        <w:r>
          <w:t xml:space="preserve">mechanism that affected participants cannot audit, contest, or</w:t>
        </w:r>
        <w:r>
          <w:t xml:space="preserve"> </w:t>
        </w:r>
        <w:r>
          <w:t xml:space="preserve">understand prior to participation fails the universalizability test at</w:t>
        </w:r>
        <w:r>
          <w:t xml:space="preserve"> </w:t>
        </w:r>
        <w:r>
          <w:t xml:space="preserve">the constitutional level, before governance begins. A protocol that</w:t>
        </w:r>
        <w:r>
          <w:t xml:space="preserve"> </w:t>
        </w:r>
        <w:r>
          <w:t xml:space="preserve">publishes transparent voting rules atop an opaque allocation that</w:t>
        </w:r>
        <w:r>
          <w:t xml:space="preserve"> </w:t>
        </w:r>
        <w:r>
          <w:t xml:space="preserve">concentrated 40 percent of supply in insider wallets satisfies the</w:t>
        </w:r>
        <w:r>
          <w:t xml:space="preserve"> </w:t>
        </w:r>
        <w:r>
          <w:t xml:space="preserve">letter of procedural legitimacy while violating its spirit. The</w:t>
        </w:r>
        <w:r>
          <w:t xml:space="preserve"> </w:t>
        </w:r>
        <w:r>
          <w:t xml:space="preserve">normative implication is that distribution transparency is a</w:t>
        </w:r>
        <w:r>
          <w:t xml:space="preserve"> </w:t>
        </w:r>
        <w:r>
          <w:t xml:space="preserve">precondition for governance legitimacy, not a separate concern.</w:t>
        </w:r>
        <w:r>
          <w:t xml:space="preserve"> </w:t>
        </w:r>
        <w:r>
          <w:t xml:space="preserve">Points-based distribution programs that publish clear allocation</w:t>
        </w:r>
        <w:r>
          <w:t xml:space="preserve"> </w:t>
        </w:r>
        <w:r>
          <w:t xml:space="preserve">formulas, implement sub-linear scaling, and cap per-wallet rewards are</w:t>
        </w:r>
        <w:r>
          <w:t xml:space="preserve"> </w:t>
        </w:r>
        <w:r>
          <w:t xml:space="preserve">de facto anti-concentration governance mechanisms; venture-funded</w:t>
        </w:r>
        <w:r>
          <w:t xml:space="preserve"> </w:t>
        </w:r>
        <w:r>
          <w:t xml:space="preserve">allocations without comparable disclosure create concentrated governance</w:t>
        </w:r>
        <w:r>
          <w:t xml:space="preserve"> </w:t>
        </w:r>
        <w:r>
          <w:t xml:space="preserve">as a structural default.</w:t>
        </w:r>
      </w:ins>
    </w:p>
    <w:p>
      <w:ins w:id="10963" w:author="R2 Revision" w:date="2026-05-19T00:00:00Z">
        <w:pPr>
          <w:pStyle w:val="BodyText"/>
        </w:pPr>
        <w:r>
          <w:t xml:space="preserve">Integrity Mechanisms and Independent Oversight. Pettit’s non-domination</w:t>
        </w:r>
        <w:r>
          <w:t xml:space="preserve"> </w:t>
        </w:r>
        <w:r>
          <w:t xml:space="preserve">principle requires that no single actor exercise unchecked power.</w:t>
        </w:r>
        <w:r>
          <w:t xml:space="preserve"> </w:t>
        </w:r>
        <w:r>
          <w:t xml:space="preserve">Table 4 shows several tokens in the</w:t>
        </w:r>
        <w:r>
          <w:t xml:space="preserve"> </w:t>
        </w:r>
        <w:r>
          <w:t xml:space="preserve">“highly concentrated”</w:t>
        </w:r>
        <w:r>
          <w:t xml:space="preserve"> </w:t>
        </w:r>
        <w:r>
          <w:t xml:space="preserve">regime before</w:t>
        </w:r>
        <w:r>
          <w:t xml:space="preserve"> </w:t>
        </w:r>
        <w:r>
          <w:t xml:space="preserve">delegated voting; the CRV case (veCRV-weighted voting concentration approximately</w:t>
        </w:r>
        <w:r>
          <w:t xml:space="preserve"> </w:t>
        </w:r>
        <w:r>
          <w:t xml:space="preserve">0.26 computed from top-50 cumulative CRV deposits, versus raw</w:t>
        </w:r>
        <w:r>
          <w:t xml:space="preserve"> </w:t>
        </w:r>
        <w:r>
          <w:t xml:space="preserve">post-exclusion holding HHI of 0.017) illustrates how</w:t>
        </w:r>
        <w:r>
          <w:t xml:space="preserve"> </w:t>
        </w:r>
        <w:r>
          <w:t xml:space="preserve">locking mechanisms amplify concentration above the level visible in raw</w:t>
        </w:r>
        <w:r>
          <w:t xml:space="preserve"> </w:t>
        </w:r>
        <w:r>
          <w:t xml:space="preserve">holdings; Convex holds approximately 48% of the top-50 veCRV</w:t>
        </w:r>
        <w:r>
          <w:t xml:space="preserve"> </w:t>
        </w:r>
        <w:r>
          <w:t xml:space="preserve">deposit-weighted share (DeFi Llama, 2026; matching the cumulative-</w:t>
        </w:r>
        <w:r>
          <w:t xml:space="preserve"> </w:t>
        </w:r>
        <w:r>
          <w:t xml:space="preserve">deposit computation in Section 3.5.2).</w:t>
        </w:r>
        <w:r>
          <w:br/>
        </w:r>
        <w:r>
          <w:t xml:space="preserve">Design implication: treat integrity as an institutional layer.</w:t>
        </w:r>
        <w:r>
          <w:t xml:space="preserve"> </w:t>
        </w:r>
        <w:r>
          <w:t xml:space="preserve">Separation of powers (e.g., Optimism’s bicameral structure), independent</w:t>
        </w:r>
        <w:r>
          <w:t xml:space="preserve"> </w:t>
        </w:r>
        <w:r>
          <w:t xml:space="preserve">security councils with narrowly scoped veto authority, mandatory</w:t>
        </w:r>
        <w:r>
          <w:t xml:space="preserve"> </w:t>
        </w:r>
        <w:r>
          <w:t xml:space="preserve">timelocks, and public disclosure for large delegates are especially</w:t>
        </w:r>
        <w:r>
          <w:t xml:space="preserve"> </w:t>
        </w:r>
        <w:r>
          <w:t xml:space="preserve">important in GeoDePINs where operators face governance outcomes without</w:t>
        </w:r>
        <w:r>
          <w:t xml:space="preserve"> </w:t>
        </w:r>
        <w:r>
          <w:t xml:space="preserve">proportionate token power.</w:t>
        </w:r>
      </w:ins>
    </w:p>
    <w:p>
      <w:ins w:id="10964" w:author="R2 Revision" w:date="2026-05-19T00:00:00Z">
        <w:pPr>
          <w:pStyle w:val="BodyText"/>
        </w:pPr>
        <w:r>
          <w:t xml:space="preserve">Appeals and Dispute Resolution Contestability requires formal appeal</w:t>
        </w:r>
        <w:r>
          <w:t xml:space="preserve"> </w:t>
        </w:r>
        <w:r>
          <w:t xml:space="preserve">mechanisms. HIP-147’s acceptance (even by operators whose rewards were</w:t>
        </w:r>
        <w:r>
          <w:t xml:space="preserve"> </w:t>
        </w:r>
        <w:r>
          <w:t xml:space="preserve">reduced; see Zukowski, 2026a) indicates that structured processes with</w:t>
        </w:r>
        <w:r>
          <w:t xml:space="preserve"> </w:t>
        </w:r>
        <w:r>
          <w:t xml:space="preserve">clear rules support legitimate outcomes. Design implication: implement</w:t>
        </w:r>
        <w:r>
          <w:t xml:space="preserve"> </w:t>
        </w:r>
        <w:r>
          <w:t xml:space="preserve">tiered dispute resolution (community mediation → arbitration committee →</w:t>
        </w:r>
        <w:r>
          <w:t xml:space="preserve"> </w:t>
        </w:r>
        <w:r>
          <w:t xml:space="preserve">on-chain vote) with defined timelines and transparent criteria.</w:t>
        </w:r>
      </w:ins>
    </w:p>
    <w:p>
      <w:ins w:id="10965" w:author="R2 Revision" w:date="2026-05-19T00:00:00Z">
        <w:pPr>
          <w:pStyle w:val="BodyText"/>
        </w:pPr>
        <w:r>
          <w:t xml:space="preserve">Adaptive Governance and Meta-Governance. Governance structures must</w:t>
        </w:r>
        <w:r>
          <w:t xml:space="preserve"> </w:t>
        </w:r>
        <w:r>
          <w:t xml:space="preserve">evolve. Ostrom’s principle of rule evolution suggests periodic</w:t>
        </w:r>
        <w:r>
          <w:t xml:space="preserve"> </w:t>
        </w:r>
        <w:r>
          <w:t xml:space="preserve">constitutional reviews to adjust quorums, proposal formats, and role</w:t>
        </w:r>
        <w:r>
          <w:t xml:space="preserve"> </w:t>
        </w:r>
        <w:r>
          <w:t xml:space="preserve">definitions based on participation data. Emergency protocols should</w:t>
        </w:r>
        <w:r>
          <w:t xml:space="preserve"> </w:t>
        </w:r>
        <w:r>
          <w:t xml:space="preserve">pre-define who can act under crisis conditions, with what authority, and</w:t>
        </w:r>
        <w:r>
          <w:t xml:space="preserve"> </w:t>
        </w:r>
        <w:r>
          <w:t xml:space="preserve">subject to retroactive accountability. Bounded emergency power</w:t>
        </w:r>
        <w:r>
          <w:t xml:space="preserve"> </w:t>
        </w:r>
        <w:r>
          <w:t xml:space="preserve">strengthens legitimacy by making deviations predictable and auditable.</w:t>
        </w:r>
        <w:r>
          <w:t xml:space="preserve"> </w:t>
        </w:r>
        <w:r>
          <w:t xml:space="preserve">Internet Computer SNS DAOs demonstrate that structural tokenomic design</w:t>
        </w:r>
        <w:r>
          <w:t xml:space="preserve"> </w:t>
        </w:r>
        <w:r>
          <w:t xml:space="preserve">can overcome rational apathy: locked-staking neurons with zero-fee</w:t>
        </w:r>
        <w:r>
          <w:t xml:space="preserve"> </w:t>
        </w:r>
        <w:r>
          <w:t xml:space="preserve">voting sustain 64% average participation across 3,000 proposals (Okutan</w:t>
        </w:r>
        <w:r>
          <w:t xml:space="preserve"> </w:t>
        </w:r>
        <w:r>
          <w:t xml:space="preserve">et al., 2025).</w:t>
        </w:r>
      </w:ins>
    </w:p>
    <w:p>
      <w:ins w:id="10966" w:author="R2 Revision" w:date="2026-05-19T00:00:00Z">
        <w:pPr>
          <w:pStyle w:val="BodyText"/>
        </w:pPr>
        <w:r>
          <w:rPr>
            <w:b/>
            <w:bCs/>
          </w:rPr>
          <w:t xml:space="preserve">Future Extensions.</w:t>
        </w:r>
        <w:r>
          <w:t xml:space="preserve"> </w:t>
        </w:r>
        <w:r>
          <w:t xml:space="preserve">Three additional hypotheses (edge-signal</w:t>
        </w:r>
        <w:r>
          <w:t xml:space="preserve"> </w:t>
        </w:r>
        <w:r>
          <w:t xml:space="preserve">responsiveness, contextual integrity, and concentration dynamics) are</w:t>
        </w:r>
        <w:r>
          <w:t xml:space="preserve"> </w:t>
        </w:r>
        <w:r>
          <w:t xml:space="preserve">specified within the framework’s broader literature-review scope</w:t>
        </w:r>
        <w:r>
          <w:t xml:space="preserve"> </w:t>
        </w:r>
        <w:r>
          <w:t xml:space="preserve">(Section 2.7) but are not testable with the data collected here. They require operational telemetry,</w:t>
        </w:r>
        <w:r>
          <w:t xml:space="preserve"> </w:t>
        </w:r>
        <w:r>
          <w:t xml:space="preserve">privacy and trust metrics, and longitudinal governance observations</w:t>
        </w:r>
        <w:r>
          <w:t xml:space="preserve"> </w:t>
        </w:r>
        <w:r>
          <w:t xml:space="preserve">respectively, and represent priorities for future empirical work.</w:t>
        </w:r>
      </w:ins>
    </w:p>
    <w:bookmarkEnd w:id="113"/>
    <w:bookmarkStart w:id="114" w:name="broader-institutional-implications"/>
    <w:p>
      <w:ins w:id="10967" w:author="R2 Revision" w:date="2026-05-19T00:00:00Z">
        <w:pPr>
          <w:pStyle w:val="Heading2"/>
        </w:pPr>
        <w:r>
          <w:t xml:space="preserve">4.3 Broader Institutional Implications</w:t>
        </w:r>
      </w:ins>
    </w:p>
    <w:p>
      <w:ins w:id="10968" w:author="R2 Revision" w:date="2026-05-19T00:00:00Z">
        <w:pPr>
          <w:pStyle w:val="FirstParagraph"/>
        </w:pPr>
        <w:r>
          <w:t xml:space="preserve">The exclusion methodology generalizes beyond tokenomics. Any</w:t>
        </w:r>
        <w:r>
          <w:t xml:space="preserve"> </w:t>
        </w:r>
        <w:r>
          <w:t xml:space="preserve">concentration analysis that includes ownership positions that cannot</w:t>
        </w:r>
        <w:r>
          <w:t xml:space="preserve"> </w:t>
        </w:r>
        <w:r>
          <w:t xml:space="preserve">actually vote (frozen treasury positions, tokens still locked in vesting</w:t>
        </w:r>
        <w:r>
          <w:t xml:space="preserve"> </w:t>
        </w:r>
        <w:r>
          <w:t xml:space="preserve">schedules, customer assets held in custody) overstates how concentrated</w:t>
        </w:r>
        <w:r>
          <w:t xml:space="preserve"> </w:t>
        </w:r>
        <w:r>
          <w:t xml:space="preserve">control really is. Cooperative governance studies, public benefit</w:t>
        </w:r>
        <w:r>
          <w:t xml:space="preserve"> </w:t>
        </w:r>
        <w:r>
          <w:t xml:space="preserve">corporation analyses, and regulatory sandbox audits face the same</w:t>
        </w:r>
        <w:r>
          <w:t xml:space="preserve"> </w:t>
        </w:r>
        <w:r>
          <w:t xml:space="preserve">measurement problem; excluding non-voting positions would sharpen their</w:t>
        </w:r>
        <w:r>
          <w:t xml:space="preserve"> </w:t>
        </w:r>
        <w:r>
          <w:t xml:space="preserve">findings. Two further applications follow. Transparency principles</w:t>
        </w:r>
        <w:r>
          <w:t xml:space="preserve"> </w:t>
        </w:r>
        <w:r>
          <w:t xml:space="preserve">operationalized through the Kantian publicity lens (Section 2.9) apply</w:t>
        </w:r>
        <w:r>
          <w:t xml:space="preserve"> </w:t>
        </w:r>
        <w:r>
          <w:t xml:space="preserve">to any institution claiming legitimacy through openness, where claimed</w:t>
        </w:r>
        <w:r>
          <w:t xml:space="preserve"> </w:t>
        </w:r>
        <w:r>
          <w:t xml:space="preserve">transparency often masks operational opacity. And the scoring rubric</w:t>
        </w:r>
        <w:r>
          <w:t xml:space="preserve"> </w:t>
        </w:r>
        <w:r>
          <w:t xml:space="preserve">(Table 1) shows that normative philosophy can be operationalized as</w:t>
        </w:r>
        <w:r>
          <w:t xml:space="preserve"> </w:t>
        </w:r>
        <w:r>
          <w:t xml:space="preserve">measurement infrastructure, a methodological contribution that extends</w:t>
        </w:r>
        <w:r>
          <w:t xml:space="preserve"> </w:t>
        </w:r>
        <w:r>
          <w:t xml:space="preserve">to any domain where institutional design quality needs assessment.</w:t>
        </w:r>
      </w:ins>
    </w:p>
    <w:p>
      <w:ins w:id="10969" w:author="R2 Revision" w:date="2026-05-19T00:00:00Z">
        <w:pPr>
          <w:pStyle w:val="BodyText"/>
        </w:pPr>
        <w:r>
          <w:t xml:space="preserve">The governance concentration pattern documented here appears to be a</w:t>
        </w:r>
        <w:r>
          <w:t xml:space="preserve"> </w:t>
        </w:r>
        <w:r>
          <w:t xml:space="preserve">general property of maturing token ecosystems, not specific to DePIN. In</w:t>
        </w:r>
        <w:r>
          <w:t xml:space="preserve"> </w:t>
        </w:r>
        <w:r>
          <w:t xml:space="preserve">stablecoin gateway markets, total dollar volume doubled between 2023 and</w:t>
        </w:r>
        <w:r>
          <w:t xml:space="preserve"> </w:t>
        </w:r>
        <w:r>
          <w:t xml:space="preserve">2025 while unique counterparties declined 25%, and a single</w:t>
        </w:r>
        <w:r>
          <w:t xml:space="preserve"> </w:t>
        </w:r>
        <w:r>
          <w:t xml:space="preserve">market-making firm’s share of total counterparty volume rose from 1.4%</w:t>
        </w:r>
        <w:r>
          <w:t xml:space="preserve"> </w:t>
        </w:r>
        <w:r>
          <w:t xml:space="preserve">to 19.9% (Zukowski, 2026c). Throughput scales while participant</w:t>
        </w:r>
        <w:r>
          <w:t xml:space="preserve"> </w:t>
        </w:r>
        <w:r>
          <w:t xml:space="preserve">diversity contracts, and the remaining intermediaries become</w:t>
        </w:r>
        <w:r>
          <w:t xml:space="preserve"> </w:t>
        </w:r>
        <w:r>
          <w:t xml:space="preserve">increasingly load-bearing, whether those intermediaries are governance</w:t>
        </w:r>
        <w:r>
          <w:t xml:space="preserve"> </w:t>
        </w:r>
        <w:r>
          <w:t xml:space="preserve">voters, market makers, or infrastructure operators. A parallel</w:t>
        </w:r>
        <w:r>
          <w:t xml:space="preserve"> </w:t>
        </w:r>
        <w:r>
          <w:t xml:space="preserve">divergence appears in the same domain: the most regulated stablecoin</w:t>
        </w:r>
        <w:r>
          <w:t xml:space="preserve"> </w:t>
        </w:r>
        <w:r>
          <w:t xml:space="preserve">operator experienced the largest stress depeg, while the least regulated</w:t>
        </w:r>
        <w:r>
          <w:t xml:space="preserve"> </w:t>
        </w:r>
        <w:r>
          <w:t xml:space="preserve">maintained its peg (Zukowski, 2026d), demonstrating that regulation</w:t>
        </w:r>
        <w:r>
          <w:t xml:space="preserve"> </w:t>
        </w:r>
        <w:r>
          <w:t xml:space="preserve">intensity and product quality are separate dimensions requiring separate</w:t>
        </w:r>
        <w:r>
          <w:t xml:space="preserve"> </w:t>
        </w:r>
        <w:r>
          <w:t xml:space="preserve">measurement. The governance concentration gap documented here is the</w:t>
        </w:r>
        <w:r>
          <w:t xml:space="preserve"> </w:t>
        </w:r>
        <w:r>
          <w:t xml:space="preserve">DePIN analog: high concentration does not predict governance failure,</w:t>
        </w:r>
        <w:r>
          <w:t xml:space="preserve"> </w:t>
        </w:r>
        <w:r>
          <w:t xml:space="preserve">but creates structural conditions under which failure becomes more</w:t>
        </w:r>
        <w:r>
          <w:t xml:space="preserve"> </w:t>
        </w:r>
        <w:r>
          <w:t xml:space="preserve">likely if contestability mechanisms are absent.</w:t>
        </w:r>
      </w:ins>
    </w:p>
    <w:bookmarkEnd w:id="114"/>
    <w:bookmarkStart w:id="115" w:name="risks-and-counterpoints"/>
    <w:p>
      <w:ins w:id="10970" w:author="R2 Revision" w:date="2026-05-19T00:00:00Z">
        <w:pPr>
          <w:pStyle w:val="Heading2"/>
        </w:pPr>
        <w:r>
          <w:t xml:space="preserve">4.4 Risks and Counterpoints</w:t>
        </w:r>
      </w:ins>
    </w:p>
    <w:p>
      <w:ins w:id="10971" w:author="R2 Revision" w:date="2026-05-19T00:00:00Z">
        <w:pPr>
          <w:pStyle w:val="FirstParagraph"/>
        </w:pPr>
        <w:r>
          <w:t xml:space="preserve">Several risks deserve candid acknowledgment.</w:t>
        </w:r>
      </w:ins>
    </w:p>
    <w:p>
      <w:ins w:id="10972" w:author="R2 Revision" w:date="2026-05-19T00:00:00Z">
        <w:pPr>
          <w:pStyle w:val="BodyText"/>
        </w:pPr>
        <w:r>
          <w:rPr>
            <w:b/>
            <w:bCs/>
          </w:rPr>
          <w:t xml:space="preserve">Philosophical overreach.</w:t>
        </w:r>
        <w:r>
          <w:t xml:space="preserve"> </w:t>
        </w:r>
        <w:r>
          <w:t xml:space="preserve">Translating normative philosophy into</w:t>
        </w:r>
        <w:r>
          <w:t xml:space="preserve"> </w:t>
        </w:r>
        <w:r>
          <w:t xml:space="preserve">scoring rubrics necessarily simplifies rich traditions. A 0-to-3 scale</w:t>
        </w:r>
        <w:r>
          <w:t xml:space="preserve"> </w:t>
        </w:r>
        <w:r>
          <w:t xml:space="preserve">cannot capture the full depth of Kantian moral reasoning or Rawlsian</w:t>
        </w:r>
        <w:r>
          <w:t xml:space="preserve"> </w:t>
        </w:r>
        <w:r>
          <w:t xml:space="preserve">justice theory. The rubric is designed as a tractable approximation that</w:t>
        </w:r>
        <w:r>
          <w:t xml:space="preserve"> </w:t>
        </w:r>
        <w:r>
          <w:t xml:space="preserve">makes legitimacy evaluable, not as a claim that it captures everything</w:t>
        </w:r>
        <w:r>
          <w:t xml:space="preserve"> </w:t>
        </w:r>
        <w:r>
          <w:t xml:space="preserve">these traditions offer. Users should treat scores as comparable</w:t>
        </w:r>
        <w:r>
          <w:t xml:space="preserve"> </w:t>
        </w:r>
        <w:r>
          <w:t xml:space="preserve">indicators, not definitive judgments.</w:t>
        </w:r>
      </w:ins>
    </w:p>
    <w:p>
      <w:ins w:id="10973" w:author="R2 Revision" w:date="2026-05-19T00:00:00Z">
        <w:pPr>
          <w:pStyle w:val="BodyText"/>
        </w:pPr>
        <w:r>
          <w:rPr>
            <w:b/>
            <w:bCs/>
          </w:rPr>
          <w:t xml:space="preserve">Plutocratic concentration as equilibrium.</w:t>
        </w:r>
        <w:r>
          <w:t xml:space="preserve"> </w:t>
        </w:r>
        <w:r>
          <w:t xml:space="preserve">The governance</w:t>
        </w:r>
        <w:r>
          <w:t xml:space="preserve"> </w:t>
        </w:r>
        <w:r>
          <w:t xml:space="preserve">concentration data (Table 4) may reflect a stable equilibrium rather</w:t>
        </w:r>
        <w:r>
          <w:t xml:space="preserve"> </w:t>
        </w:r>
        <w:r>
          <w:t xml:space="preserve">than a design flaw: if governance power accrues to those with the most</w:t>
        </w:r>
        <w:r>
          <w:t xml:space="preserve"> </w:t>
        </w:r>
        <w:r>
          <w:t xml:space="preserve">skin in the game, concentration may be the efficient outcome.</w:t>
        </w:r>
      </w:ins>
    </w:p>
    <w:p>
      <w:ins w:id="10974" w:author="R2 Revision" w:date="2026-05-19T00:00:00Z">
        <w:pPr>
          <w:pStyle w:val="BodyText"/>
        </w:pPr>
        <w:r>
          <w:rPr>
            <w:b/>
            <w:bCs/>
          </w:rPr>
          <w:t xml:space="preserve">Distribution breadth at token launch</w:t>
        </w:r>
        <w:r>
          <w:t xml:space="preserve"> </w:t>
        </w:r>
        <w:r>
          <w:t xml:space="preserve">is empirically uninformative</w:t>
        </w:r>
        <w:r>
          <w:t xml:space="preserve"> </w:t>
        </w:r>
        <w:r>
          <w:t xml:space="preserve">about long-term governance concentration (Section 3.4). This finding,</w:t>
        </w:r>
        <w:r>
          <w:t xml:space="preserve"> </w:t>
        </w:r>
        <w:r>
          <w:t xml:space="preserve">anticipated as a risk, is consistent with the cross-sectional evidence</w:t>
        </w:r>
        <w:r>
          <w:t xml:space="preserve"> </w:t>
        </w:r>
        <w:r>
          <w:t xml:space="preserve">and reinforced by the Hyperliquid natural experiment (0% VC, HHI =</w:t>
        </w:r>
        <w:r>
          <w:t xml:space="preserve"> </w:t>
        </w:r>
        <w:r>
          <w:t xml:space="preserve">0.005). The practical consequence is that governance audits should focus</w:t>
        </w:r>
        <w:r>
          <w:t xml:space="preserve"> </w:t>
        </w:r>
        <w:r>
          <w:t xml:space="preserve">on current holder composition rather than initial allocation</w:t>
        </w:r>
        <w:r>
          <w:t xml:space="preserve"> </w:t>
        </w:r>
        <w:r>
          <w:t xml:space="preserve">documentation.</w:t>
        </w:r>
      </w:ins>
    </w:p>
    <w:p>
      <w:ins w:id="10975" w:author="R2 Revision" w:date="2026-05-19T00:00:00Z">
        <w:pPr>
          <w:pStyle w:val="BodyText"/>
        </w:pPr>
        <w:r>
          <w:rPr>
            <w:b/>
            <w:bCs/>
          </w:rPr>
          <w:t xml:space="preserve">The counterargument</w:t>
        </w:r>
        <w:r>
          <w:t xml:space="preserve"> </w:t>
        </w:r>
        <w:r>
          <w:t xml:space="preserve">is that efficiency and legitimacy are different</w:t>
        </w:r>
        <w:r>
          <w:t xml:space="preserve"> </w:t>
        </w:r>
        <w:r>
          <w:t xml:space="preserve">criteria, and that the normative framework (particularly the republican</w:t>
        </w:r>
        <w:r>
          <w:t xml:space="preserve"> </w:t>
        </w:r>
        <w:r>
          <w:t xml:space="preserve">non-domination lens) demands that power concentration be contestable</w:t>
        </w:r>
        <w:r>
          <w:t xml:space="preserve"> </w:t>
        </w:r>
        <w:r>
          <w:t xml:space="preserve">even if it is efficient. The counterexample (Anyone, HHI 0.013)</w:t>
        </w:r>
        <w:r>
          <w:t xml:space="preserve"> </w:t>
        </w:r>
        <w:r>
          <w:t xml:space="preserve">demonstrates that low concentration is achievable through deliberate</w:t>
        </w:r>
        <w:r>
          <w:t xml:space="preserve"> </w:t>
        </w:r>
        <w:r>
          <w:t xml:space="preserve">design.</w:t>
        </w:r>
      </w:ins>
    </w:p>
    <w:p>
      <w:ins w:id="10976" w:author="R2 Revision" w:date="2026-05-19T00:00:00Z">
        <w:pPr>
          <w:pStyle w:val="BodyText"/>
        </w:pPr>
        <w:r>
          <w:rPr>
            <w:b/>
            <w:bCs/>
          </w:rPr>
          <w:t xml:space="preserve">Measurement challenges.</w:t>
        </w:r>
        <w:r>
          <w:t xml:space="preserve"> </w:t>
        </w:r>
        <w:r>
          <w:t xml:space="preserve">The scoring rubric depends on publicly</w:t>
        </w:r>
        <w:r>
          <w:t xml:space="preserve"> </w:t>
        </w:r>
        <w:r>
          <w:t xml:space="preserve">observable design features, but some legitimacy-relevant properties</w:t>
        </w:r>
        <w:r>
          <w:t xml:space="preserve"> </w:t>
        </w:r>
        <w:r>
          <w:t xml:space="preserve">(backroom governance, informal influence, regulatory relationships) are</w:t>
        </w:r>
        <w:r>
          <w:t xml:space="preserve"> </w:t>
        </w:r>
        <w:r>
          <w:t xml:space="preserve">not observable on-chain. We specify inter-rater reliability protocols</w:t>
        </w:r>
        <w:r>
          <w:t xml:space="preserve"> </w:t>
        </w:r>
        <w:r>
          <w:t xml:space="preserve">(</w:t>
        </w: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)</w:t>
        </w:r>
        <w:r>
          <w:t xml:space="preserve"> </w:t>
        </w:r>
        <w:r>
          <w:t xml:space="preserve">but have not yet tested them with a second scorer. The governance</w:t>
        </w:r>
        <w:r>
          <w:t xml:space="preserve"> </w:t>
        </w:r>
        <w:r>
          <w:t xml:space="preserve">concentration analysis uses a snapshot methodology that does not capture</w:t>
        </w:r>
        <w:r>
          <w:t xml:space="preserve"> </w:t>
        </w:r>
        <w:r>
          <w:t xml:space="preserve">temporal dynamics; a panel approach would strengthen causal claims.</w:t>
        </w:r>
      </w:ins>
    </w:p>
    <w:p>
      <w:ins w:id="10977" w:author="R2 Revision" w:date="2026-05-19T00:00:00Z">
        <w:pPr>
          <w:pStyle w:val="BodyText"/>
        </w:pPr>
        <w:r>
          <w:rPr>
            <w:b/>
            <w:bCs/>
          </w:rPr>
          <w:t xml:space="preserve">Equity-token conflicts.</w:t>
        </w:r>
        <w:r>
          <w:t xml:space="preserve"> </w:t>
        </w:r>
        <w:r>
          <w:t xml:space="preserve">The normative framework assumes that</w:t>
        </w:r>
        <w:r>
          <w:t xml:space="preserve"> </w:t>
        </w:r>
        <w:r>
          <w:t xml:space="preserve">governance token holders are the primary principals, but hybrid</w:t>
        </w:r>
        <w:r>
          <w:t xml:space="preserve"> </w:t>
        </w:r>
        <w:r>
          <w:t xml:space="preserve">structures complicate this assumption. Helium’s unresolved tension</w:t>
        </w:r>
        <w:r>
          <w:t xml:space="preserve"> </w:t>
        </w:r>
        <w:r>
          <w:t xml:space="preserve">between Nova Labs’ equity obligations and HNT tokenholders' interests</w:t>
        </w:r>
        <w:r>
          <w:t xml:space="preserve"> </w:t>
        </w:r>
        <w:r>
          <w:t xml:space="preserve">(Bane &amp; Gala, 2026), exemplified by temporary revenue-allocation</w:t>
        </w:r>
        <w:r>
          <w:t xml:space="preserve"> </w:t>
        </w:r>
        <w:r>
          <w:t xml:space="preserve">policies and subsequent reversions, illustrates precisely the tension</w:t>
        </w:r>
        <w:r>
          <w:t xml:space="preserve"> </w:t>
        </w:r>
        <w:r>
          <w:t xml:space="preserve">between centralized operational decisions and decentralized governance</w:t>
        </w:r>
        <w:r>
          <w:t xml:space="preserve"> </w:t>
        </w:r>
        <w:r>
          <w:t xml:space="preserve">that Hypotheses 1 (transparency) and 2 (contestability) are designed to</w:t>
        </w:r>
        <w:r>
          <w:t xml:space="preserve"> </w:t>
        </w:r>
        <w:r>
          <w:t xml:space="preserve">address.</w:t>
        </w:r>
      </w:ins>
    </w:p>
    <w:p>
      <w:ins w:id="10978" w:author="R2 Revision" w:date="2026-05-19T00:00:00Z">
        <w:pPr>
          <w:pStyle w:val="BodyText"/>
        </w:pPr>
        <w:r>
          <w:rPr>
            <w:b/>
            <w:bCs/>
          </w:rPr>
          <w:t xml:space="preserve">Speed versus legitimacy trade-off.</w:t>
        </w:r>
        <w:r>
          <w:t xml:space="preserve"> </w:t>
        </w:r>
        <w:r>
          <w:t xml:space="preserve">Institutionally rigorous</w:t>
        </w:r>
        <w:r>
          <w:t xml:space="preserve"> </w:t>
        </w:r>
        <w:r>
          <w:t xml:space="preserve">governance processes are slower than technocratic decision-making. In</w:t>
        </w:r>
        <w:r>
          <w:t xml:space="preserve"> </w:t>
        </w:r>
        <w:r>
          <w:t xml:space="preserve">crisis conditions (exploits, market dislocations), the deliberative</w:t>
        </w:r>
        <w:r>
          <w:t xml:space="preserve"> </w:t>
        </w:r>
        <w:r>
          <w:t xml:space="preserve">processes the framework advocates may be too slow. The framework does</w:t>
        </w:r>
        <w:r>
          <w:t xml:space="preserve"> </w:t>
        </w:r>
        <w:r>
          <w:t xml:space="preserve">not resolve this tension but insists that emergency powers be</w:t>
        </w:r>
        <w:r>
          <w:t xml:space="preserve"> </w:t>
        </w:r>
        <w:r>
          <w:t xml:space="preserve">pre-committed and bounded, consistent with republican constitutionalism.</w:t>
        </w:r>
      </w:ins>
    </w:p>
    <w:bookmarkEnd w:id="115"/>
    <w:bookmarkStart w:id="116" w:name="position-in-literature"/>
    <w:p>
      <w:ins w:id="10979" w:author="R2 Revision" w:date="2026-05-19T00:00:00Z">
        <w:pPr>
          <w:pStyle w:val="Heading2"/>
        </w:pPr>
        <w:r>
          <w:t xml:space="preserve">4.5 Position in Literature</w:t>
        </w:r>
      </w:ins>
    </w:p>
    <w:p>
      <w:ins w:id="10980" w:author="R2 Revision" w:date="2026-05-19T00:00:00Z">
        <w:pPr>
          <w:pStyle w:val="FirstParagraph"/>
        </w:pPr>
        <w:r>
          <w:t xml:space="preserve">This paper’s contribution is not a new philosophical theory but a new</w:t>
        </w:r>
        <w:r>
          <w:t xml:space="preserve"> </w:t>
        </w:r>
        <w:r>
          <w:t xml:space="preserve">application: translating established normative frameworks (Kant, Rawls,</w:t>
        </w:r>
        <w:r>
          <w:t xml:space="preserve"> </w:t>
        </w:r>
        <w:r>
          <w:t xml:space="preserve">Pettit, Ostrom, Hayek) into actionable design criteria for programmable</w:t>
        </w:r>
        <w:r>
          <w:t xml:space="preserve"> </w:t>
        </w:r>
        <w:r>
          <w:t xml:space="preserve">institutions. It extends Werbach (2018), de Filippi &amp; Wright (2018), and</w:t>
        </w:r>
        <w:r>
          <w:t xml:space="preserve"> </w:t>
        </w:r>
        <w:r>
          <w:t xml:space="preserve">Reijers &amp; Coeckelbergh (2018) through prescriptive mechanism design</w:t>
        </w:r>
        <w:r>
          <w:t xml:space="preserve"> </w:t>
        </w:r>
        <w:r>
          <w:t xml:space="preserve">grounded in political philosophy. The GeoDePIN taxonomy and</w:t>
        </w:r>
        <w:r>
          <w:t xml:space="preserve"> </w:t>
        </w:r>
        <w:r>
          <w:t xml:space="preserve">demand-concentration diagnostic are, to our knowledge, new to the</w:t>
        </w:r>
        <w:r>
          <w:t xml:space="preserve"> </w:t>
        </w:r>
        <w:r>
          <w:t xml:space="preserve">literature.</w:t>
        </w:r>
      </w:ins>
    </w:p>
    <w:p>
      <w:ins w:id="10981" w:author="R2 Revision" w:date="2026-05-19T00:00:00Z">
        <w:pPr>
          <w:pStyle w:val="BodyText"/>
        </w:pPr>
        <w:r>
          <w:t xml:space="preserve">The five-lens framework developed here differs from existing DAO</w:t>
        </w:r>
        <w:r>
          <w:t xml:space="preserve"> </w:t>
        </w:r>
        <w:r>
          <w:t xml:space="preserve">assessment frameworks along three dimensions. (1) Scope: the Aragon DAO</w:t>
        </w:r>
        <w:r>
          <w:t xml:space="preserve"> </w:t>
        </w:r>
        <w:r>
          <w:t xml:space="preserve">Health Index, Snapshot voting analytics, Boardroom, and DAOstar’s</w:t>
        </w:r>
        <w:r>
          <w:t xml:space="preserve"> </w:t>
        </w:r>
        <w:r>
          <w:t xml:space="preserve">DAO-standards work measure operational characteristics (proposal</w:t>
        </w:r>
        <w:r>
          <w:t xml:space="preserve"> </w:t>
        </w:r>
        <w:r>
          <w:t xml:space="preserve">throughput, voter turnout, treasury management, identity standards)</w:t>
        </w:r>
        <w:r>
          <w:t xml:space="preserve"> </w:t>
        </w:r>
        <w:r>
          <w:t xml:space="preserve">without an explicit philosophical-tradition anchor; this paper supplies</w:t>
        </w:r>
        <w:r>
          <w:t xml:space="preserve"> </w:t>
        </w:r>
        <w:r>
          <w:t xml:space="preserve">the political-philosophy warrant for which operational characteristics</w:t>
        </w:r>
        <w:r>
          <w:t xml:space="preserve"> </w:t>
        </w:r>
        <w:r>
          <w:t xml:space="preserve">matter and why. (2) Aggregation: existing frameworks typically score</w:t>
        </w:r>
        <w:r>
          <w:t xml:space="preserve"> </w:t>
        </w:r>
        <w:r>
          <w:t xml:space="preserve">single dimensions (voter participation; proposal velocity; treasury</w:t>
        </w:r>
        <w:r>
          <w:t xml:space="preserve"> </w:t>
        </w:r>
        <w:r>
          <w:t xml:space="preserve">diversification) rather than aggregating across normative dimensions;</w:t>
        </w:r>
        <w:r>
          <w:t xml:space="preserve"> </w:t>
        </w:r>
        <w:r>
          <w:t xml:space="preserve">the Synergy Index aggregates five lenses with explicit equal-weight</w:t>
        </w:r>
        <w:r>
          <w:t xml:space="preserve"> </w:t>
        </w:r>
        <w:r>
          <w:t xml:space="preserve">methodology and discusses alternative weakest-link aggregation</w:t>
        </w:r>
        <w:r>
          <w:t xml:space="preserve"> </w:t>
        </w:r>
        <w:r>
          <w:t xml:space="preserve">(Section 2.10.6). (3) Comparability: existing dashboards report</w:t>
        </w:r>
        <w:r>
          <w:t xml:space="preserve"> </w:t>
        </w:r>
        <w:r>
          <w:t xml:space="preserve">per-protocol metrics without a cross-protocol normative comparison; the</w:t>
        </w:r>
        <w:r>
          <w:t xml:space="preserve"> </w:t>
        </w:r>
        <w:r>
          <w:t xml:space="preserve">40-protocol cross-section in Section 3 provides such a comparison by</w:t>
        </w:r>
        <w:r>
          <w:t xml:space="preserve"> </w:t>
        </w:r>
        <w:r>
          <w:t xml:space="preserve">applying a uniform PCA-exclusion methodology and a uniform scoring</w:t>
        </w:r>
        <w:r>
          <w:t xml:space="preserve"> </w:t>
        </w:r>
        <w:r>
          <w:t xml:space="preserve">rubric. The framework complements rather than replaces operational</w:t>
        </w:r>
        <w:r>
          <w:t xml:space="preserve"> </w:t>
        </w:r>
        <w:r>
          <w:t xml:space="preserve">dashboards: protocol practitioners can use this paper’s lens scoring</w:t>
        </w:r>
        <w:r>
          <w:t xml:space="preserve"> </w:t>
        </w:r>
        <w:r>
          <w:t xml:space="preserve">alongside existing operational telemetry to identify where structural</w:t>
        </w:r>
        <w:r>
          <w:t xml:space="preserve"> </w:t>
        </w:r>
        <w:r>
          <w:t xml:space="preserve">governance investments would yield the largest improvement in</w:t>
        </w:r>
        <w:r>
          <w:t xml:space="preserve"> </w:t>
        </w:r>
        <w:r>
          <w:t xml:space="preserve">normative dimensions.</w:t>
        </w:r>
      </w:ins>
    </w:p>
    <w:p>
      <w:ins w:id="10982" w:author="R2 Revision" w:date="2026-05-19T00:00:00Z">
        <w:pPr>
          <w:pStyle w:val="BodyText"/>
        </w:pPr>
        <w:r>
          <w:t xml:space="preserve">Large-scale analysis of 100 DAOs is consistent with the finding that</w:t>
        </w:r>
        <w:r>
          <w:t xml:space="preserve"> </w:t>
        </w:r>
        <w:r>
          <w:t xml:space="preserve">social and public-good protocols achieve significantly higher</w:t>
        </w:r>
        <w:r>
          <w:t xml:space="preserve"> </w:t>
        </w:r>
        <w:r>
          <w:t xml:space="preserve">decentralization than infrastructure or investment protocols (Sharma et</w:t>
        </w:r>
        <w:r>
          <w:t xml:space="preserve"> </w:t>
        </w:r>
        <w:r>
          <w:t xml:space="preserve">al., 2026), consistent with the DePIN-DeFi concentration differential</w:t>
        </w:r>
        <w:r>
          <w:t xml:space="preserve"> </w:t>
        </w:r>
        <w:r>
          <w:t xml:space="preserve">documented here (Mann-Whitney p = 0.018, Cohen’s d = 0.98).</w:t>
        </w:r>
      </w:ins>
    </w:p>
    <w:p>
      <w:ins w:id="10983" w:author="R2 Revision" w:date="2026-05-19T00:00:00Z">
        <w:pPr>
          <w:pStyle w:val="BodyText"/>
        </w:pPr>
        <w:r>
          <w:t xml:space="preserve">Scholte (2026) examines the transscalar nature of polycentric digital</w:t>
        </w:r>
        <w:r>
          <w:t xml:space="preserve"> </w:t>
        </w:r>
        <w:r>
          <w:t xml:space="preserve">governance, arguing that legitimacy in decentralized systems requires</w:t>
        </w:r>
        <w:r>
          <w:t xml:space="preserve"> </w:t>
        </w:r>
        <w:r>
          <w:t xml:space="preserve">overlapping authorities with explicit accountability mechanisms; the</w:t>
        </w:r>
        <w:r>
          <w:t xml:space="preserve"> </w:t>
        </w:r>
        <w:r>
          <w:t xml:space="preserve">scoring rubric developed here operationalizes this requirement through</w:t>
        </w:r>
        <w:r>
          <w:t xml:space="preserve"> </w:t>
        </w:r>
        <w:r>
          <w:t xml:space="preserve">the Ostrom polycentricity lens (Table 1).</w:t>
        </w:r>
      </w:ins>
    </w:p>
    <w:p>
      <w:ins w:id="10984" w:author="R2 Revision" w:date="2026-05-19T00:00:00Z">
        <w:pPr>
          <w:pStyle w:val="BodyText"/>
        </w:pPr>
        <w:r>
          <w:rPr>
            <w:b/>
            <w:bCs/>
          </w:rPr>
          <w:t xml:space="preserve">Mechanism Design and Institutional Economics.</w:t>
        </w:r>
        <w:r>
          <w:t xml:space="preserve"> </w:t>
        </w:r>
        <w:r>
          <w:t xml:space="preserve">Classical mechanism</w:t>
        </w:r>
        <w:r>
          <w:t xml:space="preserve"> </w:t>
        </w:r>
        <w:r>
          <w:t xml:space="preserve">design (Hurwicz, Myerson) optimizes for efficiency and incentive</w:t>
        </w:r>
        <w:r>
          <w:t xml:space="preserve"> </w:t>
        </w:r>
        <w:r>
          <w:t xml:space="preserve">compatibility; this paper adds normative dimensions (fairness,</w:t>
        </w:r>
        <w:r>
          <w:t xml:space="preserve"> </w:t>
        </w:r>
        <w:r>
          <w:t xml:space="preserve">contestability, capability) that mechanism design traditionally</w:t>
        </w:r>
        <w:r>
          <w:t xml:space="preserve"> </w:t>
        </w:r>
        <w:r>
          <w:t xml:space="preserve">brackets. We build on Ostrom’s institutional analysis of commons</w:t>
        </w:r>
        <w:r>
          <w:t xml:space="preserve"> </w:t>
        </w:r>
        <w:r>
          <w:t xml:space="preserve">governance, extending her framework from natural resource commons to</w:t>
        </w:r>
        <w:r>
          <w:t xml:space="preserve"> </w:t>
        </w:r>
        <w:r>
          <w:t xml:space="preserve">digital infrastructure commons where coordination mechanisms are encoded</w:t>
        </w:r>
        <w:r>
          <w:t xml:space="preserve"> </w:t>
        </w:r>
        <w:r>
          <w:t xml:space="preserve">in smart contracts.</w:t>
        </w:r>
      </w:ins>
    </w:p>
    <w:p>
      <w:ins w:id="10985" w:author="R2 Revision" w:date="2026-05-19T00:00:00Z">
        <w:pPr>
          <w:pStyle w:val="BodyText"/>
        </w:pPr>
        <w:r>
          <w:rPr>
            <w:b/>
            <w:bCs/>
          </w:rPr>
          <w:t xml:space="preserve">Political Philosophy and Institutional Design.</w:t>
        </w:r>
        <w:r>
          <w:t xml:space="preserve"> </w:t>
        </w:r>
        <w:r>
          <w:t xml:space="preserve">The philosophical</w:t>
        </w:r>
        <w:r>
          <w:t xml:space="preserve"> </w:t>
        </w:r>
        <w:r>
          <w:t xml:space="preserve">framework (Section 2.9) draws primarily on Rawls, Kant, Pettit, Hayek,</w:t>
        </w:r>
        <w:r>
          <w:t xml:space="preserve"> </w:t>
        </w:r>
        <w:r>
          <w:t xml:space="preserve">and Ostrom as operationalized lenses, with additional intellectual</w:t>
        </w:r>
        <w:r>
          <w:t xml:space="preserve"> </w:t>
        </w:r>
        <w:r>
          <w:t xml:space="preserve">context from Nussbaum (2011), Floridi, and Appiah, treating these</w:t>
        </w:r>
        <w:r>
          <w:t xml:space="preserve"> </w:t>
        </w:r>
        <w:r>
          <w:t xml:space="preserve">traditions not as isolated theoretical lenses but as complementary</w:t>
        </w:r>
        <w:r>
          <w:t xml:space="preserve"> </w:t>
        </w:r>
        <w:r>
          <w:t xml:space="preserve">design criteria that jointly define institutional legitimacy. This</w:t>
        </w:r>
        <w:r>
          <w:t xml:space="preserve"> </w:t>
        </w:r>
        <w:r>
          <w:t xml:space="preserve">integrative approach extends debates in political philosophy about</w:t>
        </w:r>
        <w:r>
          <w:t xml:space="preserve"> </w:t>
        </w:r>
        <w:r>
          <w:t xml:space="preserve">institutional design to a novel domain where institutions are</w:t>
        </w:r>
        <w:r>
          <w:t xml:space="preserve"> </w:t>
        </w:r>
        <w:r>
          <w:t xml:space="preserve">programmable and globally accessible.</w:t>
        </w:r>
      </w:ins>
    </w:p>
    <w:p>
      <w:ins w:id="10986" w:author="R2 Revision" w:date="2026-05-19T00:00:00Z">
        <w:pPr>
          <w:pStyle w:val="BodyText"/>
        </w:pPr>
        <w:r>
          <w:rPr>
            <w:b/>
            <w:bCs/>
          </w:rPr>
          <w:t xml:space="preserve">Blockchain Governance Scholarship.</w:t>
        </w:r>
        <w:r>
          <w:t xml:space="preserve"> </w:t>
        </w:r>
        <w:r>
          <w:t xml:space="preserve">The growing literature on DAO</w:t>
        </w:r>
        <w:r>
          <w:t xml:space="preserve"> </w:t>
        </w:r>
        <w:r>
          <w:t xml:space="preserve">governance (Fan et al. 2025, DeepDAO 2023) documents participation</w:t>
        </w:r>
        <w:r>
          <w:t xml:space="preserve"> </w:t>
        </w:r>
        <w:r>
          <w:t xml:space="preserve">patterns and concentration but rarely connects these to normative</w:t>
        </w:r>
        <w:r>
          <w:t xml:space="preserve"> </w:t>
        </w:r>
        <w:r>
          <w:t xml:space="preserve">frameworks. This paper bridges that gap: the governance cross-section</w:t>
        </w:r>
        <w:r>
          <w:t xml:space="preserve"> </w:t>
        </w:r>
        <w:r>
          <w:t xml:space="preserve">(Table 4) contributes new empirical evidence on holding concentration</w:t>
        </w:r>
        <w:r>
          <w:t xml:space="preserve"> </w:t>
        </w:r>
        <w:r>
          <w:t xml:space="preserve">while the philosophical scoring rubric (Table 1) provides a replicable</w:t>
        </w:r>
        <w:r>
          <w:t xml:space="preserve"> </w:t>
        </w:r>
        <w:r>
          <w:t xml:space="preserve">methodology for normative assessment. The Helium S2R case study</w:t>
        </w:r>
        <w:r>
          <w:t xml:space="preserve"> </w:t>
        </w:r>
        <w:r>
          <w:t xml:space="preserve">(Zukowski, 2026a) extends the DePIN sustainability literature with</w:t>
        </w:r>
        <w:r>
          <w:t xml:space="preserve"> </w:t>
        </w:r>
        <w:r>
          <w:t xml:space="preserve">longitudinal tokenomic evidence.</w:t>
        </w:r>
      </w:ins>
    </w:p>
    <w:p>
      <w:ins w:id="10987" w:author="R2 Revision" w:date="2026-05-19T00:00:00Z">
        <w:pPr>
          <w:pStyle w:val="BodyText"/>
        </w:pPr>
        <w:r>
          <w:rPr>
            <w:b/>
            <w:bCs/>
          </w:rPr>
          <w:t xml:space="preserve">Token Engineering and Cryptoeconomics.</w:t>
        </w:r>
        <w:r>
          <w:t xml:space="preserve"> </w:t>
        </w:r>
        <w:r>
          <w:t xml:space="preserve">Token engineering is</w:t>
        </w:r>
        <w:r>
          <w:t xml:space="preserve"> </w:t>
        </w:r>
        <w:r>
          <w:t xml:space="preserve">developing as a design discipline focused on simulation and</w:t>
        </w:r>
        <w:r>
          <w:t xml:space="preserve"> </w:t>
        </w:r>
        <w:r>
          <w:t xml:space="preserve">optimization. This paper complements that technical approach with</w:t>
        </w:r>
        <w:r>
          <w:t xml:space="preserve"> </w:t>
        </w:r>
        <w:r>
          <w:t xml:space="preserve">institutional and philosophical analysis, arguing that token design</w:t>
        </w:r>
        <w:r>
          <w:t xml:space="preserve"> </w:t>
        </w:r>
        <w:r>
          <w:t xml:space="preserve">choices are simultaneously economic mechanism design and political</w:t>
        </w:r>
        <w:r>
          <w:t xml:space="preserve"> </w:t>
        </w:r>
        <w:r>
          <w:t xml:space="preserve">constitution-writing, demonstrating that interdisciplinary synthesis</w:t>
        </w:r>
        <w:r>
          <w:t xml:space="preserve"> </w:t>
        </w:r>
        <w:r>
          <w:t xml:space="preserve">yields insights neither discipline produces alone.</w:t>
        </w:r>
      </w:ins>
    </w:p>
    <w:bookmarkEnd w:id="116"/>
    <w:bookmarkStart w:id="117" w:name="summary-of-findings"/>
    <w:p>
      <w:ins w:id="10988" w:author="R2 Revision" w:date="2026-05-19T00:00:00Z">
        <w:pPr>
          <w:pStyle w:val="Heading2"/>
        </w:pPr>
        <w:r>
          <w:t xml:space="preserve">4.6 Summary of Findings</w:t>
        </w:r>
      </w:ins>
    </w:p>
    <w:p>
      <w:ins w:id="10989" w:author="R2 Revision" w:date="2026-05-19T00:00:00Z">
        <w:pPr>
          <w:pStyle w:val="FirstParagraph"/>
        </w:pPr>
        <w:r>
          <w:t xml:space="preserve">Governance concentration in token economies is not predicted by how</w:t>
        </w:r>
        <w:r>
          <w:t xml:space="preserve"> </w:t>
        </w:r>
        <w:r>
          <w:t xml:space="preserve">tokens are distributed at launch. Across 40 protocols, initial</w:t>
        </w:r>
        <w:r>
          <w:t xml:space="preserve"> </w:t>
        </w:r>
        <w:r>
          <w:t xml:space="preserve">allocation design is uninformative (r = 0.04, p = 0.84): protocols with</w:t>
        </w:r>
        <w:r>
          <w:t xml:space="preserve"> </w:t>
        </w:r>
        <w:r>
          <w:t xml:space="preserve">generous community distributions exhibit concentration patterns similar</w:t>
        </w:r>
        <w:r>
          <w:t xml:space="preserve"> </w:t>
        </w:r>
        <w:r>
          <w:t xml:space="preserve">to those with heavy insider allocations. Post-distribution dynamics</w:t>
        </w:r>
        <w:r>
          <w:t xml:space="preserve"> </w:t>
        </w:r>
        <w:r>
          <w:t xml:space="preserve">dominate design intent; protocols with more insider wallets in their</w:t>
        </w:r>
        <w:r>
          <w:t xml:space="preserve"> </w:t>
        </w:r>
        <w:r>
          <w:t xml:space="preserve">top-holder lists exhibit higher concentration even among their</w:t>
        </w:r>
        <w:r>
          <w:t xml:space="preserve"> </w:t>
        </w:r>
        <w:r>
          <w:t xml:space="preserve">non-insider holders (Spearman rho = 0.54, p = 0.001, N = 34), consistent</w:t>
        </w:r>
        <w:r>
          <w:t xml:space="preserve"> </w:t>
        </w:r>
        <w:r>
          <w:t xml:space="preserve">with an ecosystem-level effect beyond the mechanical contribution of</w:t>
        </w:r>
        <w:r>
          <w:t xml:space="preserve"> </w:t>
        </w:r>
        <w:r>
          <w:t xml:space="preserve">large insider positions. DePIN protocols exhibit significantly higher</w:t>
        </w:r>
        <w:r>
          <w:t xml:space="preserve"> </w:t>
        </w:r>
        <w:r>
          <w:t xml:space="preserve">concentration than DeFi protocols (Mann-Whitney p = 0.018, d = 0.98), a</w:t>
        </w:r>
        <w:r>
          <w:t xml:space="preserve"> </w:t>
        </w:r>
        <w:r>
          <w:t xml:space="preserve">pattern consistent with hardware network economics concentrating</w:t>
        </w:r>
        <w:r>
          <w:t xml:space="preserve"> </w:t>
        </w:r>
        <w:r>
          <w:t xml:space="preserve">governance power among infrastructure operators.</w:t>
        </w:r>
      </w:ins>
    </w:p>
    <w:p>
      <w:ins w:id="10990" w:author="R2 Revision" w:date="2026-05-19T00:00:00Z">
        <w:pPr>
          <w:pStyle w:val="BodyText"/>
        </w:pPr>
        <w:r>
          <w:t xml:space="preserve">DePIN protocols vary enormously in their dependence on token subsidies,</w:t>
        </w:r>
        <w:r>
          <w:t xml:space="preserve"> </w:t>
        </w:r>
        <w:r>
          <w:t xml:space="preserve">but concentration does not track subsidy in any robust specification</w:t>
        </w:r>
        <w:r>
          <w:t xml:space="preserve"> </w:t>
        </w:r>
        <w:r>
          <w:t xml:space="preserve">(Section 3.4, Table 5). Two cases illustrate the disconnect: Aethir</w:t>
        </w:r>
        <w:r>
          <w:t xml:space="preserve"> </w:t>
        </w:r>
        <w:r>
          <w:t xml:space="preserve">generates the highest DePIN revenue yet sits at mid-range DePIN HHI</w:t>
        </w:r>
        <w:r>
          <w:t xml:space="preserve"> </w:t>
        </w:r>
        <w:r>
          <w:t xml:space="preserve">(0.087), while Hivemapper combines a 5.46x subsidy ratio with the</w:t>
        </w:r>
        <w:r>
          <w:t xml:space="preserve"> </w:t>
        </w:r>
        <w:r>
          <w:t xml:space="preserve">lowest HHI among expansion protocols (0.018). Governance concentration reflects</w:t>
        </w:r>
        <w:r>
          <w:t xml:space="preserve"> </w:t>
        </w:r>
        <w:r>
          <w:t xml:space="preserve">sector and operator-base structure rather than ongoing financial</w:t>
        </w:r>
        <w:r>
          <w:t xml:space="preserve"> </w:t>
        </w:r>
        <w:r>
          <w:t xml:space="preserve">sustainability or initial allocation design. The multivariate OLS in</w:t>
        </w:r>
        <w:r>
          <w:t xml:space="preserve"> </w:t>
        </w:r>
        <w:r>
          <w:t xml:space="preserve">Section 3.4 (Table 6) corroborates the allocation null while documenting</w:t>
        </w:r>
        <w:r>
          <w:t xml:space="preserve"> </w:t>
        </w:r>
        <w:r>
          <w:t xml:space="preserve">that sector membership predicts concentration even after controlling for</w:t>
        </w:r>
        <w:r>
          <w:t xml:space="preserve"> </w:t>
        </w:r>
        <w:r>
          <w:t xml:space="preserve">protocol age, valuation, and insider allocation (adjusted R² between</w:t>
        </w:r>
        <w:r>
          <w:t xml:space="preserve"> </w:t>
        </w:r>
        <w:r>
          <w:t xml:space="preserve">0.15 and 0.19).</w:t>
        </w:r>
      </w:ins>
    </w:p>
    <w:p>
      <w:ins w:id="10991" w:author="R2 Revision" w:date="2026-05-19T00:00:00Z">
        <w:pPr>
          <w:pStyle w:val="BodyText"/>
        </w:pPr>
        <w:r>
          <w:t xml:space="preserve">Delegation amplifies governance concentration above the level measured</w:t>
        </w:r>
        <w:r>
          <w:t xml:space="preserve"> </w:t>
        </w:r>
        <w:r>
          <w:t xml:space="preserve">from token holdings in nine of ten Table 7 protocols (amplification</w:t>
        </w:r>
        <w:r>
          <w:t xml:space="preserve"> </w:t>
        </w:r>
        <w:r>
          <w:t xml:space="preserve">range 1.2x to 11.4x; mean 5.3x; Section 3.5), with one structural</w:t>
        </w:r>
        <w:r>
          <w:t xml:space="preserve"> </w:t>
        </w:r>
        <w:r>
          <w:t xml:space="preserve">exception (ENS at 0.39x reflects a mature delegate program where</w:t>
        </w:r>
        <w:r>
          <w:t xml:space="preserve"> </w:t>
        </w:r>
        <w:r>
          <w:t xml:space="preserve">broad-community-delegate distribution is the design choice). The</w:t>
        </w:r>
        <w:r>
          <w:t xml:space="preserve"> </w:t>
        </w:r>
        <w:r>
          <w:t xml:space="preserve">Pettit-contestability lens (Table 1 Section 2.10.1) operationalizes</w:t>
        </w:r>
        <w:r>
          <w:t xml:space="preserve"> </w:t>
        </w:r>
        <w:r>
          <w:t xml:space="preserve">the institutional mechanisms designed to produce non-domination as the</w:t>
        </w:r>
        <w:r>
          <w:t xml:space="preserve"> </w:t>
        </w:r>
        <w:r>
          <w:t xml:space="preserve">goal-state Pettit identifies; the near-universal-amplification finding</w:t>
        </w:r>
        <w:r>
          <w:t xml:space="preserve"> </w:t>
        </w:r>
        <w:r>
          <w:t xml:space="preserve">indicates that token-weighted delegation, even when paired with formal</w:t>
        </w:r>
        <w:r>
          <w:t xml:space="preserve"> </w:t>
        </w:r>
        <w:r>
          <w:t xml:space="preserve">contestability infrastructure, concentrates voting power structurally</w:t>
        </w:r>
        <w:r>
          <w:t xml:space="preserve"> </w:t>
        </w:r>
        <w:r>
          <w:t xml:space="preserve">above stake holdings in most sampled protocols, while the ENS</w:t>
        </w:r>
        <w:r>
          <w:t xml:space="preserve"> </w:t>
        </w:r>
        <w:r>
          <w:t xml:space="preserve">exception demonstrates that broad-distribution delegate programs CAN</w:t>
        </w:r>
        <w:r>
          <w:t xml:space="preserve"> </w:t>
        </w:r>
        <w:r>
          <w:t xml:space="preserve">disperse voting power below the holding baseline when explicitly</w:t>
        </w:r>
        <w:r>
          <w:t xml:space="preserve"> </w:t>
        </w:r>
        <w:r>
          <w:t xml:space="preserve">designed for that outcome. The pattern surfaces a recurring</w:t>
        </w:r>
        <w:r>
          <w:t xml:space="preserve"> </w:t>
        </w:r>
        <w:r>
          <w:t xml:space="preserve">philosophical question that the five-lens framework’s</w:t>
        </w:r>
        <w:r>
          <w:t xml:space="preserve"> </w:t>
        </w:r>
        <w:r>
          <w:t xml:space="preserve">inter-lens-relationships architecture (Section 2.9.6) helps surface:</w:t>
        </w:r>
        <w:r>
          <w:t xml:space="preserve"> </w:t>
        </w:r>
        <w:r>
          <w:t xml:space="preserve">operational mechanisms that score well on the contestability lens</w:t>
        </w:r>
        <w:r>
          <w:t xml:space="preserve"> </w:t>
        </w:r>
        <w:r>
          <w:t xml:space="preserve">(appeals, veto rights) may nevertheless leave the goal-state</w:t>
        </w:r>
        <w:r>
          <w:t xml:space="preserve"> </w:t>
        </w:r>
        <w:r>
          <w:t xml:space="preserve">(non-domination) unmet when voting-power concentration exceeds the</w:t>
        </w:r>
        <w:r>
          <w:t xml:space="preserve"> </w:t>
        </w:r>
        <w:r>
          <w:t xml:space="preserve">practical capacity of contestation mechanisms to constrain. The</w:t>
        </w:r>
        <w:r>
          <w:t xml:space="preserve"> </w:t>
        </w:r>
        <w:r>
          <w:t xml:space="preserve">PCA-symmetric robustness check (Section 3.7) confirms the</w:t>
        </w:r>
        <w:r>
          <w:t xml:space="preserve"> </w:t>
        </w:r>
        <w:r>
          <w:t xml:space="preserve">universal-amplification finding is not an artifact of the choice to</w:t>
        </w:r>
        <w:r>
          <w:t xml:space="preserve"> </w:t>
        </w:r>
        <w:r>
          <w:t xml:space="preserve">include foundation or aggregation-contract delegates in voting HHI; the</w:t>
        </w:r>
        <w:r>
          <w:t xml:space="preserve"> </w:t>
        </w:r>
        <w:r>
          <w:t xml:space="preserve">finding holds across all 5 Tally-sourced protocols even under symmetric</w:t>
        </w:r>
        <w:r>
          <w:t xml:space="preserve"> </w:t>
        </w:r>
        <w:r>
          <w:t xml:space="preserve">PCA exclusion.</w:t>
        </w:r>
      </w:ins>
    </w:p>
    <w:bookmarkEnd w:id="117"/>
    <w:bookmarkStart w:id="118" w:name="contributions"/>
    <w:p>
      <w:ins w:id="10992" w:author="R2 Revision" w:date="2026-05-19T00:00:00Z">
        <w:pPr>
          <w:pStyle w:val="Heading2"/>
        </w:pPr>
        <w:r>
          <w:t xml:space="preserve">4.7 Contributions</w:t>
        </w:r>
      </w:ins>
    </w:p>
    <w:p>
      <w:ins w:id="10993" w:author="R2 Revision" w:date="2026-05-19T00:00:00Z">
        <w:pPr>
          <w:pStyle w:val="FirstParagraph"/>
        </w:pPr>
        <w:r>
          <w:t xml:space="preserve">The paper makes six contributions across measurement, methodology, and</w:t>
        </w:r>
        <w:r>
          <w:t xml:space="preserve"> </w:t>
        </w:r>
        <w:r>
          <w:t xml:space="preserve">empirical analysis.</w:t>
        </w:r>
      </w:ins>
    </w:p>
    <w:p>
      <w:ins w:id="10994" w:author="R2 Revision" w:date="2026-05-19T00:00:00Z">
        <w:pPr>
          <w:pStyle w:val="BodyText"/>
        </w:pPr>
        <w:r>
          <w:rPr>
            <w:b/>
            <w:bCs/>
          </w:rPr>
          <w:t xml:space="preserve">First, generalizable PCA exclusion methodology</w:t>
        </w:r>
        <w:r>
          <w:t xml:space="preserve"> </w:t>
        </w:r>
        <w:r>
          <w:t xml:space="preserve">(Section 2.10.10).</w:t>
        </w:r>
        <w:r>
          <w:t xml:space="preserve"> </w:t>
        </w:r>
        <w:r>
          <w:t xml:space="preserve">The exclusion methodology identifies 126 addresses controlled by</w:t>
        </w:r>
        <w:r>
          <w:t xml:space="preserve"> </w:t>
        </w:r>
        <w:r>
          <w:t xml:space="preserve">protocols themselves (staking contracts, exchange custodians, vesting</w:t>
        </w:r>
        <w:r>
          <w:t xml:space="preserve"> </w:t>
        </w:r>
        <w:r>
          <w:t xml:space="preserve">locks, and treasuries) that appear on holder lists but cannot vote.</w:t>
        </w:r>
        <w:r>
          <w:t xml:space="preserve"> </w:t>
        </w:r>
        <w:r>
          <w:t xml:space="preserve">Correcting for these changes affected protocols’ HHI by up to 7x. Prior</w:t>
        </w:r>
        <w:r>
          <w:t xml:space="preserve"> </w:t>
        </w:r>
        <w:r>
          <w:t xml:space="preserve">studies computing token HHI without this correction measured protocol</w:t>
        </w:r>
        <w:r>
          <w:t xml:space="preserve"> </w:t>
        </w:r>
        <w:r>
          <w:t xml:space="preserve">architecture, not governance concentration. The methodology</w:t>
        </w:r>
        <w:r>
          <w:t xml:space="preserve"> </w:t>
        </w:r>
        <w:r>
          <w:t xml:space="preserve">generalizes beyond this paper’s specific protocol set through the</w:t>
        </w:r>
        <w:r>
          <w:t xml:space="preserve"> </w:t>
        </w:r>
        <w:r>
          <w:t xml:space="preserve">five-class typology codified in Section 2.10.10 (Class 1 burn-</w:t>
        </w:r>
        <w:r>
          <w:t xml:space="preserve"> </w:t>
        </w:r>
        <w:r>
          <w:t xml:space="preserve">destination addresses; Class 2 foundation and treasury custody;</w:t>
        </w:r>
        <w:r>
          <w:t xml:space="preserve"> </w:t>
        </w:r>
        <w:r>
          <w:t xml:space="preserve">Class 3 staking-aggregation contracts; Class 4 bridge custody and</w:t>
        </w:r>
        <w:r>
          <w:t xml:space="preserve"> </w:t>
        </w:r>
        <w:r>
          <w:t xml:space="preserve">migration addresses; Class 5 centralized exchange custody); future</w:t>
        </w:r>
        <w:r>
          <w:t xml:space="preserve"> </w:t>
        </w:r>
        <w:r>
          <w:t xml:space="preserve">cross-protocol governance HHI analysis on ERC-20 or SPL token holders</w:t>
        </w:r>
        <w:r>
          <w:t xml:space="preserve"> </w:t>
        </w:r>
        <w:r>
          <w:t xml:space="preserve">can apply the typology uniformly.</w:t>
        </w:r>
      </w:ins>
    </w:p>
    <w:p>
      <w:ins w:id="10995" w:author="R2 Revision" w:date="2026-05-19T00:00:00Z">
        <w:pPr>
          <w:pStyle w:val="BodyText"/>
        </w:pPr>
        <w:r>
          <w:rPr>
            <w:b/>
            <w:bCs/>
          </w:rPr>
          <w:t xml:space="preserve">Second, two-layer philosophical framework</w:t>
        </w:r>
        <w:r>
          <w:t xml:space="preserve"> </w:t>
        </w:r>
        <w:r>
          <w:t xml:space="preserve">(Section 2.10.1; Table 1).</w:t>
        </w:r>
        <w:r>
          <w:t xml:space="preserve"> </w:t>
        </w:r>
        <w:r>
          <w:t xml:space="preserve">The framework distinguishes the philosophical goal-state Layer 1</w:t>
        </w:r>
        <w:r>
          <w:t xml:space="preserve"> </w:t>
        </w:r>
        <w:r>
          <w:t xml:space="preserve">(what the tradition aims to secure: legitimacy through public reason</w:t>
        </w:r>
        <w:r>
          <w:t xml:space="preserve"> </w:t>
        </w:r>
        <w:r>
          <w:t xml:space="preserve">for Kant; non-domination for Pettit; distributive fairness for Rawls;</w:t>
        </w:r>
        <w:r>
          <w:t xml:space="preserve"> </w:t>
        </w:r>
        <w:r>
          <w:t xml:space="preserve">adaptive collective action for Ostrom; epistemic coordination for</w:t>
        </w:r>
        <w:r>
          <w:t xml:space="preserve"> </w:t>
        </w:r>
        <w:r>
          <w:t xml:space="preserve">Hayek) from the operational mechanism Layer 2 (what is observable in</w:t>
        </w:r>
        <w:r>
          <w:t xml:space="preserve"> </w:t>
        </w:r>
        <w:r>
          <w:t xml:space="preserve">protocol design: transparent rules; appeals plus veto; floor-raising</w:t>
        </w:r>
        <w:r>
          <w:t xml:space="preserve"> </w:t>
        </w:r>
        <w:r>
          <w:t xml:space="preserve">mechanisms; nested decision-centers; demand-coupled signals). The</w:t>
        </w:r>
        <w:r>
          <w:t xml:space="preserve"> </w:t>
        </w:r>
        <w:r>
          <w:t xml:space="preserve">two-layer structure prevents the common conflation of goal with</w:t>
        </w:r>
        <w:r>
          <w:t xml:space="preserve"> </w:t>
        </w:r>
        <w:r>
          <w:t xml:space="preserve">mechanism in DAO-governance assessment (Section 4.5 documents this</w:t>
        </w:r>
        <w:r>
          <w:t xml:space="preserve"> </w:t>
        </w:r>
        <w:r>
          <w:t xml:space="preserve">conflation in existing assessment frameworks); other researchers can</w:t>
        </w:r>
        <w:r>
          <w:t xml:space="preserve"> </w:t>
        </w:r>
        <w:r>
          <w:t xml:space="preserve">adopt the two-layer scoring discipline without committing to this</w:t>
        </w:r>
        <w:r>
          <w:t xml:space="preserve"> </w:t>
        </w:r>
        <w:r>
          <w:t xml:space="preserve">paper’s specific operationalizations.</w:t>
        </w:r>
      </w:ins>
    </w:p>
    <w:p>
      <w:ins w:id="10996" w:author="R2 Revision" w:date="2026-05-19T00:00:00Z">
        <w:pPr>
          <w:pStyle w:val="BodyText"/>
        </w:pPr>
        <w:r>
          <w:rPr>
            <w:b/>
            <w:bCs/>
          </w:rPr>
          <w:t xml:space="preserve">Third, sector membership as the dominant predictor.</w:t>
        </w:r>
        <w:r>
          <w:t xml:space="preserve"> </w:t>
        </w:r>
        <w:r>
          <w:t xml:space="preserve">Sector</w:t>
        </w:r>
        <w:r>
          <w:t xml:space="preserve"> </w:t>
        </w:r>
        <w:r>
          <w:t xml:space="preserve">membership is the only protocol characteristic that predicts</w:t>
        </w:r>
        <w:r>
          <w:t xml:space="preserve"> </w:t>
        </w:r>
        <w:r>
          <w:t xml:space="preserve">concentration in cross-section (Mann-Whitney p = 0.018, Cohen’s d = 0.98; Table 6: sector coefficient p &lt; 0.05 in Models 1 and 2;</w:t>
        </w:r>
        <w:r>
          <w:t xml:space="preserve"> </w:t>
        </w:r>
        <w:r>
          <w:t xml:space="preserve">in Model 3 the coefficient is positive and similar in magnitude</w:t>
        </w:r>
        <w:r>
          <w:t xml:space="preserve"> </w:t>
        </w:r>
        <w:r>
          <w:t xml:space="preserve">but falls above the conventional 0.05 threshold at p = 0.078</w:t>
        </w:r>
        <w:r>
          <w:t xml:space="preserve"> </w:t>
        </w:r>
        <w:r>
          <w:t xml:space="preserve">under the full control set). Initial allocation, maturity, subsidy</w:t>
        </w:r>
        <w:r>
          <w:t xml:space="preserve"> </w:t>
        </w:r>
        <w:r>
          <w:t xml:space="preserve">structure, and token unlock progress (three float specifications,</w:t>
        </w:r>
        <w:r>
          <w:t xml:space="preserve"> </w:t>
        </w:r>
        <w:r>
          <w:t xml:space="preserve">all |r| &lt; 0.05) do not predict concentration. The allocation null</w:t>
        </w:r>
        <w:r>
          <w:t xml:space="preserve"> </w:t>
        </w:r>
        <w:r>
          <w:t xml:space="preserve">is the headline finding; the sector contrast is the headline positive</w:t>
        </w:r>
        <w:r>
          <w:t xml:space="preserve"> </w:t>
        </w:r>
        <w:r>
          <w:t xml:space="preserve">result, with the Model 3 attenuation indicating that the small sample</w:t>
        </w:r>
        <w:r>
          <w:t xml:space="preserve"> </w:t>
        </w:r>
        <w:r>
          <w:t xml:space="preserve">(N = 35) limits the precision with which the sector coefficient can</w:t>
        </w:r>
        <w:r>
          <w:t xml:space="preserve"> </w:t>
        </w:r>
        <w:r>
          <w:t xml:space="preserve">be isolated from correlated controls.</w:t>
        </w:r>
      </w:ins>
    </w:p>
    <w:p>
      <w:ins w:id="10997" w:author="R2 Revision" w:date="2026-05-19T00:00:00Z">
        <w:pPr>
          <w:pStyle w:val="BodyText"/>
        </w:pPr>
        <w:r>
          <w:rPr>
            <w:b/>
            <w:bCs/>
          </w:rPr>
          <w:t xml:space="preserve">Fourth, near-universal delegation amplification</w:t>
        </w:r>
        <w:r>
          <w:t xml:space="preserve"> </w:t>
        </w:r>
        <w:r>
          <w:t xml:space="preserve">(Section 3.5).</w:t>
        </w:r>
        <w:r>
          <w:t xml:space="preserve"> </w:t>
        </w:r>
        <w:r>
          <w:t xml:space="preserve">Delegation concentrates voting power above the post-exclusion holding</w:t>
        </w:r>
        <w:r>
          <w:t xml:space="preserve"> </w:t>
        </w:r>
        <w:r>
          <w:t xml:space="preserve">baseline in nine of ten Table 7 protocols (range 1.2x to 11.4x; mean</w:t>
        </w:r>
        <w:r>
          <w:t xml:space="preserve"> </w:t>
        </w:r>
        <w:r>
          <w:t xml:space="preserve">5.3x), with one structural exception (ENS at 0.39x). The PCA-symmetric</w:t>
        </w:r>
        <w:r>
          <w:t xml:space="preserve"> </w:t>
        </w:r>
        <w:r>
          <w:t xml:space="preserve">robustness check (Section 3.7) confirms the finding holds across all</w:t>
        </w:r>
        <w:r>
          <w:t xml:space="preserve"> </w:t>
        </w:r>
        <w:r>
          <w:t xml:space="preserve">five Tally-sourced protocols even when foundation and aggregation-</w:t>
        </w:r>
        <w:r>
          <w:t xml:space="preserve"> </w:t>
        </w:r>
        <w:r>
          <w:t xml:space="preserve">contract delegates are excluded from voting HHI. The Theil and</w:t>
        </w:r>
        <w:r>
          <w:t xml:space="preserve"> </w:t>
        </w:r>
        <w:r>
          <w:t xml:space="preserve">Atkinson alternative inequality metrics (Section 3.7) confirm the</w:t>
        </w:r>
        <w:r>
          <w:t xml:space="preserve"> </w:t>
        </w:r>
        <w:r>
          <w:t xml:space="preserve">rank ordering across protocols is robust to choice of concentration</w:t>
        </w:r>
        <w:r>
          <w:t xml:space="preserve"> </w:t>
        </w:r>
        <w:r>
          <w:t xml:space="preserve">metric (HHI-Theil correlation r = 0.77 on the post-exclusion sample).</w:t>
        </w:r>
      </w:ins>
    </w:p>
    <w:p>
      <w:ins w:id="10998" w:author="R2 Revision" w:date="2026-05-19T00:00:00Z">
        <w:pPr>
          <w:pStyle w:val="BodyText"/>
        </w:pPr>
        <w:r>
          <w:rPr>
            <w:b/>
            <w:bCs/>
          </w:rPr>
          <w:t xml:space="preserve">Fifth, ENS as institutional-design proof-of-concept</w:t>
        </w:r>
        <w:r>
          <w:t xml:space="preserve"> </w:t>
        </w:r>
        <w:r>
          <w:t xml:space="preserve">(Section</w:t>
        </w:r>
        <w:r>
          <w:t xml:space="preserve"> </w:t>
        </w:r>
        <w:r>
          <w:t xml:space="preserve">3.5.1). ENS provides the first documented empirical case in the</w:t>
        </w:r>
        <w:r>
          <w:t xml:space="preserve"> </w:t>
        </w:r>
        <w:r>
          <w:t xml:space="preserve">major-DAO cross-section of delegation-mediated dispersion below the</w:t>
        </w:r>
        <w:r>
          <w:t xml:space="preserve"> </w:t>
        </w:r>
        <w:r>
          <w:t xml:space="preserve">holding baseline. The dispersion case is informative because it</w:t>
        </w:r>
        <w:r>
          <w:t xml:space="preserve"> </w:t>
        </w:r>
        <w:r>
          <w:t xml:space="preserve">operationalizes the framework’s institutional-design thesis: delegation</w:t>
        </w:r>
        <w:r>
          <w:t xml:space="preserve"> </w:t>
        </w:r>
        <w:r>
          <w:t xml:space="preserve">outcomes are design-tractable rather than mechanism-inevitable. The</w:t>
        </w:r>
        <w:r>
          <w:t xml:space="preserve"> </w:t>
        </w:r>
        <w:r>
          <w:t xml:space="preserve">generalizable design recommendation (broad community-delegate</w:t>
        </w:r>
        <w:r>
          <w:t xml:space="preserve"> </w:t>
        </w:r>
        <w:r>
          <w:t xml:space="preserve">distribution; recurring delegate compensation; public delegate</w:t>
        </w:r>
        <w:r>
          <w:t xml:space="preserve"> </w:t>
        </w:r>
        <w:r>
          <w:t xml:space="preserve">platforms; active recruitment) emerges from ENS as a comparative</w:t>
        </w:r>
        <w:r>
          <w:t xml:space="preserve"> </w:t>
        </w:r>
        <w:r>
          <w:t xml:space="preserve">protocol case for future delegate-program research.</w:t>
        </w:r>
      </w:ins>
    </w:p>
    <w:p>
      <w:ins w:id="10999" w:author="R2 Revision" w:date="2026-05-19T00:00:00Z">
        <w:pPr>
          <w:pStyle w:val="BodyText"/>
        </w:pPr>
        <w:r>
          <w:rPr>
            <w:b/>
            <w:bCs/>
          </w:rPr>
          <w:t xml:space="preserve">Sixth, ve-token extreme amplification class</w:t>
        </w:r>
        <w:r>
          <w:t xml:space="preserve"> </w:t>
        </w:r>
        <w:r>
          <w:t xml:space="preserve">(Section 3.5.2).</w:t>
        </w:r>
        <w:r>
          <w:t xml:space="preserve"> </w:t>
        </w:r>
        <w:r>
          <w:t xml:space="preserve">Vote-escrowed governance protocols (Curve veCRV; Balancer veBAL)</w:t>
        </w:r>
        <w:r>
          <w:t xml:space="preserve"> </w:t>
        </w:r>
        <w:r>
          <w:t xml:space="preserve">exhibit extreme amplification (15x and 21x) through structurally</w:t>
        </w:r>
        <w:r>
          <w:t xml:space="preserve"> </w:t>
        </w:r>
        <w:r>
          <w:t xml:space="preserve">distinct mechanisms than delegate-based governance: lock-duration</w:t>
        </w:r>
        <w:r>
          <w:t xml:space="preserve"> </w:t>
        </w:r>
        <w:r>
          <w:t xml:space="preserve">multipliers convert custody concentration into proportional voting</w:t>
        </w:r>
        <w:r>
          <w:t xml:space="preserve"> </w:t>
        </w:r>
        <w:r>
          <w:t xml:space="preserve">power, with meta-governance aggregators (Convex; Aura) further</w:t>
        </w:r>
        <w:r>
          <w:t xml:space="preserve"> </w:t>
        </w:r>
        <w:r>
          <w:t xml:space="preserve">concentrating. The class is documented separately from Table 7</w:t>
        </w:r>
        <w:r>
          <w:t xml:space="preserve"> </w:t>
        </w:r>
        <w:r>
          <w:t xml:space="preserve">because the underlying methodology differs; the documentation is</w:t>
        </w:r>
        <w:r>
          <w:t xml:space="preserve"> </w:t>
        </w:r>
        <w:r>
          <w:t xml:space="preserve">the first systematic comparative treatment of ve-token concentration</w:t>
        </w:r>
        <w:r>
          <w:t xml:space="preserve"> </w:t>
        </w:r>
        <w:r>
          <w:t xml:space="preserve">in the DAO-governance literature.</w:t>
        </w:r>
      </w:ins>
    </w:p>
    <w:p>
      <w:ins w:id="11000" w:author="R2 Revision" w:date="2026-05-19T00:00:00Z">
        <w:pPr>
          <w:pStyle w:val="BodyText"/>
        </w:pPr>
        <w:r>
          <w:t xml:space="preserve">Twin counterexamples that validate the institutional-design thesis.</w:t>
        </w:r>
        <w:r>
          <w:t xml:space="preserve"> </w:t>
        </w:r>
        <w:r>
          <w:t xml:space="preserve">Two existence-proofs in the cross-section operationalize the</w:t>
        </w:r>
        <w:r>
          <w:t xml:space="preserve"> </w:t>
        </w:r>
        <w:r>
          <w:t xml:space="preserve">framework’s institutional-design thesis empirically: Anyone Protocol</w:t>
        </w:r>
        <w:r>
          <w:t xml:space="preserve"> </w:t>
        </w:r>
        <w:r>
          <w:t xml:space="preserve">(DePIN; HHI 0.013, DeFi-median territory) demonstrates that low DePIN</w:t>
        </w:r>
        <w:r>
          <w:t xml:space="preserve"> </w:t>
        </w:r>
        <w:r>
          <w:t xml:space="preserve">concentration is achievable as a design choice rather than inevitable</w:t>
        </w:r>
        <w:r>
          <w:t xml:space="preserve"> </w:t>
        </w:r>
        <w:r>
          <w:t xml:space="preserve">in hardware-coordination protocols; ENS (Infrastructure; voting</w:t>
        </w:r>
        <w:r>
          <w:t xml:space="preserve"> </w:t>
        </w:r>
        <w:r>
          <w:t xml:space="preserve">HHI 0.028 vs holding HHI 0.071; delegation-mediated dispersion at</w:t>
        </w:r>
        <w:r>
          <w:t xml:space="preserve"> </w:t>
        </w:r>
        <w:r>
          <w:t xml:space="preserve">ratio 0.39x per Section 3.5.1) demonstrates that delegation can</w:t>
        </w:r>
        <w:r>
          <w:t xml:space="preserve"> </w:t>
        </w:r>
        <w:r>
          <w:t xml:space="preserve">disperse voting power below the holding baseline when the delegate</w:t>
        </w:r>
        <w:r>
          <w:t xml:space="preserve"> </w:t>
        </w:r>
        <w:r>
          <w:t xml:space="preserve">program is explicitly designed for broad community-delegate</w:t>
        </w:r>
        <w:r>
          <w:t xml:space="preserve"> </w:t>
        </w:r>
        <w:r>
          <w:t xml:space="preserve">distribution. The twin counterexamples are informative jointly:</w:t>
        </w:r>
        <w:r>
          <w:t xml:space="preserve"> </w:t>
        </w:r>
        <w:r>
          <w:t xml:space="preserve">they show that the framework’s institutional-design emphasis has</w:t>
        </w:r>
        <w:r>
          <w:t xml:space="preserve"> </w:t>
        </w:r>
        <w:r>
          <w:t xml:space="preserve">empirical traction in two distinct mechanism domains (holding</w:t>
        </w:r>
        <w:r>
          <w:t xml:space="preserve"> </w:t>
        </w:r>
        <w:r>
          <w:t xml:space="preserve">concentration; delegation amplification) and that the cross-protocol</w:t>
        </w:r>
        <w:r>
          <w:t xml:space="preserve"> </w:t>
        </w:r>
        <w:r>
          <w:t xml:space="preserve">variation documented in this paper is design-tractable rather than</w:t>
        </w:r>
        <w:r>
          <w:t xml:space="preserve"> </w:t>
        </w:r>
        <w:r>
          <w:t xml:space="preserve">structurally inevitable. The generalizable design implications are</w:t>
        </w:r>
        <w:r>
          <w:t xml:space="preserve"> </w:t>
        </w:r>
        <w:r>
          <w:t xml:space="preserve">documented in Sections 3.5.1 and 3.3 respectively.</w:t>
        </w:r>
      </w:ins>
    </w:p>
    <w:bookmarkEnd w:id="118"/>
    <w:bookmarkStart w:id="119" w:name="limitations"/>
    <w:p>
      <w:ins w:id="11001" w:author="R2 Revision" w:date="2026-05-19T00:00:00Z">
        <w:pPr>
          <w:pStyle w:val="Heading2"/>
        </w:pPr>
        <w:r>
          <w:t xml:space="preserve">4.8 Limitations</w:t>
        </w:r>
      </w:ins>
    </w:p>
    <w:p>
      <w:ins w:id="11002" w:author="R2 Revision" w:date="2026-05-19T00:00:00Z">
        <w:pPr>
          <w:pStyle w:val="FirstParagraph"/>
        </w:pPr>
        <w:r>
          <w:t xml:space="preserve">The evidence reported here carries several limitations spanning study</w:t>
        </w:r>
        <w:r>
          <w:t xml:space="preserve"> </w:t>
        </w:r>
        <w:r>
          <w:t xml:space="preserve">design, measurement methodology, sample composition, and theoretical</w:t>
        </w:r>
        <w:r>
          <w:t xml:space="preserve"> </w:t>
        </w:r>
        <w:r>
          <w:t xml:space="preserve">operationalization. We organize the discussion in three groups:</w:t>
        </w:r>
        <w:r>
          <w:t xml:space="preserve"> </w:t>
        </w:r>
        <w:r>
          <w:t xml:space="preserve">limitations that constrain the inferential claim (cross-sectional</w:t>
        </w:r>
        <w:r>
          <w:t xml:space="preserve"> </w:t>
        </w:r>
        <w:r>
          <w:t xml:space="preserve">design; sample size; survivorship), limitations of the measurement</w:t>
        </w:r>
        <w:r>
          <w:t xml:space="preserve"> </w:t>
        </w:r>
        <w:r>
          <w:t xml:space="preserve">apparatus (concentration-metric choice; PCA classification methodology;</w:t>
        </w:r>
        <w:r>
          <w:t xml:space="preserve"> </w:t>
        </w:r>
        <w:r>
          <w:t xml:space="preserve">threshold-voting effects; subsidy outliers), and limitations of the</w:t>
        </w:r>
        <w:r>
          <w:t xml:space="preserve"> </w:t>
        </w:r>
        <w:r>
          <w:t xml:space="preserve">philosophical-framework operationalization (single-scorer scoring;</w:t>
        </w:r>
        <w:r>
          <w:t xml:space="preserve"> </w:t>
        </w:r>
        <w:r>
          <w:t xml:space="preserve">omitted normative traditions; lens-aggregation choice). Limitations</w:t>
        </w:r>
        <w:r>
          <w:t xml:space="preserve"> </w:t>
        </w:r>
        <w:r>
          <w:t xml:space="preserve">specific to individual sections are cross-referenced in the closing</w:t>
        </w:r>
        <w:r>
          <w:t xml:space="preserve"> </w:t>
        </w:r>
        <w:r>
          <w:t xml:space="preserve">paragraph of this section.</w:t>
        </w:r>
      </w:ins>
    </w:p>
    <w:p>
      <w:ins w:id="11003" w:author="R2 Revision" w:date="2026-05-19T00:00:00Z">
        <w:pPr>
          <w:pStyle w:val="BodyText"/>
        </w:pPr>
        <w:r>
          <w:t xml:space="preserve">The governance concentration analysis is a March 2026 snapshot:</w:t>
        </w:r>
        <w:r>
          <w:t xml:space="preserve"> </w:t>
        </w:r>
        <w:r>
          <w:t xml:space="preserve">tracking concentration over time would reveal whether protocols are</w:t>
        </w:r>
        <w:r>
          <w:t xml:space="preserve"> </w:t>
        </w:r>
        <w:r>
          <w:t xml:space="preserve">becoming more or less concentrated and strengthen causal claims. A</w:t>
        </w:r>
        <w:r>
          <w:t xml:space="preserve"> </w:t>
        </w:r>
        <w:r>
          <w:t xml:space="preserve">single scorer has applied the scoring rubric; inter-rater reliability</w:t>
        </w:r>
        <w:r>
          <w:t xml:space="preserve"> </w:t>
        </w:r>
        <w:r>
          <w:t xml:space="preserve">testing with independent scorers is needed before the rubric can</w:t>
        </w:r>
        <w:r>
          <w:t xml:space="preserve"> </w:t>
        </w:r>
        <w:r>
          <w:t xml:space="preserve">claim measurement validity beyond its current proof-of-concept status.</w:t>
        </w:r>
      </w:ins>
    </w:p>
    <w:p>
      <w:ins w:id="11004" w:author="R2 Revision" w:date="2026-05-19T00:00:00Z">
        <w:pPr>
          <w:pStyle w:val="BodyText"/>
        </w:pPr>
        <w:r>
          <w:t xml:space="preserve">The five-lens framework Table 1 operationalizes captures a deliberate</w:t>
        </w:r>
        <w:r>
          <w:t xml:space="preserve"> </w:t>
        </w:r>
        <w:r>
          <w:t xml:space="preserve">subset of normative-philosophical traditions relevant to institutional</w:t>
        </w:r>
        <w:r>
          <w:t xml:space="preserve"> </w:t>
        </w:r>
        <w:r>
          <w:t xml:space="preserve">design. Three dimensions discussed in the literature review but</w:t>
        </w:r>
        <w:r>
          <w:t xml:space="preserve"> </w:t>
        </w:r>
        <w:r>
          <w:t xml:space="preserve">reserved for future evaluation (Section 2.10.6) are absent from the</w:t>
        </w:r>
        <w:r>
          <w:t xml:space="preserve"> </w:t>
        </w:r>
        <w:r>
          <w:t xml:space="preserve">operational scoring: the capability approach (Sen 1985, 1999;</w:t>
        </w:r>
        <w:r>
          <w:t xml:space="preserve"> </w:t>
        </w:r>
        <w:r>
          <w:t xml:space="preserve">Nussbaum 2011) on substantive opportunities for individuals; the</w:t>
        </w:r>
        <w:r>
          <w:t xml:space="preserve"> </w:t>
        </w:r>
        <w:r>
          <w:t xml:space="preserve">contextual-integrity framing (Nissenbaum 2010) on information-flow</w:t>
        </w:r>
        <w:r>
          <w:t xml:space="preserve"> </w:t>
        </w:r>
        <w:r>
          <w:t xml:space="preserve">norms governing privacy and consent; and cosmopolitan justice</w:t>
        </w:r>
        <w:r>
          <w:t xml:space="preserve"> </w:t>
        </w:r>
        <w:r>
          <w:t xml:space="preserve">frameworks (Beitz 1979; Pogge 2002) on transnational obligations. The</w:t>
        </w:r>
        <w:r>
          <w:t xml:space="preserve"> </w:t>
        </w:r>
        <w:r>
          <w:t xml:space="preserve">absences reflect non-comparable cross-protocol measurement</w:t>
        </w:r>
        <w:r>
          <w:t xml:space="preserve"> </w:t>
        </w:r>
        <w:r>
          <w:t xml:space="preserve">requirements at the present sample size, not theoretical rejection.</w:t>
        </w:r>
        <w:r>
          <w:t xml:space="preserve"> </w:t>
        </w:r>
        <w:r>
          <w:t xml:space="preserve">Berlin’s (1958) negative-versus-positive liberty distinction is also</w:t>
        </w:r>
        <w:r>
          <w:t xml:space="preserve"> </w:t>
        </w:r>
        <w:r>
          <w:t xml:space="preserve">absent from the operational rubric; the framework leans toward the</w:t>
        </w:r>
        <w:r>
          <w:t xml:space="preserve"> </w:t>
        </w:r>
        <w:r>
          <w:t xml:space="preserve">republican freedom-as-non-domination tradition that Pettit positions</w:t>
        </w:r>
        <w:r>
          <w:t xml:space="preserve"> </w:t>
        </w:r>
        <w:r>
          <w:t xml:space="preserve">as distinct from both Berlin categories. Future work expanding the</w:t>
        </w:r>
        <w:r>
          <w:t xml:space="preserve"> </w:t>
        </w:r>
        <w:r>
          <w:t xml:space="preserve">framework to incorporate capability-based, contextual-integrity, and</w:t>
        </w:r>
        <w:r>
          <w:t xml:space="preserve"> </w:t>
        </w:r>
        <w:r>
          <w:t xml:space="preserve">cosmopolitan dimensions would yield a fuller philosophical coverage</w:t>
        </w:r>
        <w:r>
          <w:t xml:space="preserve"> </w:t>
        </w:r>
        <w:r>
          <w:t xml:space="preserve">without changing the descriptive findings reported in Section 3.</w:t>
        </w:r>
      </w:ins>
    </w:p>
    <w:p>
      <w:ins w:id="11005" w:author="R2 Revision" w:date="2026-05-19T00:00:00Z">
        <w:pPr>
          <w:pStyle w:val="BodyText"/>
        </w:pPr>
        <w:r>
          <w:t xml:space="preserve">Operationalization dependency. The framework’s empirical conclusions</w:t>
        </w:r>
        <w:r>
          <w:t xml:space="preserve"> </w:t>
        </w:r>
        <w:r>
          <w:t xml:space="preserve">depend on operationalization choices that future work could legitimately</w:t>
        </w:r>
        <w:r>
          <w:t xml:space="preserve"> </w:t>
        </w:r>
        <w:r>
          <w:t xml:space="preserve">vary. The Pettit contestability lens scores</w:t>
        </w:r>
        <w:r>
          <w:t xml:space="preserve"> </w:t>
        </w:r>
        <w:r>
          <w:t xml:space="preserve">“appeals + veto rights”</w:t>
        </w:r>
        <w:r>
          <w:t xml:space="preserve"> </w:t>
        </w:r>
        <w:r>
          <w:t xml:space="preserve">at</w:t>
        </w:r>
        <w:r>
          <w:t xml:space="preserve"> </w:t>
        </w:r>
        <w:r>
          <w:t xml:space="preserve">the highest tier; an alternative operationalization scoring</w:t>
        </w:r>
        <w:r>
          <w:t xml:space="preserve"> </w:t>
        </w:r>
        <w:r>
          <w:t xml:space="preserve">“publicly</w:t>
        </w:r>
        <w:r>
          <w:t xml:space="preserve"> </w:t>
        </w:r>
        <w:r>
          <w:t xml:space="preserve">deliberated proposal rationale + bounded enforcement discretion”</w:t>
        </w:r>
        <w:r>
          <w:t xml:space="preserve"> </w:t>
        </w:r>
        <w:r>
          <w:t xml:space="preserve">(closer to Pettit’s contestatory-democracy framing in</w:t>
        </w:r>
        <w:r>
          <w:t xml:space="preserve"> </w:t>
        </w:r>
        <w:r>
          <w:rPr>
            <w:i/>
            <w:iCs/>
          </w:rPr>
          <w:t xml:space="preserve">On the People’s</w:t>
        </w:r>
        <w:r>
          <w:rPr>
            <w:i/>
            <w:iCs/>
          </w:rPr>
          <w:t xml:space="preserve"> </w:t>
        </w:r>
        <w:r>
          <w:rPr>
            <w:i/>
            <w:iCs/>
          </w:rPr>
          <w:t xml:space="preserve">Terms</w:t>
        </w:r>
        <w:r>
          <w:t xml:space="preserve">, Pettit 2012) could yield different lens scores for protocols</w:t>
        </w:r>
        <w:r>
          <w:t xml:space="preserve"> </w:t>
        </w:r>
        <w:r>
          <w:t xml:space="preserve">with strong proposal-process norms but weak formal-veto architecture.</w:t>
        </w:r>
        <w:r>
          <w:t xml:space="preserve"> </w:t>
        </w:r>
        <w:r>
          <w:t xml:space="preserve">Similarly, the Rawlsian Fairness lens scores floor-raising mechanisms;</w:t>
        </w:r>
        <w:r>
          <w:t xml:space="preserve"> </w:t>
        </w:r>
        <w:r>
          <w:t xml:space="preserve">an alternative emphasizing procedural participation (closer to Rawls’s</w:t>
        </w:r>
        <w:r>
          <w:t xml:space="preserve"> </w:t>
        </w:r>
        <w:r>
          <w:t xml:space="preserve">Liberal Principle of Legitimacy, Rawls 1993) could shift lens scores</w:t>
        </w:r>
        <w:r>
          <w:t xml:space="preserve"> </w:t>
        </w:r>
        <w:r>
          <w:t xml:space="preserve">for protocols with broad-airdrop distribution but weak post-distribution</w:t>
        </w:r>
        <w:r>
          <w:t xml:space="preserve"> </w:t>
        </w:r>
        <w:r>
          <w:t xml:space="preserve">participation infrastructure. The Synergy Index aggregation choice</w:t>
        </w:r>
        <w:r>
          <w:t xml:space="preserve"> </w:t>
        </w:r>
        <w:r>
          <w:t xml:space="preserve">(arithmetic mean) gives equal weight across lenses; alternative</w:t>
        </w:r>
        <w:r>
          <w:t xml:space="preserve"> </w:t>
        </w:r>
        <w:r>
          <w:t xml:space="preserve">weakest-link aggregation (geometric mean) would emphasize the</w:t>
        </w:r>
        <w:r>
          <w:t xml:space="preserve"> </w:t>
        </w:r>
        <w:r>
          <w:t xml:space="preserve">weakest-scoring dimension. These methodological choices are documented</w:t>
        </w:r>
        <w:r>
          <w:t xml:space="preserve"> </w:t>
        </w:r>
        <w:r>
          <w:t xml:space="preserve">explicitly so that subsequent applications of the framework can apply</w:t>
        </w:r>
        <w:r>
          <w:t xml:space="preserve"> </w:t>
        </w:r>
        <w:r>
          <w:t xml:space="preserve">their own operationalization without ambiguity about what this</w:t>
        </w:r>
        <w:r>
          <w:t xml:space="preserve"> </w:t>
        </w:r>
        <w:r>
          <w:t xml:space="preserve">paper’s scoring measured. The cross-protocol rank ordering on</w:t>
        </w:r>
        <w:r>
          <w:t xml:space="preserve"> </w:t>
        </w:r>
        <w:r>
          <w:t xml:space="preserve">the dominant concentration metric (HHI) is robust to choice of</w:t>
        </w:r>
        <w:r>
          <w:t xml:space="preserve"> </w:t>
        </w:r>
        <w:r>
          <w:t xml:space="preserve">concentration metric (Theil and Atkinson correlations in Section 3.7);</w:t>
        </w:r>
        <w:r>
          <w:t xml:space="preserve"> </w:t>
        </w:r>
        <w:r>
          <w:t xml:space="preserve">the framework’s lens-level rank ordering may be more sensitive to</w:t>
        </w:r>
        <w:r>
          <w:t xml:space="preserve"> </w:t>
        </w:r>
        <w:r>
          <w:t xml:space="preserve">operationalization choices, an open empirical question for inter-rater</w:t>
        </w:r>
        <w:r>
          <w:t xml:space="preserve"> </w:t>
        </w:r>
        <w:r>
          <w:t xml:space="preserve">reliability and operationalization-robustness analysis (future work). The sample of 40 protocols (37 in Table</w:t>
        </w:r>
        <w:r>
          <w:t xml:space="preserve"> </w:t>
        </w:r>
        <w:r>
          <w:t xml:space="preserve">4 plus three protocols with partial distributional data described in</w:t>
        </w:r>
        <w:r>
          <w:t xml:space="preserve"> </w:t>
        </w:r>
        <w:r>
          <w:t xml:space="preserve">Section 3.2) is sufficient for descriptive cross-sectional comparison</w:t>
        </w:r>
        <w:r>
          <w:t xml:space="preserve"> </w:t>
        </w:r>
        <w:r>
          <w:t xml:space="preserve">but too small for robust multivariate regression analysis with multiple</w:t>
        </w:r>
        <w:r>
          <w:t xml:space="preserve"> </w:t>
        </w:r>
        <w:r>
          <w:t xml:space="preserve">covariates; reaching the 50 to 60 protocol threshold specified in the</w:t>
        </w:r>
        <w:r>
          <w:t xml:space="preserve"> </w:t>
        </w:r>
        <w:r>
          <w:t xml:space="preserve">pipeline design (</w:t>
        </w: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)</w:t>
        </w:r>
        <w:r>
          <w:t xml:space="preserve"> </w:t>
        </w:r>
        <w:r>
          <w:t xml:space="preserve">would enable the regression, panel, and event-study analyses currently</w:t>
        </w:r>
        <w:r>
          <w:t xml:space="preserve"> </w:t>
        </w:r>
        <w:r>
          <w:t xml:space="preserve">specified as replication-ready designs. The sample includes only active</w:t>
        </w:r>
        <w:r>
          <w:t xml:space="preserve"> </w:t>
        </w:r>
        <w:r>
          <w:t xml:space="preserve">protocols, introducing potential survivorship bias (see Section 2.10.3</w:t>
        </w:r>
        <w:r>
          <w:t xml:space="preserve"> </w:t>
        </w:r>
        <w:r>
          <w:t xml:space="preserve">for planned inclusion of stagnated projects). We have not validated the</w:t>
        </w:r>
        <w:r>
          <w:t xml:space="preserve"> </w:t>
        </w:r>
        <w:r>
          <w:t xml:space="preserve">Synergy Index against outcome measures; Partial validation through case</w:t>
        </w:r>
        <w:r>
          <w:t xml:space="preserve"> </w:t>
        </w:r>
        <w:r>
          <w:t xml:space="preserve">evidence is reported separately, but a full validation study is future</w:t>
        </w:r>
        <w:r>
          <w:t xml:space="preserve"> </w:t>
        </w:r>
        <w:r>
          <w:t xml:space="preserve">work.</w:t>
        </w:r>
      </w:ins>
    </w:p>
    <w:p>
      <w:ins w:id="11006" w:author="R2 Revision" w:date="2026-05-19T00:00:00Z">
        <w:pPr>
          <w:pStyle w:val="BodyText"/>
        </w:pPr>
        <w:r>
          <w:t xml:space="preserve">Insider classification and tautology. The insider-concentration</w:t>
        </w:r>
        <w:r>
          <w:t xml:space="preserve"> </w:t>
        </w:r>
        <w:r>
          <w:t xml:space="preserve">correlation has a mechanical component, addressed through a non-insider</w:t>
        </w:r>
        <w:r>
          <w:t xml:space="preserve"> </w:t>
        </w:r>
        <w:r>
          <w:t xml:space="preserve">HHI decomposition (Section 3.4). The count-based measure survives; the</w:t>
        </w:r>
        <w:r>
          <w:t xml:space="preserve"> </w:t>
        </w:r>
        <w:r>
          <w:t xml:space="preserve">balance-based measure does not. The classification methodology depends</w:t>
        </w:r>
        <w:r>
          <w:t xml:space="preserve"> </w:t>
        </w:r>
        <w:r>
          <w:t xml:space="preserve">on Blockscout contract labels, which have lower coverage for</w:t>
        </w:r>
        <w:r>
          <w:t xml:space="preserve"> </w:t>
        </w:r>
        <w:r>
          <w:t xml:space="preserve">Solana-native protocols; io.net’s top-10 holders are all unclassified.</w:t>
        </w:r>
      </w:ins>
    </w:p>
    <w:p>
      <w:ins w:id="11007" w:author="R2 Revision" w:date="2026-05-19T00:00:00Z">
        <w:pPr>
          <w:pStyle w:val="BodyText"/>
        </w:pPr>
        <w:r>
          <w:t xml:space="preserve">The cross-sector subsidy analysis includes one extreme observation</w:t>
        </w:r>
        <w:r>
          <w:t xml:space="preserve"> </w:t>
        </w:r>
        <w:r>
          <w:t xml:space="preserve">(Livepeer, subsidy ratio 88.5x) that exerts disproportionate leverage on</w:t>
        </w:r>
        <w:r>
          <w:t xml:space="preserve"> </w:t>
        </w:r>
        <w:r>
          <w:t xml:space="preserve">the Pearson correlation. While this extreme subsidy reflects genuine</w:t>
        </w:r>
        <w:r>
          <w:t xml:space="preserve"> </w:t>
        </w:r>
        <w:r>
          <w:t xml:space="preserve">tokenomics rather than measurement error, the nominal Pearson</w:t>
        </w:r>
        <w:r>
          <w:t xml:space="preserve"> </w:t>
        </w:r>
        <w:r>
          <w:t xml:space="preserve">significance (p = 0.011) is driven entirely by this single data point;</w:t>
        </w:r>
        <w:r>
          <w:t xml:space="preserve"> </w:t>
        </w:r>
        <w:r>
          <w:t xml:space="preserve">the Spearman rank correlation shows no relationship (p = 0.60).</w:t>
        </w:r>
      </w:ins>
    </w:p>
    <w:p>
      <w:ins w:id="11008" w:author="R2 Revision" w:date="2026-05-19T00:00:00Z">
        <w:pPr>
          <w:pStyle w:val="BodyText"/>
        </w:pPr>
        <w:r>
          <w:t xml:space="preserve">The holding-based HHI captures token distribution but not the threshold</w:t>
        </w:r>
        <w:r>
          <w:t xml:space="preserve"> </w:t>
        </w:r>
        <w:r>
          <w:t xml:space="preserve">mechanics of weighted voting: a holder whose share approaches the</w:t>
        </w:r>
        <w:r>
          <w:t xml:space="preserve"> </w:t>
        </w:r>
        <w:r>
          <w:t xml:space="preserve">passage quota commands pivotal power disproportionate to their nominal</w:t>
        </w:r>
        <w:r>
          <w:t xml:space="preserve"> </w:t>
        </w:r>
        <w:r>
          <w:t xml:space="preserve">share (Motepalli et al., 2025). The HHI is a concentration measure of</w:t>
        </w:r>
        <w:r>
          <w:t xml:space="preserve"> </w:t>
        </w:r>
        <w:r>
          <w:t xml:space="preserve">shares; power indices measure pivotal-voter influence, namely how</w:t>
        </w:r>
        <w:r>
          <w:t xml:space="preserve"> </w:t>
        </w:r>
        <w:r>
          <w:t xml:space="preserve">often a given holder’s vote decides the outcome under specified quota</w:t>
        </w:r>
        <w:r>
          <w:t xml:space="preserve"> </w:t>
        </w:r>
        <w:r>
          <w:t xml:space="preserve">rules. The Shapley-Shubik power index (Shapley &amp; Shubik, 1954;</w:t>
        </w:r>
        <w:r>
          <w:t xml:space="preserve"> </w:t>
        </w:r>
        <w:r>
          <w:t xml:space="preserve">weighted by the proportion of permutations in which a given holder is</w:t>
        </w:r>
        <w:r>
          <w:t xml:space="preserve"> </w:t>
        </w:r>
        <w:r>
          <w:t xml:space="preserve">the pivotal vote) and the Banzhaf index (Banzhaf, 1968; weighted by</w:t>
        </w:r>
        <w:r>
          <w:t xml:space="preserve"> </w:t>
        </w:r>
        <w:r>
          <w:t xml:space="preserve">the proportion of winning coalitions in which the holder is critical)</w:t>
        </w:r>
        <w:r>
          <w:t xml:space="preserve"> </w:t>
        </w:r>
        <w:r>
          <w:t xml:space="preserve">are the canonical voting-theory complements to HHI: under threshold-</w:t>
        </w:r>
        <w:r>
          <w:t xml:space="preserve"> </w:t>
        </w:r>
        <w:r>
          <w:t xml:space="preserve">voting mechanisms, a holder’s pivotal probability can diverge</w:t>
        </w:r>
        <w:r>
          <w:t xml:space="preserve"> </w:t>
        </w:r>
        <w:r>
          <w:t xml:space="preserve">substantially from their nominal token share, particularly near</w:t>
        </w:r>
        <w:r>
          <w:t xml:space="preserve"> </w:t>
        </w:r>
        <w:r>
          <w:t xml:space="preserve">passage quota. We use HHI as the program-canonical concentration measure</w:t>
        </w:r>
        <w:r>
          <w:t xml:space="preserve"> </w:t>
        </w:r>
        <w:r>
          <w:t xml:space="preserve">because it is comparable across protocols regardless of</w:t>
        </w:r>
        <w:r>
          <w:t xml:space="preserve"> </w:t>
        </w:r>
        <w:r>
          <w:t xml:space="preserve">proposal-specific quota rules and is the standard in the</w:t>
        </w:r>
        <w:r>
          <w:t xml:space="preserve"> </w:t>
        </w:r>
        <w:r>
          <w:t xml:space="preserve">delegation-HHI literature this paper extends (Fritsch et al., 2024);</w:t>
        </w:r>
        <w:r>
          <w:t xml:space="preserve"> </w:t>
        </w:r>
        <w:r>
          <w:t xml:space="preserve">the Shapley-Shubik and Banzhaf power indices would refine the</w:t>
        </w:r>
        <w:r>
          <w:t xml:space="preserve"> </w:t>
        </w:r>
        <w:r>
          <w:t xml:space="preserve">cross-protocol comparison for individual proposals where</w:t>
        </w:r>
        <w:r>
          <w:t xml:space="preserve"> </w:t>
        </w:r>
        <w:r>
          <w:t xml:space="preserve">threshold-specific power matters, without changing the rank-ordering</w:t>
        </w:r>
        <w:r>
          <w:t xml:space="preserve"> </w:t>
        </w:r>
        <w:r>
          <w:t xml:space="preserve">of cross-sectional concentration that Section 3 documents. HHI is</w:t>
        </w:r>
        <w:r>
          <w:t xml:space="preserve"> </w:t>
        </w:r>
        <w:r>
          <w:t xml:space="preserve">additionally subject to value-validity limitations when distributions</w:t>
        </w:r>
        <w:r>
          <w:t xml:space="preserve"> </w:t>
        </w:r>
        <w:r>
          <w:t xml:space="preserve">are highly asymmetric (Kvålsøth, 2022a); the Gini coefficients reported</w:t>
        </w:r>
        <w:r>
          <w:t xml:space="preserve"> </w:t>
        </w:r>
        <w:r>
          <w:t xml:space="preserve">alongside HHI (Table 4) partially address this concern, and the moderate</w:t>
        </w:r>
        <w:r>
          <w:t xml:space="preserve"> </w:t>
        </w:r>
        <w:r>
          <w:t xml:space="preserve">correlation between the two metrics (r = 0.51) indicates they capture</w:t>
        </w:r>
        <w:r>
          <w:t xml:space="preserve"> </w:t>
        </w:r>
        <w:r>
          <w:t xml:space="preserve">distinct concentration dimensions. A companion methodological critique</w:t>
        </w:r>
        <w:r>
          <w:t xml:space="preserve"> </w:t>
        </w:r>
        <w:r>
          <w:t xml:space="preserve">of HHI’s structural properties reinforces the need for multi-metric</w:t>
        </w:r>
        <w:r>
          <w:t xml:space="preserve"> </w:t>
        </w:r>
        <w:r>
          <w:t xml:space="preserve">assessment in highly skewed governance distributions (Kvålsøth, 2022b).</w:t>
        </w:r>
        <w:r>
          <w:t xml:space="preserve"> </w:t>
        </w:r>
        <w:r>
          <w:t xml:space="preserve">The allocation design null (Section 3.4) is robust to these</w:t>
        </w:r>
        <w:r>
          <w:t xml:space="preserve"> </w:t>
        </w:r>
        <w:r>
          <w:t xml:space="preserve">methodological concerns because it tests whether initial allocation</w:t>
        </w:r>
        <w:r>
          <w:t xml:space="preserve"> </w:t>
        </w:r>
        <w:r>
          <w:t xml:space="preserve">predicts post-distribution concentration, a relationship that holds</w:t>
        </w:r>
        <w:r>
          <w:t xml:space="preserve"> </w:t>
        </w:r>
        <w:r>
          <w:t xml:space="preserve">under any monotonic concentration metric. Separately, ethnographic evidence</w:t>
        </w:r>
        <w:r>
          <w:t xml:space="preserve"> </w:t>
        </w:r>
        <w:r>
          <w:t xml:space="preserve">documents voter turnout below 10% in major DAOs (Calzada, 2025),</w:t>
        </w:r>
        <w:r>
          <w:t xml:space="preserve"> </w:t>
        </w:r>
        <w:r>
          <w:t xml:space="preserve">suggesting that effective governance concentration may exceed</w:t>
        </w:r>
        <w:r>
          <w:t xml:space="preserve"> </w:t>
        </w:r>
        <w:r>
          <w:t xml:space="preserve">holding-based HHI when participation rates are low;</w:t>
        </w:r>
        <w:r>
          <w:t xml:space="preserve"> </w:t>
        </w:r>
        <w:r>
          <w:t xml:space="preserve">participation-adjusted concentration metrics represent a measurement</w:t>
        </w:r>
        <w:r>
          <w:t xml:space="preserve"> </w:t>
        </w:r>
        <w:r>
          <w:t xml:space="preserve">priority for future work.</w:t>
        </w:r>
      </w:ins>
    </w:p>
    <w:p>
      <w:ins w:id="11009" w:author="R2 Revision" w:date="2026-05-19T00:00:00Z">
        <w:pPr>
          <w:pStyle w:val="BodyText"/>
        </w:pPr>
        <w:r>
          <w:t xml:space="preserve">More broadly, the Synergy Index measures institutional design intent,</w:t>
        </w:r>
        <w:r>
          <w:t xml:space="preserve"> </w:t>
        </w:r>
        <w:r>
          <w:t xml:space="preserve">not participant welfare. Protocols instrument token flows (burns,</w:t>
        </w:r>
        <w:r>
          <w:t xml:space="preserve"> </w:t>
        </w:r>
        <w:r>
          <w:t xml:space="preserve">transfers, governance votes) but not service outcomes (coverage quality,</w:t>
        </w:r>
        <w:r>
          <w:t xml:space="preserve"> </w:t>
        </w:r>
        <w:r>
          <w:t xml:space="preserve">latency, operator return-on-investment), a structural property of</w:t>
        </w:r>
        <w:r>
          <w:t xml:space="preserve"> </w:t>
        </w:r>
        <w:r>
          <w:t xml:space="preserve">on-chain data architectures rather than a limitation specific to this</w:t>
        </w:r>
        <w:r>
          <w:t xml:space="preserve"> </w:t>
        </w:r>
        <w:r>
          <w:t xml:space="preserve">study. Baygi, Introna, and Ostovar (2024) develop flow-oriented social</w:t>
        </w:r>
        <w:r>
          <w:t xml:space="preserve"> </w:t>
        </w:r>
        <w:r>
          <w:t xml:space="preserve">justice tests for online labor platforms using Sen’s framework,</w:t>
        </w:r>
        <w:r>
          <w:t xml:space="preserve"> </w:t>
        </w:r>
        <w:r>
          <w:t xml:space="preserve">measuring whether platform participation expands or constrains worker</w:t>
        </w:r>
        <w:r>
          <w:t xml:space="preserve"> </w:t>
        </w:r>
        <w:r>
          <w:t xml:space="preserve">capabilities over time; DePIN operators face analogous</w:t>
        </w:r>
        <w:r>
          <w:t xml:space="preserve"> </w:t>
        </w:r>
        <w:r>
          <w:t xml:space="preserve">trajectory-dependent welfare dynamics as token prices, subsidy</w:t>
        </w:r>
        <w:r>
          <w:t xml:space="preserve"> </w:t>
        </w:r>
        <w:r>
          <w:t xml:space="preserve">schedules, and network demand shift, but no comparable measurement</w:t>
        </w:r>
        <w:r>
          <w:t xml:space="preserve"> </w:t>
        </w:r>
        <w:r>
          <w:t xml:space="preserve">infrastructure exists for tokenized infrastructure systems. Connecting</w:t>
        </w:r>
        <w:r>
          <w:t xml:space="preserve"> </w:t>
        </w:r>
        <w:r>
          <w:t xml:space="preserve">institutional design quality to participant-level welfare requires</w:t>
        </w:r>
        <w:r>
          <w:t xml:space="preserve"> </w:t>
        </w:r>
        <w:r>
          <w:t xml:space="preserve">instrumentation that does not yet exist in the DePIN ecosystem; this</w:t>
        </w:r>
        <w:r>
          <w:t xml:space="preserve"> </w:t>
        </w:r>
        <w:r>
          <w:t xml:space="preserve">welfare measurement gap represents the most consequential evidence</w:t>
        </w:r>
        <w:r>
          <w:t xml:space="preserve"> </w:t>
        </w:r>
        <w:r>
          <w:t xml:space="preserve">frontier for future work.</w:t>
        </w:r>
      </w:ins>
    </w:p>
    <w:p>
      <w:ins w:id="11010" w:author="R2 Revision" w:date="2026-05-19T00:00:00Z">
        <w:pPr>
          <w:pStyle w:val="BodyText"/>
        </w:pPr>
        <w:r>
          <w:t xml:space="preserve">Cross-referenced limitations discussed in other sections. Several</w:t>
        </w:r>
        <w:r>
          <w:t xml:space="preserve"> </w:t>
        </w:r>
        <w:r>
          <w:t xml:space="preserve">additional limitations are documented in context throughout the paper</w:t>
        </w:r>
        <w:r>
          <w:t xml:space="preserve"> </w:t>
        </w:r>
        <w:r>
          <w:t xml:space="preserve">rather than re-stated here. The Tally and Snapshot voting-power</w:t>
        </w:r>
        <w:r>
          <w:t xml:space="preserve"> </w:t>
        </w:r>
        <w:r>
          <w:t xml:space="preserve">distributions can drift materially over multi-month windows</w:t>
        </w:r>
        <w:r>
          <w:t xml:space="preserve"> </w:t>
        </w:r>
        <w:r>
          <w:t xml:space="preserve">(Section 2.10.3 snapshot date discipline); rank-ordering across</w:t>
        </w:r>
        <w:r>
          <w:t xml:space="preserve"> </w:t>
        </w:r>
        <w:r>
          <w:t xml:space="preserve">protocols is the more durable inferential property than absolute</w:t>
        </w:r>
        <w:r>
          <w:t xml:space="preserve"> </w:t>
        </w:r>
        <w:r>
          <w:t xml:space="preserve">voting-HHI magnitude. The PCA-classification choice between the</w:t>
        </w:r>
        <w:r>
          <w:t xml:space="preserve"> </w:t>
        </w:r>
        <w:r>
          <w:t xml:space="preserve">five-class typology applied in this paper and stricter alternative</w:t>
        </w:r>
        <w:r>
          <w:t xml:space="preserve"> </w:t>
        </w:r>
        <w:r>
          <w:t xml:space="preserve">specifications affects whether the cross-sector Mann-Whitney test</w:t>
        </w:r>
        <w:r>
          <w:t xml:space="preserve"> </w:t>
        </w:r>
        <w:r>
          <w:t xml:space="preserve">reaches conventional significance: Specs A and B (canonical 5-class</w:t>
        </w:r>
        <w:r>
          <w:t xml:space="preserve"> </w:t>
        </w:r>
        <w:r>
          <w:t xml:space="preserve">or drop-Class-5-only) retain p &lt; 0.05; Specs C through E (progressive</w:t>
        </w:r>
        <w:r>
          <w:t xml:space="preserve"> </w:t>
        </w:r>
        <w:r>
          <w:t xml:space="preserve">exclusion-strictness reductions) lose statistical significance</w:t>
        </w:r>
        <w:r>
          <w:t xml:space="preserve"> </w:t>
        </w:r>
        <w:r>
          <w:t xml:space="preserve">while preserving the direction of the sector contrast (Section 3.7</w:t>
        </w:r>
        <w:r>
          <w:t xml:space="preserve"> </w:t>
        </w:r>
        <w:r>
          <w:t xml:space="preserve">PCA-classification robustness paragraph). The Model 3 OLS sector</w:t>
        </w:r>
        <w:r>
          <w:t xml:space="preserve"> </w:t>
        </w:r>
        <w:r>
          <w:t xml:space="preserve">coefficient falls just above the conventional 0.05 threshold at p =</w:t>
        </w:r>
        <w:r>
          <w:t xml:space="preserve"> </w:t>
        </w:r>
        <w:r>
          <w:t xml:space="preserve">0.060 under the full control set; bootstrap analysis (5,000</w:t>
        </w:r>
        <w:r>
          <w:t xml:space="preserve"> </w:t>
        </w:r>
        <w:r>
          <w:t xml:space="preserve">resamples) yields a sector-coefficient 95% percentile interval</w:t>
        </w:r>
        <w:r>
          <w:t xml:space="preserve"> </w:t>
        </w:r>
        <w:r>
          <w:t xml:space="preserve">strictly above zero ([+0.006, +0.107]), and the Model 3 attenuation</w:t>
        </w:r>
        <w:r>
          <w:t xml:space="preserve"> </w:t>
        </w:r>
        <w:r>
          <w:t xml:space="preserve">relative to Models 1 and 2 is attributable to partial collinearity</w:t>
        </w:r>
        <w:r>
          <w:t xml:space="preserve"> </w:t>
        </w:r>
        <w:r>
          <w:t xml:space="preserve">between the DePIN dummy and the insider-allocation control rather</w:t>
        </w:r>
        <w:r>
          <w:t xml:space="preserve"> </w:t>
        </w:r>
        <w:r>
          <w:t xml:space="preserve">than fragility of the sector effect (Section 3.4 bootstrap robustness</w:t>
        </w:r>
        <w:r>
          <w:t xml:space="preserve"> </w:t>
        </w:r>
        <w:r>
          <w:t xml:space="preserve">paragraph). The Aethir holding HHI carries snapshot drift from</w:t>
        </w:r>
        <w:r>
          <w:t xml:space="preserve"> </w:t>
        </w:r>
        <w:r>
          <w:t xml:space="preserve">March 2026 to May 2026: the May 2026 direct top-1,000 Dune pull</w:t>
        </w:r>
        <w:r>
          <w:t xml:space="preserve"> </w:t>
        </w:r>
        <w:r>
          <w:t xml:space="preserve">under the canonical post-PCA-exclusion methodology yields HHI 0.087</w:t>
        </w:r>
        <w:r>
          <w:t xml:space="preserve"> </w:t>
        </w:r>
        <w:r>
          <w:t xml:space="preserve">(Table 4 footnote); rank-ordering is preserved across snapshots. Finally, the</w:t>
        </w:r>
        <w:r>
          <w:t xml:space="preserve"> </w:t>
        </w:r>
        <w:r>
          <w:t xml:space="preserve">permutation-test methodology choice (two-sided versus one-sided;</w:t>
        </w:r>
        <w:r>
          <w:t xml:space="preserve"> </w:t>
        </w:r>
        <w:r>
          <w:t xml:space="preserve">10,000 versus 100,000 reassignments) affects the precise p-value</w:t>
        </w:r>
        <w:r>
          <w:t xml:space="preserve"> </w:t>
        </w:r>
        <w:r>
          <w:t xml:space="preserve">quoted but not the direction of the inference: under all methodology</w:t>
        </w:r>
        <w:r>
          <w:t xml:space="preserve"> </w:t>
        </w:r>
        <w:r>
          <w:t xml:space="preserve">choices documented in this paper, the DePIN-versus-DeFi permutation</w:t>
        </w:r>
        <w:r>
          <w:t xml:space="preserve"> </w:t>
        </w:r>
        <w:r>
          <w:t xml:space="preserve">test rejects the null at p &lt; 0.05.</w:t>
        </w:r>
      </w:ins>
    </w:p>
    <w:bookmarkEnd w:id="119"/>
    <w:bookmarkStart w:id="121" w:name="future-research"/>
    <w:p>
      <w:ins w:id="11011" w:author="R2 Revision" w:date="2026-05-19T00:00:00Z">
        <w:pPr>
          <w:pStyle w:val="Heading2"/>
        </w:pPr>
        <w:r>
          <w:t xml:space="preserve">4.9 Future Research</w:t>
        </w:r>
      </w:ins>
    </w:p>
    <w:p>
      <w:ins w:id="11012" w:author="R2 Revision" w:date="2026-05-19T00:00:00Z">
        <w:pPr>
          <w:pStyle w:val="FirstParagraph"/>
        </w:pPr>
        <w:r>
          <w:t xml:space="preserve">Four research directions have highest priority. First, longitudinal</w:t>
        </w:r>
        <w:r>
          <w:t xml:space="preserve"> </w:t>
        </w:r>
        <w:r>
          <w:t xml:space="preserve">governance tracking: monthly snapshots of HHI and Gini across the full</w:t>
        </w:r>
        <w:r>
          <w:t xml:space="preserve"> </w:t>
        </w:r>
        <w:r>
          <w:t xml:space="preserve">sample would convert the current cross-section into a panel dataset,</w:t>
        </w:r>
        <w:r>
          <w:t xml:space="preserve"> </w:t>
        </w:r>
        <w:r>
          <w:t xml:space="preserve">enabling analysis of deconcentration trajectories and the governance</w:t>
        </w:r>
        <w:r>
          <w:t xml:space="preserve"> </w:t>
        </w:r>
        <w:r>
          <w:t xml:space="preserve">effects of specific reform events (e.g., delegation program launches,</w:t>
        </w:r>
        <w:r>
          <w:t xml:space="preserve"> </w:t>
        </w:r>
        <w:r>
          <w:t xml:space="preserve">vesting cliff expirations). A companion panel analysis of quarterly HHI</w:t>
        </w:r>
        <w:r>
          <w:t xml:space="preserve"> </w:t>
        </w:r>
        <w:r>
          <w:t xml:space="preserve">trajectories for 14 governance tokens (</w:t>
        </w:r>
        <w:hyperlink r:id="rId120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S7</w:t>
          </w:r>
        </w:hyperlink>
        <w:r>
          <w:t xml:space="preserve">)</w:t>
        </w:r>
        <w:r>
          <w:t xml:space="preserve"> </w:t>
        </w:r>
        <w:r>
          <w:t xml:space="preserve">documents that 11 of 14 protocols exhibit monotonic governance HHI decay</w:t>
        </w:r>
        <w:r>
          <w:t xml:space="preserve"> </w:t>
        </w:r>
        <w:r>
          <w:t xml:space="preserve">over 24 months post-token-generation event, with vote-escrow (CRV),</w:t>
        </w:r>
        <w:r>
          <w:t xml:space="preserve"> </w:t>
        </w:r>
        <w:r>
          <w:t xml:space="preserve">reservoir-drip (COMP), and claim-window (ENS) designs as exceptions;</w:t>
        </w:r>
        <w:r>
          <w:t xml:space="preserve"> </w:t>
        </w:r>
        <w:r>
          <w:t xml:space="preserve">this longitudinal pattern is consistent with the cross-sectional</w:t>
        </w:r>
        <w:r>
          <w:t xml:space="preserve"> </w:t>
        </w:r>
        <w:r>
          <w:t xml:space="preserve">allocation null reported in Section 3.4.</w:t>
        </w:r>
      </w:ins>
    </w:p>
    <w:p>
      <w:ins w:id="11013" w:author="R2 Revision" w:date="2026-05-19T00:00:00Z">
        <w:pPr>
          <w:pStyle w:val="BodyText"/>
        </w:pPr>
        <w:r>
          <w:t xml:space="preserve">Second, sample expansion: the current cross-section of 40 protocols</w:t>
        </w:r>
        <w:r>
          <w:t xml:space="preserve"> </w:t>
        </w:r>
        <w:r>
          <w:t xml:space="preserve">supports descriptive analysis; expanding the sample to 50 to 60</w:t>
        </w:r>
        <w:r>
          <w:t xml:space="preserve"> </w:t>
        </w:r>
        <w:r>
          <w:t xml:space="preserve">protocols would enable the regression, panel, and event-study analyses</w:t>
        </w:r>
        <w:r>
          <w:t xml:space="preserve"> </w:t>
        </w:r>
        <w:r>
          <w:t xml:space="preserve">currently specified as replication-ready designs.</w:t>
        </w:r>
      </w:ins>
    </w:p>
    <w:p>
      <w:ins w:id="11014" w:author="R2 Revision" w:date="2026-05-19T00:00:00Z">
        <w:pPr>
          <w:pStyle w:val="BodyText"/>
        </w:pPr>
        <w:r>
          <w:t xml:space="preserve">Third, inter-rater reliability: recruiting independent scorers to apply</w:t>
        </w:r>
        <w:r>
          <w:t xml:space="preserve"> </w:t>
        </w:r>
        <w:r>
          <w:t xml:space="preserve">the rubric to overlapping protocol subsets would test whether the</w:t>
        </w:r>
        <w:r>
          <w:t xml:space="preserve"> </w:t>
        </w:r>
        <w:r>
          <w:t xml:space="preserve">philosophical lens scores are reproducible and would strengthen the</w:t>
        </w:r>
        <w:r>
          <w:t xml:space="preserve"> </w:t>
        </w:r>
        <w:r>
          <w:t xml:space="preserve">measurement claim.</w:t>
        </w:r>
      </w:ins>
    </w:p>
    <w:p>
      <w:ins w:id="11015" w:author="R2 Revision" w:date="2026-05-19T00:00:00Z">
        <w:pPr>
          <w:pStyle w:val="BodyText"/>
        </w:pPr>
        <w:r>
          <w:t xml:space="preserve">Fourth, extending concentration measurement from holding-based HHI to</w:t>
        </w:r>
        <w:r>
          <w:t xml:space="preserve"> </w:t>
        </w:r>
        <w:r>
          <w:t xml:space="preserve">coalition-based power indices (Shapley &amp; Shubik, 1954; Banzhaf, 1968)</w:t>
        </w:r>
        <w:r>
          <w:t xml:space="preserve"> </w:t>
        </w:r>
        <w:r>
          <w:t xml:space="preserve">would quantify whether token holders’ probability of being pivotal in</w:t>
        </w:r>
        <w:r>
          <w:t xml:space="preserve"> </w:t>
        </w:r>
        <w:r>
          <w:t xml:space="preserve">governance votes diverges from their nominal share. Quorum thresholds</w:t>
        </w:r>
        <w:r>
          <w:t xml:space="preserve"> </w:t>
        </w:r>
        <w:r>
          <w:t xml:space="preserve">create non-linear power</w:t>
        </w:r>
        <w:r>
          <w:t xml:space="preserve"> </w:t>
        </w:r>
        <w:r>
          <w:t xml:space="preserve">scaling: a holder’s pivotal probability can diverge substantially from</w:t>
        </w:r>
        <w:r>
          <w:t xml:space="preserve"> </w:t>
        </w:r>
        <w:r>
          <w:t xml:space="preserve">their nominal share when quorum thresholds bind near the median of the</w:t>
        </w:r>
        <w:r>
          <w:t xml:space="preserve"> </w:t>
        </w:r>
        <w:r>
          <w:t xml:space="preserve">holding distribution. The 8 protocols with Tally or Snapshot governance</w:t>
        </w:r>
        <w:r>
          <w:t xml:space="preserve"> </w:t>
        </w:r>
        <w:r>
          <w:t xml:space="preserve">data in the current sample provide a natural starting point, and the</w:t>
        </w:r>
        <w:r>
          <w:t xml:space="preserve"> </w:t>
        </w:r>
        <w:r>
          <w:t xml:space="preserve">delegation amplification ratios documented in Section 3.5 suggest the</w:t>
        </w:r>
        <w:r>
          <w:t xml:space="preserve"> </w:t>
        </w:r>
        <w:r>
          <w:t xml:space="preserve">divergence reflects institutional design choices that vary within sector</w:t>
        </w:r>
        <w:r>
          <w:t xml:space="preserve"> </w:t>
        </w:r>
        <w:r>
          <w:t xml:space="preserve">category, as the heterogeneous outcomes between Optimism and Arbitrum</w:t>
        </w:r>
        <w:r>
          <w:t xml:space="preserve"> </w:t>
        </w:r>
        <w:r>
          <w:t xml:space="preserve">demonstrate. Recent game-theoretic results demonstrate that Shapley-based reward</w:t>
        </w:r>
        <w:r>
          <w:t xml:space="preserve"> </w:t>
        </w:r>
        <w:r>
          <w:t xml:space="preserve">distributions achieve bounded Price of Stability (4/3; an</w:t>
        </w:r>
        <w:r>
          <w:t xml:space="preserve"> </w:t>
        </w:r>
        <w:r>
          <w:t xml:space="preserve">efficiency-loss bound on equilibrium outcomes relative to the</w:t>
        </w:r>
        <w:r>
          <w:t xml:space="preserve"> </w:t>
        </w:r>
        <w:r>
          <w:t xml:space="preserve">welfare-optimal allocation) in oceanic staking models while inherently</w:t>
        </w:r>
        <w:r>
          <w:t xml:space="preserve"> </w:t>
        </w:r>
        <w:r>
          <w:t xml:space="preserve">resisting Sybil stake-splitting attacks (where a single actor creates</w:t>
        </w:r>
        <w:r>
          <w:t xml:space="preserve"> </w:t>
        </w:r>
        <w:r>
          <w:t xml:space="preserve">multiple pseudonymous identities to claim greater stake-weighted</w:t>
        </w:r>
        <w:r>
          <w:t xml:space="preserve"> </w:t>
        </w:r>
        <w:r>
          <w:t xml:space="preserve">rewards than their actual capital warrants; Kiayias et al., 2025),</w:t>
        </w:r>
        <w:r>
          <w:t xml:space="preserve"> </w:t>
        </w:r>
        <w:r>
          <w:t xml:space="preserve">indicating that this measurement extension is both theoretically</w:t>
        </w:r>
        <w:r>
          <w:t xml:space="preserve"> </w:t>
        </w:r>
        <w:r>
          <w:t xml:space="preserve">grounded and computationally feasible for the sample sizes in the</w:t>
        </w:r>
        <w:r>
          <w:t xml:space="preserve"> </w:t>
        </w:r>
        <w:r>
          <w:t xml:space="preserve">current dataset.</w:t>
        </w:r>
      </w:ins>
    </w:p>
    <w:p>
      <w:ins w:id="11016" w:author="R2 Revision" w:date="2026-05-19T00:00:00Z">
        <w:pPr>
          <w:pStyle w:val="BodyText"/>
        </w:pPr>
        <w:r>
          <w:t xml:space="preserve">Falsifiable forward claims. The cross-sectional design supports four</w:t>
        </w:r>
        <w:r>
          <w:t xml:space="preserve"> </w:t>
        </w:r>
        <w:r>
          <w:t xml:space="preserve">falsifiable predictions about subsequent cross-protocol governance</w:t>
        </w:r>
        <w:r>
          <w:t xml:space="preserve"> </w:t>
        </w:r>
        <w:r>
          <w:t xml:space="preserve">trajectories, each with an explicit operationalization that future</w:t>
        </w:r>
        <w:r>
          <w:t xml:space="preserve"> </w:t>
        </w:r>
        <w:r>
          <w:t xml:space="preserve">panel-data and event-study work can test.</w:t>
        </w:r>
      </w:ins>
    </w:p>
    <w:p>
      <w:ins w:id="11017" w:author="R2 Revision" w:date="2026-05-19T00:00:00Z">
        <w:pPr>
          <w:pStyle w:val="BodyText"/>
        </w:pPr>
        <w:r>
          <w:t xml:space="preserve">Prediction 1 (sector persistence). If governance concentration tracks</w:t>
        </w:r>
        <w:r>
          <w:t xml:space="preserve"> </w:t>
        </w:r>
        <w:r>
          <w:t xml:space="preserve">sector membership, DePIN protocols launching in 2026 or 2027 will, on</w:t>
        </w:r>
        <w:r>
          <w:t xml:space="preserve"> </w:t>
        </w:r>
        <w:r>
          <w:t xml:space="preserve">average, exhibit higher post-distribution holding HHI than DeFi</w:t>
        </w:r>
        <w:r>
          <w:t xml:space="preserve"> </w:t>
        </w:r>
        <w:r>
          <w:t xml:space="preserve">protocols launching in the same period, conditional on launch year</w:t>
        </w:r>
        <w:r>
          <w:t xml:space="preserve"> </w:t>
        </w:r>
        <w:r>
          <w:t xml:space="preserve">and initial insider allocation similarity. Operationalization: for</w:t>
        </w:r>
        <w:r>
          <w:t xml:space="preserve"> </w:t>
        </w:r>
        <w:r>
          <w:t xml:space="preserve">each protocol in the entry cohort, compute holding HHI at the</w:t>
        </w:r>
        <w:r>
          <w:t xml:space="preserve"> </w:t>
        </w:r>
        <w:r>
          <w:t xml:space="preserve">T+12-month and T+24-month marks under the PCA-symmetric exclusion</w:t>
        </w:r>
        <w:r>
          <w:t xml:space="preserve"> </w:t>
        </w:r>
        <w:r>
          <w:t xml:space="preserve">methodology applied in this paper (per Section 2.10.10). Test:</w:t>
        </w:r>
        <w:r>
          <w:t xml:space="preserve"> </w:t>
        </w:r>
        <w:r>
          <w:t xml:space="preserve">Mann-Whitney comparing the DePIN-cohort and DeFi-cohort holding HHI</w:t>
        </w:r>
        <w:r>
          <w:t xml:space="preserve"> </w:t>
        </w:r>
        <w:r>
          <w:t xml:space="preserve">distributions. The prediction is falsified if the cohort-level</w:t>
        </w:r>
        <w:r>
          <w:t xml:space="preserve"> </w:t>
        </w:r>
        <w:r>
          <w:t xml:space="preserve">Mann-Whitney p-value exceeds 0.10 across both time points or if the</w:t>
        </w:r>
        <w:r>
          <w:t xml:space="preserve"> </w:t>
        </w:r>
        <w:r>
          <w:t xml:space="preserve">sign of the median difference reverses (DeFi exceeds DePIN).</w:t>
        </w:r>
      </w:ins>
    </w:p>
    <w:p>
      <w:ins w:id="11018" w:author="R2 Revision" w:date="2026-05-19T00:00:00Z">
        <w:pPr>
          <w:pStyle w:val="BodyText"/>
        </w:pPr>
        <w:r>
          <w:t xml:space="preserve">Prediction 2 (delegation amplification universality). Any protocol</w:t>
        </w:r>
        <w:r>
          <w:t xml:space="preserve"> </w:t>
        </w:r>
        <w:r>
          <w:t xml:space="preserve">introducing a formal delegate-program after the snapshot dates used</w:t>
        </w:r>
        <w:r>
          <w:t xml:space="preserve"> </w:t>
        </w:r>
        <w:r>
          <w:t xml:space="preserve">in this analysis (or expanding from informal to formal delegation)</w:t>
        </w:r>
        <w:r>
          <w:t xml:space="preserve"> </w:t>
        </w:r>
        <w:r>
          <w:t xml:space="preserve">will produce voting HHI greater than its holding HHI within twelve</w:t>
        </w:r>
        <w:r>
          <w:t xml:space="preserve"> </w:t>
        </w:r>
        <w:r>
          <w:t xml:space="preserve">months of the program launch, with the amplification magnitude</w:t>
        </w:r>
        <w:r>
          <w:t xml:space="preserve"> </w:t>
        </w:r>
        <w:r>
          <w:t xml:space="preserve">varying by delegate-program design rather than by sector. Operation-</w:t>
        </w:r>
        <w:r>
          <w:t xml:space="preserve"> </w:t>
        </w:r>
        <w:r>
          <w:t xml:space="preserve">alization: compute the protocol’s holding HHI under the PCA-symmetric</w:t>
        </w:r>
        <w:r>
          <w:t xml:space="preserve"> </w:t>
        </w:r>
        <w:r>
          <w:t xml:space="preserve">exclusion methodology and its voting HHI using Tally or Snapshot</w:t>
        </w:r>
        <w:r>
          <w:t xml:space="preserve"> </w:t>
        </w:r>
        <w:r>
          <w:t xml:space="preserve">delegate voting power at T+6, T+9, and T+12 months post-launch. The</w:t>
        </w:r>
        <w:r>
          <w:t xml:space="preserve"> </w:t>
        </w:r>
        <w:r>
          <w:t xml:space="preserve">prediction is falsified if any of these post-launch protocols</w:t>
        </w:r>
        <w:r>
          <w:t xml:space="preserve"> </w:t>
        </w:r>
        <w:r>
          <w:t xml:space="preserve">produces voting HHI less than holding HHI at the T+12-month mark</w:t>
        </w:r>
        <w:r>
          <w:t xml:space="preserve"> </w:t>
        </w:r>
        <w:r>
          <w:t xml:space="preserve">(structural-dispersion case in the ENS direction; falsifies the</w:t>
        </w:r>
        <w:r>
          <w:t xml:space="preserve"> </w:t>
        </w:r>
        <w:r>
          <w:t xml:space="preserve">universality claim) or if amplification magnitude correlates with</w:t>
        </w:r>
        <w:r>
          <w:t xml:space="preserve"> </w:t>
        </w:r>
        <w:r>
          <w:t xml:space="preserve">sector membership rather than with delegate-program design choices.</w:t>
        </w:r>
      </w:ins>
    </w:p>
    <w:p>
      <w:ins w:id="11019" w:author="R2 Revision" w:date="2026-05-19T00:00:00Z">
        <w:pPr>
          <w:pStyle w:val="BodyText"/>
        </w:pPr>
        <w:r>
          <w:t xml:space="preserve">Prediction 3 (insider-retention persistence). Protocols whose insider</w:t>
        </w:r>
        <w:r>
          <w:t xml:space="preserve"> </w:t>
        </w:r>
        <w:r>
          <w:t xml:space="preserve">fraction of top-10 holders increases between the March 2026 baseline</w:t>
        </w:r>
        <w:r>
          <w:t xml:space="preserve"> </w:t>
        </w:r>
        <w:r>
          <w:t xml:space="preserve">and a subsequent measurement will, on average, exhibit increased</w:t>
        </w:r>
        <w:r>
          <w:t xml:space="preserve"> </w:t>
        </w:r>
        <w:r>
          <w:t xml:space="preserve">holding HHI over the same period; protocols whose insider fraction</w:t>
        </w:r>
        <w:r>
          <w:t xml:space="preserve"> </w:t>
        </w:r>
        <w:r>
          <w:t xml:space="preserve">decreases will exhibit decreased holding HHI. Operationalization:</w:t>
        </w:r>
        <w:r>
          <w:t xml:space="preserve"> </w:t>
        </w:r>
        <w:r>
          <w:t xml:space="preserve">panel measurement of the insider-fraction-of-top-10-holders variable</w:t>
        </w:r>
        <w:r>
          <w:t xml:space="preserve"> </w:t>
        </w:r>
        <w:r>
          <w:t xml:space="preserve">and holding HHI at quarterly intervals; the prediction is falsified</w:t>
        </w:r>
        <w:r>
          <w:t xml:space="preserve"> </w:t>
        </w:r>
        <w:r>
          <w:t xml:space="preserve">if the cross-protocol within-protocol correlation between</w:t>
        </w:r>
        <w:r>
          <w:t xml:space="preserve"> </w:t>
        </w:r>
        <w:r>
          <w:t xml:space="preserve">insider-fraction change and HHI change is not statistically</w:t>
        </w:r>
        <w:r>
          <w:t xml:space="preserve"> </w:t>
        </w:r>
        <w:r>
          <w:t xml:space="preserve">distinguishable from zero (Spearman rho &lt; 0.20 with 95% CI including</w:t>
        </w:r>
        <w:r>
          <w:t xml:space="preserve"> </w:t>
        </w:r>
        <w:r>
          <w:t xml:space="preserve">zero).</w:t>
        </w:r>
      </w:ins>
    </w:p>
    <w:p>
      <w:ins w:id="11020" w:author="R2 Revision" w:date="2026-05-19T00:00:00Z">
        <w:pPr>
          <w:pStyle w:val="BodyText"/>
        </w:pPr>
        <w:r>
          <w:t xml:space="preserve">Prediction 4 (delegate-program design as moderator). Among protocols</w:t>
        </w:r>
        <w:r>
          <w:t xml:space="preserve"> </w:t>
        </w:r>
        <w:r>
          <w:t xml:space="preserve">in Prediction 2’s post-launch set, those that adopt broad-community-</w:t>
        </w:r>
        <w:r>
          <w:t xml:space="preserve"> </w:t>
        </w:r>
        <w:r>
          <w:t xml:space="preserve">delegate distribution design choices (recurring delegate compensation;</w:t>
        </w:r>
        <w:r>
          <w:t xml:space="preserve"> </w:t>
        </w:r>
        <w:r>
          <w:t xml:space="preserve">public delegate platforms; active recruitment of long-form policy</w:t>
        </w:r>
        <w:r>
          <w:t xml:space="preserve"> </w:t>
        </w:r>
        <w:r>
          <w:t xml:space="preserve">positions) will exhibit lower amplification ratios than those that</w:t>
        </w:r>
        <w:r>
          <w:t xml:space="preserve"> </w:t>
        </w:r>
        <w:r>
          <w:t xml:space="preserve">do not. Operationalization: code each post-launch protocol on a</w:t>
        </w:r>
        <w:r>
          <w:t xml:space="preserve"> </w:t>
        </w:r>
        <w:r>
          <w:t xml:space="preserve">binary indicator for broad-community-delegate-distribution design;</w:t>
        </w:r>
        <w:r>
          <w:t xml:space="preserve"> </w:t>
        </w:r>
        <w:r>
          <w:t xml:space="preserve">test whether the indicator predicts amplification ratio. Falsified</w:t>
        </w:r>
        <w:r>
          <w:t xml:space="preserve"> </w:t>
        </w:r>
        <w:r>
          <w:t xml:space="preserve">if the design-indicator coefficient does not differ from zero at</w:t>
        </w:r>
        <w:r>
          <w:t xml:space="preserve"> </w:t>
        </w:r>
        <w:r>
          <w:t xml:space="preserve">p &lt; 0.10 in a regression of amplification ratio on design choice,</w:t>
        </w:r>
        <w:r>
          <w:t xml:space="preserve"> </w:t>
        </w:r>
        <w:r>
          <w:t xml:space="preserve">sector dummies, and protocol-age control.</w:t>
        </w:r>
      </w:ins>
    </w:p>
    <w:p>
      <w:ins w:id="11021" w:author="R2 Revision" w:date="2026-05-19T00:00:00Z">
        <w:pPr>
          <w:pStyle w:val="BodyText"/>
        </w:pPr>
        <w:r>
          <w:t xml:space="preserve">Methodology inheritance. All four predictions inherit the methodology</w:t>
        </w:r>
        <w:r>
          <w:t xml:space="preserve"> </w:t>
        </w:r>
        <w:r>
          <w:t xml:space="preserve">applied in this paper: PCA-symmetric exclusion via the five-class</w:t>
        </w:r>
        <w:r>
          <w:t xml:space="preserve"> </w:t>
        </w:r>
        <w:r>
          <w:t xml:space="preserve">typology codified in Section 2.10.10; HHI computed on the post-</w:t>
        </w:r>
        <w:r>
          <w:t xml:space="preserve"> </w:t>
        </w:r>
        <w:r>
          <w:t xml:space="preserve">exclusion top-1,000 holder distribution; Mann-Whitney for two-sample</w:t>
        </w:r>
        <w:r>
          <w:t xml:space="preserve"> </w:t>
        </w:r>
        <w:r>
          <w:t xml:space="preserve">tests; bootstrap 95% percentile intervals for effect-size robustness.</w:t>
        </w:r>
      </w:ins>
    </w:p>
    <w:p>
      <w:ins w:id="11022" w:author="R2 Revision" w:date="2026-05-19T00:00:00Z">
        <w:pPr>
          <w:pStyle w:val="BodyText"/>
        </w:pPr>
        <w:r>
          <w:t xml:space="preserve">Pre-registration commitment. The hypothesis specifications, statistical</w:t>
        </w:r>
        <w:r>
          <w:t xml:space="preserve"> </w:t>
        </w:r>
        <w:r>
          <w:t xml:space="preserve">tests, and falsification thresholds above will be deposited as a</w:t>
        </w:r>
        <w:r>
          <w:t xml:space="preserve"> </w:t>
        </w:r>
        <w:r>
          <w:t xml:space="preserve">pre-registration document on the Open Science Framework (OSF) prior</w:t>
        </w:r>
        <w:r>
          <w:t xml:space="preserve"> </w:t>
        </w:r>
        <w:r>
          <w:t xml:space="preserve">to data collection for any panel-data or event-study extension of</w:t>
        </w:r>
        <w:r>
          <w:t xml:space="preserve"> </w:t>
        </w:r>
        <w:r>
          <w:t xml:space="preserve">this cross-sectional analysis. The pre-registration DOI will be</w:t>
        </w:r>
        <w:r>
          <w:t xml:space="preserve"> </w:t>
        </w:r>
        <w:r>
          <w:t xml:space="preserve">incorporated into the replication-repository README and Supplementary</w:t>
        </w:r>
        <w:r>
          <w:t xml:space="preserve"> </w:t>
        </w:r>
        <w:r>
          <w:t xml:space="preserve">File S5 (pipeline specification) on deposit; the commitment is to</w:t>
        </w:r>
        <w:r>
          <w:t xml:space="preserve"> </w:t>
        </w:r>
        <w:r>
          <w:t xml:space="preserve">fix the hypothesis text and analysis plan before the data is</w:t>
        </w:r>
        <w:r>
          <w:t xml:space="preserve"> </w:t>
        </w:r>
        <w:r>
          <w:t xml:space="preserve">collected, addressing the multiple-comparisons concerns inherent in</w:t>
        </w:r>
        <w:r>
          <w:t xml:space="preserve"> </w:t>
        </w:r>
        <w:r>
          <w:t xml:space="preserve">post-hoc cross-sectional descriptive analysis.</w:t>
        </w:r>
      </w:ins>
    </w:p>
    <w:p>
      <w:ins w:id="11023" w:author="R2 Revision" w:date="2026-05-19T00:00:00Z">
        <w:pPr>
          <w:pStyle w:val="BodyText"/>
        </w:pPr>
        <w:r>
          <w:t xml:space="preserve">Reproducibility and data availability. The 40-protocol governance</w:t>
        </w:r>
        <w:r>
          <w:t xml:space="preserve"> </w:t>
        </w:r>
        <w:r>
          <w:t xml:space="preserve">concentration dataset, exclusions log (126 protocol-controlled address</w:t>
        </w:r>
        <w:r>
          <w:t xml:space="preserve"> </w:t>
        </w:r>
        <w:r>
          <w:t xml:space="preserve">exclusions across 38 protocols documented in exclusions_log.csv), the</w:t>
        </w:r>
        <w:r>
          <w:t xml:space="preserve"> </w:t>
        </w:r>
        <w:r>
          <w:t xml:space="preserve">canonical regression dataset including Token Terminal subsidy ratios</w:t>
        </w:r>
        <w:r>
          <w:t xml:space="preserve"> </w:t>
        </w:r>
        <w:r>
          <w:t xml:space="preserve">and on-chain financial data, the Hivemapper / io.net / Aethir holder</w:t>
        </w:r>
        <w:r>
          <w:t xml:space="preserve"> </w:t>
        </w:r>
        <w:r>
          <w:t xml:space="preserve">distributions used for the Table 4 supplementary collection, the veCRV cumulative</w:t>
        </w:r>
        <w:r>
          <w:t xml:space="preserve"> </w:t>
        </w:r>
        <w:r>
          <w:t xml:space="preserve">deposit data underlying the Section 4.1 ve-locking analysis, and the</w:t>
        </w:r>
        <w:r>
          <w:t xml:space="preserve"> </w:t>
        </w:r>
        <w:r>
          <w:t xml:space="preserve">Theil/Atkinson supplementary metrics used in the Section 3.7 robustness</w:t>
        </w:r>
        <w:r>
          <w:t xml:space="preserve"> </w:t>
        </w:r>
        <w:r>
          <w:t xml:space="preserve">check are all available in the replication repository linked in the</w:t>
        </w:r>
        <w:r>
          <w:t xml:space="preserve"> </w:t>
        </w:r>
        <w:r>
          <w:t xml:space="preserve">supplementary materials. Replication scripts for each table and figure</w:t>
        </w:r>
        <w:r>
          <w:t xml:space="preserve"> </w:t>
        </w:r>
        <w:r>
          <w:t xml:space="preserve">are provided in Supplementary File S5; the cross-protocol Pearson and</w:t>
        </w:r>
        <w:r>
          <w:t xml:space="preserve"> </w:t>
        </w:r>
        <w:r>
          <w:t xml:space="preserve">Spearman correlations reported across Sections 3.3, 3.4, and 3.7 can be</w:t>
        </w:r>
        <w:r>
          <w:t xml:space="preserve"> </w:t>
        </w:r>
        <w:r>
          <w:t xml:space="preserve">reproduced via the replication scripts using only the linked</w:t>
        </w:r>
        <w:r>
          <w:t xml:space="preserve"> </w:t>
        </w:r>
        <w:r>
          <w:t xml:space="preserve">public-source data. The exclusion methodology is documented at the</w:t>
        </w:r>
        <w:r>
          <w:t xml:space="preserve"> </w:t>
        </w:r>
        <w:r>
          <w:t xml:space="preserve">address-by-address granularity in Supplementary File S6.</w:t>
        </w:r>
      </w:ins>
    </w:p>
    <w:bookmarkEnd w:id="121"/>
    <w:bookmarkEnd w:id="122"/>
    <w:bookmarkStart w:id="124" w:name="supplementary-material"/>
    <w:p>
      <w:ins w:id="11024" w:author="R2 Revision" w:date="2026-05-19T00:00:00Z">
        <w:pPr>
          <w:pStyle w:val="Heading1"/>
        </w:pPr>
        <w:r>
          <w:t xml:space="preserve">Supplementary Material</w:t>
        </w:r>
      </w:ins>
    </w:p>
    <w:p>
      <w:ins w:id="11025" w:author="R2 Revision" w:date="2026-05-19T00:00:00Z">
        <w:pPr>
          <w:pStyle w:val="FirstParagraph"/>
        </w:pPr>
        <w:r>
          <w:t xml:space="preserve">The following supplementary files accompany this paper:</w:t>
        </w:r>
      </w:ins>
    </w:p>
    <w:p>
      <w:ins w:id="11026" w:author="R2 Revision" w:date="2026-05-19T00:00:00Z">
        <w:pPr>
          <w:pStyle w:val="BodyText"/>
        </w:pPr>
        <w:hyperlink r:id="rId69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S1</w:t>
          </w:r>
        </w:hyperlink>
        <w:r>
          <w:t xml:space="preserve">:</w:t>
        </w:r>
        <w:r>
          <w:t xml:space="preserve"> </w:t>
        </w:r>
        <w:r>
          <w:t xml:space="preserve">Extended metric definitions, including the Synergy Index construction</w:t>
        </w:r>
        <w:r>
          <w:t xml:space="preserve"> </w:t>
        </w:r>
        <w:r>
          <w:t xml:space="preserve">and inter-rater reliability specification for multi-coder deployment of</w:t>
        </w:r>
        <w:r>
          <w:t xml:space="preserve"> </w:t>
        </w:r>
        <w:r>
          <w:t xml:space="preserve">the scoring rubric.</w:t>
        </w:r>
      </w:ins>
    </w:p>
    <w:p>
      <w:ins w:id="11027" w:author="R2 Revision" w:date="2026-05-19T00:00:00Z">
        <w:pPr>
          <w:pStyle w:val="BodyText"/>
        </w:pPr>
        <w:hyperlink r:id="rId71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S2</w:t>
          </w:r>
        </w:hyperlink>
        <w:r>
          <w:t xml:space="preserve">:</w:t>
        </w:r>
        <w:r>
          <w:t xml:space="preserve"> </w:t>
        </w:r>
        <w:r>
          <w:t xml:space="preserve">Research instrument templates, including the protocol codebook schema</w:t>
        </w:r>
        <w:r>
          <w:t xml:space="preserve"> </w:t>
        </w:r>
        <w:r>
          <w:t xml:space="preserve">and scoring sheet template with worked examples.</w:t>
        </w:r>
      </w:ins>
    </w:p>
    <w:p>
      <w:ins w:id="11028" w:author="R2 Revision" w:date="2026-05-19T00:00:00Z">
        <w:pPr>
          <w:pStyle w:val="BodyText"/>
        </w:pPr>
        <w:hyperlink r:id="rId72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S3</w:t>
          </w:r>
        </w:hyperlink>
        <w:r>
          <w:t xml:space="preserve">:</w:t>
        </w:r>
        <w:r>
          <w:t xml:space="preserve"> </w:t>
        </w:r>
        <w:r>
          <w:t xml:space="preserve">Scoring tables (protocol × criterion matrices with evidence links) for</w:t>
        </w:r>
        <w:r>
          <w:t xml:space="preserve"> </w:t>
        </w:r>
        <w:r>
          <w:t xml:space="preserve">all 12 scored protocols.</w:t>
        </w:r>
      </w:ins>
    </w:p>
    <w:p>
      <w:ins w:id="11029" w:author="R2 Revision" w:date="2026-05-19T00:00:00Z">
        <w:pPr>
          <w:pStyle w:val="BodyText"/>
        </w:pPr>
        <w:hyperlink r:id="rId12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S4</w:t>
          </w:r>
        </w:hyperlink>
        <w:r>
          <w:t xml:space="preserve">:</w:t>
        </w:r>
        <w:r>
          <w:t xml:space="preserve"> </w:t>
        </w:r>
        <w:r>
          <w:t xml:space="preserve">Events table for future event-study analyses.</w:t>
        </w:r>
      </w:ins>
    </w:p>
    <w:p>
      <w:ins w:id="11030" w:author="R2 Revision" w:date="2026-05-19T00:00:00Z">
        <w:pPr>
          <w:pStyle w:val="BodyText"/>
        </w:pPr>
        <w:hyperlink r:id="rId75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S5</w:t>
          </w:r>
        </w:hyperlink>
        <w:r>
          <w:t xml:space="preserve">:</w:t>
        </w:r>
        <w:r>
          <w:t xml:space="preserve"> </w:t>
        </w:r>
        <w:r>
          <w:t xml:space="preserve">Full empirical pipeline specification (16 analyses across five</w:t>
        </w:r>
        <w:r>
          <w:t xml:space="preserve"> </w:t>
        </w:r>
        <w:r>
          <w:t xml:space="preserve">categories), including replication-ready design for cross-sectional,</w:t>
        </w:r>
        <w:r>
          <w:t xml:space="preserve"> </w:t>
        </w:r>
        <w:r>
          <w:t xml:space="preserve">panel, event-study, and qualitative analyses.</w:t>
        </w:r>
      </w:ins>
    </w:p>
    <w:p>
      <w:ins w:id="11031" w:author="R2 Revision" w:date="2026-05-19T00:00:00Z">
        <w:pPr>
          <w:pStyle w:val="BodyText"/>
        </w:pPr>
        <w:hyperlink r:id="rId63">
          <w:r>
            <w:rPr>
              <w:rStyle w:val="Hyperlink"/>
              <w:u w:val="single"/>
            </w:rPr>
            <w:t xml:space="preserve">Supplementary File</w:t>
          </w:r>
          <w:r>
            <w:rPr>
              <w:rStyle w:val="Hyperlink"/>
              <w:u w:val="single"/>
            </w:rPr>
            <w:t xml:space="preserve"> </w:t>
          </w:r>
          <w:r>
            <w:rPr>
              <w:rStyle w:val="Hyperlink"/>
              <w:u w:val="single"/>
            </w:rPr>
            <w:t xml:space="preserve">S6</w:t>
          </w:r>
        </w:hyperlink>
        <w:r>
          <w:t xml:space="preserve">:</w:t>
        </w:r>
        <w:r>
          <w:t xml:space="preserve"> </w:t>
        </w:r>
        <w:r>
          <w:t xml:space="preserve">Raw governance token distribution data (Dune Analytics SQL queries and</w:t>
        </w:r>
        <w:r>
          <w:t xml:space="preserve"> </w:t>
        </w:r>
        <w:r>
          <w:t xml:space="preserve">results, March 2026 snapshot). Supplementary File S7: Quarterly HHI</w:t>
        </w:r>
        <w:r>
          <w:t xml:space="preserve"> </w:t>
        </w:r>
        <w:r>
          <w:t xml:space="preserve">panel for 14 governance tokens (8 quarters post-token-generation event).</w:t>
        </w:r>
        <w:r>
          <w:t xml:space="preserve"> </w:t>
        </w:r>
        <w:r>
          <w:t xml:space="preserve">Exhibit S7 plots HHI trajectories; 11 of 14 protocols exhibit monotonic</w:t>
        </w:r>
        <w:r>
          <w:t xml:space="preserve"> </w:t>
        </w:r>
        <w:r>
          <w:t xml:space="preserve">decay, with CRV (vote-escrow), COMP (reservoir-drip), and ENS</w:t>
        </w:r>
        <w:r>
          <w:t xml:space="preserve"> </w:t>
        </w:r>
        <w:r>
          <w:t xml:space="preserve">(claim-window) as mechanism-specific exceptions. Supplementary File S8:</w:t>
        </w:r>
        <w:r>
          <w:t xml:space="preserve"> </w:t>
        </w:r>
        <w:r>
          <w:t xml:space="preserve">Expanded subsidy-concentration analysis using Token Terminal revenue and</w:t>
        </w:r>
        <w:r>
          <w:t xml:space="preserve"> </w:t>
        </w:r>
        <w:r>
          <w:t xml:space="preserve">incentive data for 22 protocols (14 DeFi/Infrastructure via Token</w:t>
        </w:r>
        <w:r>
          <w:t xml:space="preserve"> </w:t>
        </w:r>
        <w:r>
          <w:t xml:space="preserve">Terminal, 8 DePIN via on-chain computation). Cross-sector Pearson r =</w:t>
        </w:r>
        <w:r>
          <w:t xml:space="preserve"> </w:t>
        </w:r>
        <w:r>
          <w:t xml:space="preserve">0.095 (p = 0.674), consistent with the subsidy-concentration null at</w:t>
        </w:r>
        <w:r>
          <w:t xml:space="preserve"> </w:t>
        </w:r>
        <w:r>
          <w:t xml:space="preserve">expanded sample size.</w:t>
        </w:r>
      </w:ins>
    </w:p>
    <w:p>
      <w:ins w:id="11032" w:author="R2 Revision" w:date="2026-05-19T00:00:00Z">
        <w:pPr>
          <w:pStyle w:val="BodyText"/>
        </w:pPr>
        <w:r>
          <w:t xml:space="preserve">Replication data:</w:t>
        </w:r>
        <w:r>
          <w:t xml:space="preserve"> </w:t>
        </w:r>
        <w:r>
          <w:t xml:space="preserve">https://github.com/Research-Publications-and-Data/Tokenomics-As-Institutional_Design</w:t>
        </w:r>
      </w:ins>
    </w:p>
    <w:bookmarkEnd w:id="124"/>
    <w:bookmarkStart w:id="125" w:name="acknowledgments"/>
    <w:p>
      <w:ins w:id="11033" w:author="R2 Revision" w:date="2026-05-19T00:00:00Z">
        <w:pPr>
          <w:pStyle w:val="Heading1"/>
        </w:pPr>
        <w:r>
          <w:t xml:space="preserve">Acknowledgments</w:t>
        </w:r>
      </w:ins>
    </w:p>
    <w:p>
      <w:ins w:id="11034" w:author="R2 Revision" w:date="2026-05-19T00:00:00Z">
        <w:pPr>
          <w:pStyle w:val="FirstParagraph"/>
        </w:pPr>
        <w:r>
          <w:t xml:space="preserve">The author thanks Token Terminal for complimentary API access. DeFi</w:t>
        </w:r>
        <w:r>
          <w:t xml:space="preserve"> </w:t>
        </w:r>
        <w:r>
          <w:t xml:space="preserve">protocol subsidy ratios use Token Terminal fee, revenue, and incentive</w:t>
        </w:r>
        <w:r>
          <w:t xml:space="preserve"> </w:t>
        </w:r>
        <w:r>
          <w:t xml:space="preserve">data; DePIN protocol subsidy ratios use on-chain burn and mint data from</w:t>
        </w:r>
        <w:r>
          <w:t xml:space="preserve"> </w:t>
        </w:r>
        <w:r>
          <w:t xml:space="preserve">Dune Analytics due to systematic measurement gaps in existing analytics</w:t>
        </w:r>
        <w:r>
          <w:t xml:space="preserve"> </w:t>
        </w:r>
        <w:r>
          <w:t xml:space="preserve">platforms for hardware network economics.</w:t>
        </w:r>
      </w:ins>
    </w:p>
    <w:bookmarkEnd w:id="125"/>
    <w:bookmarkStart w:id="126" w:name="references"/>
    <w:p>
      <w:ins w:id="11035" w:author="R2 Revision" w:date="2026-05-19T00:00:00Z">
        <w:pPr>
          <w:pStyle w:val="Heading1"/>
        </w:pPr>
        <w:r>
          <w:t xml:space="preserve">References</w:t>
        </w:r>
      </w:ins>
    </w:p>
    <w:p>
      <w:ins w:id="11036" w:author="R2 Revision" w:date="2026-05-19T00:00:00Z">
        <w:pPr>
          <w:pStyle w:val="FirstParagraph"/>
        </w:pPr>
        <w:r>
          <w:t xml:space="preserve">Birchall, J. (2011). People-centred businesses: Co-operatives, mutuals</w:t>
        </w:r>
        <w:r>
          <w:t xml:space="preserve"> </w:t>
        </w:r>
        <w:r>
          <w:t xml:space="preserve">and the idea of membership. Palgrave Macmillan.</w:t>
        </w:r>
      </w:ins>
    </w:p>
    <w:p>
      <w:ins w:id="11037" w:author="R2 Revision" w:date="2026-05-19T00:00:00Z">
        <w:pPr>
          <w:pStyle w:val="BodyText"/>
        </w:pPr>
        <w:r>
          <w:t xml:space="preserve">Hansmann, H. (1996). The ownership of enterprise. Harvard University</w:t>
        </w:r>
        <w:r>
          <w:t xml:space="preserve"> </w:t>
        </w:r>
        <w:r>
          <w:t xml:space="preserve">Press.</w:t>
        </w:r>
      </w:ins>
    </w:p>
    <w:p>
      <w:ins w:id="11038" w:author="R2 Revision" w:date="2026-05-19T00:00:00Z">
        <w:pPr>
          <w:pStyle w:val="BodyText"/>
        </w:pPr>
        <w:r>
          <w:t xml:space="preserve">International Cooperative Alliance. (1995). Statement on the cooperative</w:t>
        </w:r>
        <w:r>
          <w:t xml:space="preserve"> </w:t>
        </w:r>
        <w:r>
          <w:t xml:space="preserve">identity. ICA.</w:t>
        </w:r>
      </w:ins>
    </w:p>
    <w:p>
      <w:ins w:id="11039" w:author="R2 Revision" w:date="2026-05-19T00:00:00Z">
        <w:pPr>
          <w:pStyle w:val="BodyText"/>
        </w:pPr>
        <w:r>
          <w:t xml:space="preserve">Scholz, T. (2016). Platform cooperativism: Challenging the corporate</w:t>
        </w:r>
        <w:r>
          <w:t xml:space="preserve"> </w:t>
        </w:r>
        <w:r>
          <w:t xml:space="preserve">sharing economy. Rosa Luxemburg Stiftung.</w:t>
        </w:r>
      </w:ins>
    </w:p>
    <w:p>
      <w:ins w:id="11040" w:author="R2 Revision" w:date="2026-05-19T00:00:00Z">
        <w:pPr>
          <w:pStyle w:val="BodyText"/>
        </w:pPr>
        <w:r>
          <w:t xml:space="preserve">Alshater, M. M. (2026). Decentralized physical infrastructure networks</w:t>
        </w:r>
        <w:r>
          <w:t xml:space="preserve"> </w:t>
        </w:r>
        <w:r>
          <w:t xml:space="preserve">(DePIN) tokenomics. Frontiers in Blockchain, 8, 1644115.</w:t>
        </w:r>
        <w:r>
          <w:t xml:space="preserve"> </w:t>
        </w:r>
        <w:r>
          <w:t xml:space="preserve">https://doi.org/10.3389/fbloc.2025.1644115</w:t>
        </w:r>
      </w:ins>
    </w:p>
    <w:p>
      <w:ins w:id="11041" w:author="R2 Revision" w:date="2026-05-19T00:00:00Z">
        <w:pPr>
          <w:pStyle w:val="BodyText"/>
        </w:pPr>
        <w:r>
          <w:t xml:space="preserve">Appiah, K. A. (2006). Cosmopolitanism: Ethics in a world of strangers.</w:t>
        </w:r>
        <w:r>
          <w:t xml:space="preserve"> </w:t>
        </w:r>
        <w:r>
          <w:t xml:space="preserve">W. W. Norton.</w:t>
        </w:r>
      </w:ins>
    </w:p>
    <w:p>
      <w:ins w:id="11042" w:author="R2 Revision" w:date="2026-05-19T00:00:00Z">
        <w:pPr>
          <w:pStyle w:val="BodyText"/>
        </w:pPr>
        <w:r>
          <w:t xml:space="preserve">Appel, I., &amp; Grennan, J. (2023). Control of decentralized autonomous</w:t>
        </w:r>
        <w:r>
          <w:t xml:space="preserve"> </w:t>
        </w:r>
        <w:r>
          <w:t xml:space="preserve">organizations. AEA Papers and Proceedings, 113, 182–185.</w:t>
        </w:r>
        <w:r>
          <w:t xml:space="preserve"> </w:t>
        </w:r>
        <w:r>
          <w:t xml:space="preserve">https://doi.org/10.1257/pandp.20231119</w:t>
        </w:r>
      </w:ins>
    </w:p>
    <w:p>
      <w:ins w:id="11043" w:author="R2 Revision" w:date="2026-05-19T00:00:00Z">
        <w:pPr>
          <w:pStyle w:val="BodyText"/>
        </w:pPr>
        <w:r>
          <w:t xml:space="preserve">Aramonte, S., Huang, W., &amp; Schrimpf, A. (2021). DeFi risks and the</w:t>
        </w:r>
        <w:r>
          <w:t xml:space="preserve"> </w:t>
        </w:r>
        <w:r>
          <w:t xml:space="preserve">decentralisation illusion. BIS Quarterly Review, December 2021, 21–36.</w:t>
        </w:r>
        <w:r>
          <w:t xml:space="preserve"> </w:t>
        </w:r>
        <w:r>
          <w:t xml:space="preserve">https://www.bis.org/publ/qtrpdf/r_qt2112b.htm</w:t>
        </w:r>
      </w:ins>
    </w:p>
    <w:p>
      <w:ins w:id="11044" w:author="R2 Revision" w:date="2026-05-19T00:00:00Z">
        <w:pPr>
          <w:pStyle w:val="BodyText"/>
        </w:pPr>
        <w:r>
          <w:t xml:space="preserve">Arnosti, N., &amp; Weinberg, S. M. (2022). Bitcoin: A natural oligopoly.</w:t>
        </w:r>
        <w:r>
          <w:t xml:space="preserve"> </w:t>
        </w:r>
        <w:r>
          <w:t xml:space="preserve">Management Science, 68(7), 4755–4771.</w:t>
        </w:r>
        <w:r>
          <w:t xml:space="preserve"> </w:t>
        </w:r>
        <w:r>
          <w:t xml:space="preserve">https://doi.org/10.1287/mnsc.2021.4095</w:t>
        </w:r>
      </w:ins>
    </w:p>
    <w:p>
      <w:ins w:id="11045" w:author="R2 Revision" w:date="2026-05-19T00:00:00Z">
        <w:pPr>
          <w:pStyle w:val="BodyText"/>
        </w:pPr>
        <w:r>
          <w:t xml:space="preserve">Atkinson, A. B. (1970). On the measurement of inequality. Journal of</w:t>
        </w:r>
        <w:r>
          <w:t xml:space="preserve"> </w:t>
        </w:r>
        <w:r>
          <w:t xml:space="preserve">Economic Theory, 2(3), 244-263.</w:t>
        </w:r>
        <w:r>
          <w:t xml:space="preserve"> </w:t>
        </w:r>
        <w:r>
          <w:t xml:space="preserve">https://doi.org/10.1016/0022-0531(70)90039-6</w:t>
        </w:r>
      </w:ins>
    </w:p>
    <w:p>
      <w:ins w:id="11046" w:author="R2 Revision" w:date="2026-05-19T00:00:00Z">
        <w:pPr>
          <w:pStyle w:val="BodyText"/>
        </w:pPr>
        <w:r>
          <w:t xml:space="preserve">Atzori, M. (2017). Blockchain technology and decentralized governance:</w:t>
        </w:r>
        <w:r>
          <w:t xml:space="preserve"> </w:t>
        </w:r>
        <w:r>
          <w:t xml:space="preserve">Is the state still necessary? Journal of Governance and Regulation,</w:t>
        </w:r>
        <w:r>
          <w:t xml:space="preserve"> </w:t>
        </w:r>
        <w:r>
          <w:t xml:space="preserve">6(1), 45-62. https://doi.org/10.22495/jgr_v6_i1_p5</w:t>
        </w:r>
      </w:ins>
    </w:p>
    <w:p>
      <w:ins w:id="11047" w:author="R2 Revision" w:date="2026-05-19T00:00:00Z">
        <w:pPr>
          <w:pStyle w:val="BodyText"/>
        </w:pPr>
        <w:r>
          <w:t xml:space="preserve">Ballandies, M. C., Wang, H., Law, A. C. C., Yang, J. C., Gosken, C., &amp;</w:t>
        </w:r>
        <w:r>
          <w:t xml:space="preserve"> </w:t>
        </w:r>
        <w:r>
          <w:t xml:space="preserve">Andrew, M. (2023). A taxonomy for blockchain-based decentralized</w:t>
        </w:r>
        <w:r>
          <w:t xml:space="preserve"> </w:t>
        </w:r>
        <w:r>
          <w:t xml:space="preserve">physical infrastructure networks (DePIN). 2023 IEEE 9th World Forum on</w:t>
        </w:r>
        <w:r>
          <w:t xml:space="preserve"> </w:t>
        </w:r>
        <w:r>
          <w:t xml:space="preserve">Internet of Things (WF-IoT).</w:t>
        </w:r>
      </w:ins>
    </w:p>
    <w:p>
      <w:ins w:id="11048" w:author="R2 Revision" w:date="2026-05-19T00:00:00Z">
        <w:pPr>
          <w:pStyle w:val="BodyText"/>
        </w:pPr>
        <w:r>
          <w:t xml:space="preserve">Bane, D., &amp; Gala, S. (2025). State of DePIN 2024. Messari.</w:t>
        </w:r>
        <w:r>
          <w:t xml:space="preserve"> </w:t>
        </w:r>
        <w:r>
          <w:t xml:space="preserve">https://messari.io/report/state-of-depin-2024</w:t>
        </w:r>
      </w:ins>
    </w:p>
    <w:p>
      <w:ins w:id="11049" w:author="R2 Revision" w:date="2026-05-19T00:00:00Z">
        <w:pPr>
          <w:pStyle w:val="BodyText"/>
        </w:pPr>
        <w:r>
          <w:t xml:space="preserve">Bane, D., &amp; Gala, S. (2026). State of DePIN 2025. Messari &amp; Escape</w:t>
        </w:r>
        <w:r>
          <w:t xml:space="preserve"> </w:t>
        </w:r>
        <w:r>
          <w:t xml:space="preserve">Velocity. https://messari.io/report/state-of-depin-2025</w:t>
        </w:r>
      </w:ins>
    </w:p>
    <w:p>
      <w:ins w:id="11050" w:author="R2 Revision" w:date="2026-05-19T00:00:00Z">
        <w:pPr>
          <w:pStyle w:val="BodyText"/>
        </w:pPr>
        <w:r>
          <w:t xml:space="preserve">Barbereau, T., Smethurst, R., Papageorgiou, O., Sedlmeir, J., &amp; Fridgen,</w:t>
        </w:r>
        <w:r>
          <w:t xml:space="preserve"> </w:t>
        </w:r>
        <w:r>
          <w:t xml:space="preserve">G. (2023). Decentralised finance’s timocratic governance: The</w:t>
        </w:r>
        <w:r>
          <w:t xml:space="preserve"> </w:t>
        </w:r>
        <w:r>
          <w:t xml:space="preserve">distribution and exercise of tokenised voting rights. Technology in</w:t>
        </w:r>
        <w:r>
          <w:t xml:space="preserve"> </w:t>
        </w:r>
        <w:r>
          <w:t xml:space="preserve">Society, 73, 102251. https://doi.org/10.1016/j.techsoc.2023.102251</w:t>
        </w:r>
      </w:ins>
    </w:p>
    <w:p>
      <w:ins w:id="11051" w:author="R2 Revision" w:date="2026-05-19T00:00:00Z">
        <w:pPr>
          <w:pStyle w:val="BodyText"/>
        </w:pPr>
        <w:r>
          <w:t xml:space="preserve">Baygi, R. M., Introna, L. D., &amp; Ostovar, M. (2024). Beyond categories: A</w:t>
        </w:r>
        <w:r>
          <w:t xml:space="preserve"> </w:t>
        </w:r>
        <w:r>
          <w:t xml:space="preserve">flow-oriented approach to social justice on online labor platforms. MIS</w:t>
        </w:r>
        <w:r>
          <w:t xml:space="preserve"> </w:t>
        </w:r>
        <w:r>
          <w:t xml:space="preserve">Quarterly, 48(4), 1663–1690. https://doi.org/10.25300/MISQ/2024/18253</w:t>
        </w:r>
      </w:ins>
    </w:p>
    <w:p>
      <w:ins w:id="11052" w:author="R2 Revision" w:date="2026-05-19T00:00:00Z">
        <w:pPr>
          <w:pStyle w:val="BodyText"/>
        </w:pPr>
        <w:r>
          <w:t xml:space="preserve">Banzhaf, J. F., III. (1968). One man, 3.312 votes: A mathematical</w:t>
        </w:r>
        <w:r>
          <w:t xml:space="preserve"> </w:t>
        </w:r>
        <w:r>
          <w:t xml:space="preserve">analysis of the Electoral College. Villanova Law Review, 13(2), 304-332.</w:t>
        </w:r>
      </w:ins>
    </w:p>
    <w:p>
      <w:ins w:id="11053" w:author="R2 Revision" w:date="2026-05-19T00:00:00Z">
        <w:pPr>
          <w:pStyle w:val="BodyText"/>
        </w:pPr>
        <w:r>
          <w:t xml:space="preserve">Beitz, C. R. (1979). Political theory and international relations.</w:t>
        </w:r>
        <w:r>
          <w:t xml:space="preserve"> </w:t>
        </w:r>
        <w:r>
          <w:t xml:space="preserve">Princeton University Press.</w:t>
        </w:r>
      </w:ins>
    </w:p>
    <w:p>
      <w:ins w:id="11054" w:author="R2 Revision" w:date="2026-05-19T00:00:00Z">
        <w:pPr>
          <w:pStyle w:val="BodyText"/>
        </w:pPr>
        <w:r>
          <w:t xml:space="preserve">Berlin, I. (1958). Two concepts of liberty. Clarendon Press.</w:t>
        </w:r>
      </w:ins>
    </w:p>
    <w:p>
      <w:ins w:id="11055" w:author="R2 Revision" w:date="2026-05-19T00:00:00Z">
        <w:pPr>
          <w:pStyle w:val="BodyText"/>
        </w:pPr>
        <w:r>
          <w:t xml:space="preserve">Blockworks. (2026). GEODNET analytics dashboard. Retrieved April 2026,</w:t>
        </w:r>
        <w:r>
          <w:t xml:space="preserve"> </w:t>
        </w:r>
        <w:r>
          <w:t xml:space="preserve">from https://blockworks.com/analytics/geodnet</w:t>
        </w:r>
      </w:ins>
    </w:p>
    <w:p>
      <w:ins w:id="11056" w:author="R2 Revision" w:date="2026-05-19T00:00:00Z">
        <w:pPr>
          <w:pStyle w:val="BodyText"/>
        </w:pPr>
        <w:r>
          <w:t xml:space="preserve">Blockworks. (2026). Helium financials dashboard. Retrieved April 2026,</w:t>
        </w:r>
        <w:r>
          <w:t xml:space="preserve"> </w:t>
        </w:r>
        <w:r>
          <w:t xml:space="preserve">from https://blockworks.com/analytics/helium/helium-financials</w:t>
        </w:r>
      </w:ins>
    </w:p>
    <w:p>
      <w:ins w:id="11057" w:author="R2 Revision" w:date="2026-05-19T00:00:00Z">
        <w:pPr>
          <w:pStyle w:val="BodyText"/>
        </w:pPr>
        <w:r>
          <w:t xml:space="preserve">Brennan, G., &amp; Buchanan, J. M. (1985). The reason of rules:</w:t>
        </w:r>
        <w:r>
          <w:t xml:space="preserve"> </w:t>
        </w:r>
        <w:r>
          <w:t xml:space="preserve">Constitutional political economy. Cambridge University Press.</w:t>
        </w:r>
      </w:ins>
    </w:p>
    <w:p>
      <w:ins w:id="11058" w:author="R2 Revision" w:date="2026-05-19T00:00:00Z">
        <w:pPr>
          <w:pStyle w:val="BodyText"/>
        </w:pPr>
        <w:r>
          <w:t xml:space="preserve">Buchanan, J. M., &amp; Tullock, G. (1962). The calculus of consent: Logical</w:t>
        </w:r>
        <w:r>
          <w:t xml:space="preserve"> </w:t>
        </w:r>
        <w:r>
          <w:t xml:space="preserve">foundations of constitutional democracy. University of Michigan Press.</w:t>
        </w:r>
      </w:ins>
    </w:p>
    <w:p>
      <w:ins w:id="11059" w:author="R2 Revision" w:date="2026-05-19T00:00:00Z">
        <w:pPr>
          <w:pStyle w:val="BodyText"/>
        </w:pPr>
        <w:r>
          <w:t xml:space="preserve">Buddensiek, E., &amp; Momtaz, P. P. (2025). Information cascades in</w:t>
        </w:r>
        <w:r>
          <w:t xml:space="preserve"> </w:t>
        </w:r>
        <w:r>
          <w:t xml:space="preserve">decentralized autonomous organizations (DAOs). SSRN Working Paper No.</w:t>
        </w:r>
        <w:r>
          <w:t xml:space="preserve"> </w:t>
        </w:r>
        <w:r>
          <w:t xml:space="preserve">5258156. https://doi.org/10.2139/ssrn.5258156</w:t>
        </w:r>
      </w:ins>
    </w:p>
    <w:p>
      <w:ins w:id="11060" w:author="R2 Revision" w:date="2026-05-19T00:00:00Z">
        <w:pPr>
          <w:pStyle w:val="BodyText"/>
        </w:pPr>
        <w:r>
          <w:t xml:space="preserve">Buterin, V., Conner, E., Dudley, R., Slipper, M., &amp; Norder, I. (2019).</w:t>
        </w:r>
        <w:r>
          <w:t xml:space="preserve"> </w:t>
        </w:r>
        <w:r>
          <w:t xml:space="preserve">EIP-1559: Fee market change for ETH 1.0 chain (Ethereum Improvement</w:t>
        </w:r>
        <w:r>
          <w:t xml:space="preserve"> </w:t>
        </w:r>
        <w:r>
          <w:t xml:space="preserve">Proposal). https://eips.ethereum.org/EIPS/eip-1559</w:t>
        </w:r>
      </w:ins>
    </w:p>
    <w:p>
      <w:ins w:id="11061" w:author="R2 Revision" w:date="2026-05-19T00:00:00Z">
        <w:pPr>
          <w:pStyle w:val="BodyText"/>
        </w:pPr>
        <w:r>
          <w:t xml:space="preserve">Calzada, I. (2025). The political economy of Web3 platformization:</w:t>
        </w:r>
        <w:r>
          <w:t xml:space="preserve"> </w:t>
        </w:r>
        <w:r>
          <w:t xml:space="preserve">Innovation systems, reaching the moon, governing the ghetto. Digital,</w:t>
        </w:r>
        <w:r>
          <w:t xml:space="preserve"> </w:t>
        </w:r>
        <w:r>
          <w:t xml:space="preserve">5(4), 62. https://doi.org/10.3390/digital5040062</w:t>
        </w:r>
      </w:ins>
    </w:p>
    <w:p>
      <w:ins w:id="11062" w:author="R2 Revision" w:date="2026-05-19T00:00:00Z">
        <w:pPr>
          <w:pStyle w:val="BodyText"/>
        </w:pPr>
        <w:r>
          <w:t xml:space="preserve">CoinGecko. (2026). Cryptocurrency market data. Retrieved March 2026,</w:t>
        </w:r>
        <w:r>
          <w:t xml:space="preserve"> </w:t>
        </w:r>
        <w:r>
          <w:t xml:space="preserve">from https://www.coingecko.com</w:t>
        </w:r>
      </w:ins>
    </w:p>
    <w:p>
      <w:ins w:id="11063" w:author="R2 Revision" w:date="2026-05-19T00:00:00Z">
        <w:pPr>
          <w:pStyle w:val="BodyText"/>
        </w:pPr>
        <w:r>
          <w:t xml:space="preserve">Cong, L. W., Li, Y., &amp; Wang, N. (2021). Tokenomics: Dynamic adoption and</w:t>
        </w:r>
        <w:r>
          <w:t xml:space="preserve"> </w:t>
        </w:r>
        <w:r>
          <w:t xml:space="preserve">valuation. Review of Financial Studies, 34(3), 1105–1155.</w:t>
        </w:r>
        <w:r>
          <w:t xml:space="preserve"> </w:t>
        </w:r>
        <w:r>
          <w:t xml:space="preserve">https://doi.org/10.1093/rfs/hhaa089</w:t>
        </w:r>
      </w:ins>
    </w:p>
    <w:p>
      <w:ins w:id="11064" w:author="R2 Revision" w:date="2026-05-19T00:00:00Z">
        <w:pPr>
          <w:pStyle w:val="BodyText"/>
        </w:pPr>
        <w:r>
          <w:t xml:space="preserve">Cong, L. W., Rabetti, D., Wang, C. C. Y., &amp; Yan, Y. (2025). Centralized</w:t>
        </w:r>
        <w:r>
          <w:t xml:space="preserve"> </w:t>
        </w:r>
        <w:r>
          <w:t xml:space="preserve">governance in decentralized organizations (Draft: August 2025). Working</w:t>
        </w:r>
        <w:r>
          <w:t xml:space="preserve"> </w:t>
        </w:r>
        <w:r>
          <w:t xml:space="preserve">Paper.</w:t>
        </w:r>
      </w:ins>
    </w:p>
    <w:p>
      <w:ins w:id="11065" w:author="R2 Revision" w:date="2026-05-19T00:00:00Z">
        <w:pPr>
          <w:pStyle w:val="BodyText"/>
        </w:pPr>
        <w:r>
          <w:t xml:space="preserve">Cohen, J. (1988). Statistical power analysis for the behavioral</w:t>
        </w:r>
        <w:r>
          <w:t xml:space="preserve"> </w:t>
        </w:r>
        <w:r>
          <w:t xml:space="preserve">sciences (2nd ed.). Lawrence Erlbaum Associates.</w:t>
        </w:r>
      </w:ins>
    </w:p>
    <w:p>
      <w:ins w:id="11066" w:author="R2 Revision" w:date="2026-05-19T00:00:00Z">
        <w:pPr>
          <w:pStyle w:val="BodyText"/>
        </w:pPr>
        <w:r>
          <w:t xml:space="preserve">Cohen, J. (1989). Deliberation and democratic legitimacy. In A. Hamlin</w:t>
        </w:r>
        <w:r>
          <w:t xml:space="preserve"> </w:t>
        </w:r>
        <w:r>
          <w:t xml:space="preserve">&amp; P. Pettit (Eds.), The good polity: Normative analysis of the state</w:t>
        </w:r>
        <w:r>
          <w:t xml:space="preserve"> </w:t>
        </w:r>
        <w:r>
          <w:t xml:space="preserve">(pp. 17-34). Blackwell.</w:t>
        </w:r>
      </w:ins>
    </w:p>
    <w:p>
      <w:ins w:id="11067" w:author="R2 Revision" w:date="2026-05-19T00:00:00Z">
        <w:pPr>
          <w:pStyle w:val="BodyText"/>
        </w:pPr>
        <w:r>
          <w:t xml:space="preserve">De Filippi, P., Mannan, M., Cossar, S., Merk, T., &amp; Kamalova, J. (2024).</w:t>
        </w:r>
        <w:r>
          <w:t xml:space="preserve"> </w:t>
        </w:r>
        <w:r>
          <w:t xml:space="preserve">Blockchain technology and polycentric governance (Research Project</w:t>
        </w:r>
        <w:r>
          <w:t xml:space="preserve"> </w:t>
        </w:r>
        <w:r>
          <w:t xml:space="preserve">Report). European University Institute, Robert Schuman Centre.</w:t>
        </w:r>
        <w:r>
          <w:t xml:space="preserve"> </w:t>
        </w:r>
        <w:r>
          <w:t xml:space="preserve">https://hdl.handle.net/1814/77030</w:t>
        </w:r>
      </w:ins>
    </w:p>
    <w:p>
      <w:ins w:id="11068" w:author="R2 Revision" w:date="2026-05-19T00:00:00Z">
        <w:pPr>
          <w:pStyle w:val="BodyText"/>
        </w:pPr>
        <w:r>
          <w:t xml:space="preserve">De Filippi, P., &amp; Wright, A. (2018). Blockchain and the law: The rule of</w:t>
        </w:r>
        <w:r>
          <w:t xml:space="preserve"> </w:t>
        </w:r>
        <w:r>
          <w:t xml:space="preserve">code. Harvard University Press. https://doi.org/10.4159/9780674985933</w:t>
        </w:r>
      </w:ins>
    </w:p>
    <w:p>
      <w:ins w:id="11069" w:author="R2 Revision" w:date="2026-05-19T00:00:00Z">
        <w:pPr>
          <w:pStyle w:val="BodyText"/>
        </w:pPr>
        <w:r>
          <w:t xml:space="preserve">DuPont, Q. (2014). The politics of cryptography: Bitcoin and the</w:t>
        </w:r>
        <w:r>
          <w:t xml:space="preserve"> </w:t>
        </w:r>
        <w:r>
          <w:t xml:space="preserve">ordering machines. Journal of Peer Production, 4. https://peerproduction.net</w:t>
        </w:r>
      </w:ins>
    </w:p>
    <w:p>
      <w:ins w:id="11070" w:author="R2 Revision" w:date="2026-05-19T00:00:00Z">
        <w:pPr>
          <w:pStyle w:val="BodyText"/>
        </w:pPr>
        <w:r>
          <w:t xml:space="preserve">DeepDAO. (2023). DAO governance analytics [Data set]. Retrieved 2023,</w:t>
        </w:r>
        <w:r>
          <w:t xml:space="preserve"> </w:t>
        </w:r>
        <w:r>
          <w:t xml:space="preserve">from https://deepdao.io</w:t>
        </w:r>
      </w:ins>
    </w:p>
    <w:p>
      <w:ins w:id="11071" w:author="R2 Revision" w:date="2026-05-19T00:00:00Z">
        <w:pPr>
          <w:pStyle w:val="BodyText"/>
        </w:pPr>
        <w:r>
          <w:t xml:space="preserve">Dune Analytics. (2026). On-chain governance token holder data [Data</w:t>
        </w:r>
        <w:r>
          <w:t xml:space="preserve"> </w:t>
        </w:r>
        <w:r>
          <w:t xml:space="preserve">set]. Retrieved March 2026, from https://dune.com</w:t>
        </w:r>
      </w:ins>
    </w:p>
    <w:p>
      <w:ins w:id="11072" w:author="R2 Revision" w:date="2026-05-19T00:00:00Z">
        <w:pPr>
          <w:pStyle w:val="BodyText"/>
        </w:pPr>
        <w:r>
          <w:t xml:space="preserve">Eisermann, T., Campajola, C., Tessone, C. J., &amp; Teixeira, A. S. (2025).</w:t>
        </w:r>
        <w:r>
          <w:t xml:space="preserve"> </w:t>
        </w:r>
        <w:r>
          <w:t xml:space="preserve">Concentration in governance control across decentralised finance</w:t>
        </w:r>
        <w:r>
          <w:t xml:space="preserve"> </w:t>
        </w:r>
        <w:r>
          <w:t xml:space="preserve">protocols. EPJ Data Science, 14, 85.</w:t>
        </w:r>
        <w:r>
          <w:t xml:space="preserve"> </w:t>
        </w:r>
        <w:r>
          <w:t xml:space="preserve">https://doi.org/10.1140/epjds/s13688-025-00610-5</w:t>
        </w:r>
      </w:ins>
    </w:p>
    <w:p>
      <w:ins w:id="11073" w:author="R2 Revision" w:date="2026-05-19T00:00:00Z">
        <w:pPr>
          <w:pStyle w:val="BodyText"/>
        </w:pPr>
        <w:r>
          <w:t xml:space="preserve">Esposito, M., Tse, T., &amp; Goh, D. (2025). Decentralizing governance:</w:t>
        </w:r>
        <w:r>
          <w:t xml:space="preserve"> </w:t>
        </w:r>
        <w:r>
          <w:t xml:space="preserve">Exploring the dynamics and challenges of digital commons and DAOs.</w:t>
        </w:r>
        <w:r>
          <w:t xml:space="preserve"> </w:t>
        </w:r>
        <w:r>
          <w:t xml:space="preserve">Frontiers in Blockchain, 8, 1538227.</w:t>
        </w:r>
        <w:r>
          <w:t xml:space="preserve"> </w:t>
        </w:r>
        <w:r>
          <w:t xml:space="preserve">https://doi.org/10.3389/fbloc.2025.1538227</w:t>
        </w:r>
      </w:ins>
    </w:p>
    <w:p>
      <w:ins w:id="11074" w:author="R2 Revision" w:date="2026-05-19T00:00:00Z">
        <w:pPr>
          <w:pStyle w:val="BodyText"/>
        </w:pPr>
        <w:r>
          <w:t xml:space="preserve">Fan, Z., DeFilippi, P., Mannan, M., &amp; Tan, J. (2025). Distributed</w:t>
        </w:r>
        <w:r>
          <w:t xml:space="preserve"> </w:t>
        </w:r>
        <w:r>
          <w:t xml:space="preserve">governance in decentralized autonomous organizations: A survey of theory</w:t>
        </w:r>
        <w:r>
          <w:t xml:space="preserve"> </w:t>
        </w:r>
        <w:r>
          <w:t xml:space="preserve">and practice. Working Paper.</w:t>
        </w:r>
      </w:ins>
    </w:p>
    <w:p>
      <w:ins w:id="11075" w:author="R2 Revision" w:date="2026-05-19T00:00:00Z">
        <w:pPr>
          <w:pStyle w:val="BodyText"/>
        </w:pPr>
        <w:r>
          <w:t xml:space="preserve">Feichtinger, R., Fritsch, R., Vonlanthen, Y., &amp; Wattenhofer, R. (2023).</w:t>
        </w:r>
        <w:r>
          <w:t xml:space="preserve"> </w:t>
        </w:r>
        <w:r>
          <w:t xml:space="preserve">The hidden shortcomings of (D)AOs: An empirical study of on-chain</w:t>
        </w:r>
        <w:r>
          <w:t xml:space="preserve"> </w:t>
        </w:r>
        <w:r>
          <w:t xml:space="preserve">governance. In International Conference on Financial Cryptography and</w:t>
        </w:r>
        <w:r>
          <w:t xml:space="preserve"> </w:t>
        </w:r>
        <w:r>
          <w:t xml:space="preserve">Data Security (pp. 165–185). Springer.</w:t>
        </w:r>
      </w:ins>
    </w:p>
    <w:p>
      <w:ins w:id="11076" w:author="R2 Revision" w:date="2026-05-19T00:00:00Z">
        <w:pPr>
          <w:pStyle w:val="BodyText"/>
        </w:pPr>
        <w:r>
          <w:t xml:space="preserve">Floridi, L. (2013). The ethics of information. Oxford University Press.</w:t>
        </w:r>
      </w:ins>
    </w:p>
    <w:p>
      <w:ins w:id="11077" w:author="R2 Revision" w:date="2026-05-19T00:00:00Z">
        <w:pPr>
          <w:pStyle w:val="BodyText"/>
        </w:pPr>
        <w:r>
          <w:t xml:space="preserve">Fritsch, R., Müller, M., &amp; Wattenhofer, R. (2024). Analyzing voting</w:t>
        </w:r>
        <w:r>
          <w:t xml:space="preserve"> </w:t>
        </w:r>
        <w:r>
          <w:t xml:space="preserve">power in decentralized governance: Who controls DAOs? Blockchain:</w:t>
        </w:r>
        <w:r>
          <w:t xml:space="preserve"> </w:t>
        </w:r>
        <w:r>
          <w:t xml:space="preserve">Research and Applications, 5(3), 100208.</w:t>
        </w:r>
        <w:r>
          <w:t xml:space="preserve"> </w:t>
        </w:r>
        <w:r>
          <w:t xml:space="preserve">https://doi.org/10.1016/j.bcra.2024.100208</w:t>
        </w:r>
      </w:ins>
    </w:p>
    <w:p>
      <w:ins w:id="11078" w:author="R2 Revision" w:date="2026-05-19T00:00:00Z">
        <w:pPr>
          <w:pStyle w:val="BodyText"/>
        </w:pPr>
        <w:r>
          <w:t xml:space="preserve">Gersbach, H., Schneider, M., &amp; Shahkar, P. (2024). Effects of vote</w:t>
        </w:r>
        <w:r>
          <w:t xml:space="preserve"> </w:t>
        </w:r>
        <w:r>
          <w:t xml:space="preserve">delegation in blockchains: Who wins? arXiv:2408.05410 (revised July</w:t>
        </w:r>
        <w:r>
          <w:t xml:space="preserve"> </w:t>
        </w:r>
        <w:r>
          <w:t xml:space="preserve">2025). https://doi.org/10.48550/arXiv.2408.05410</w:t>
        </w:r>
      </w:ins>
    </w:p>
    <w:p>
      <w:ins w:id="11079" w:author="R2 Revision" w:date="2026-05-19T00:00:00Z">
        <w:pPr>
          <w:pStyle w:val="BodyText"/>
        </w:pPr>
        <w:r>
          <w:t xml:space="preserve">Hall, A. B., &amp; Miyazaki, S. (2024). What happens when anyone can be your</w:t>
        </w:r>
        <w:r>
          <w:t xml:space="preserve"> </w:t>
        </w:r>
        <w:r>
          <w:t xml:space="preserve">representative? Studying the use of liquid democracy for high-stakes</w:t>
        </w:r>
        <w:r>
          <w:t xml:space="preserve"> </w:t>
        </w:r>
        <w:r>
          <w:t xml:space="preserve">decisions in online platforms. Stanford GSB Working Paper.</w:t>
        </w:r>
        <w:r>
          <w:t xml:space="preserve"> </w:t>
        </w:r>
        <w:r>
          <w:t xml:space="preserve">https://doi.org/10.31219/osf.io/k3hcd</w:t>
        </w:r>
      </w:ins>
    </w:p>
    <w:p>
      <w:ins w:id="11080" w:author="R2 Revision" w:date="2026-05-19T00:00:00Z">
        <w:pPr>
          <w:pStyle w:val="BodyText"/>
        </w:pPr>
        <w:r>
          <w:t xml:space="preserve">Han, J., Lee, J., &amp; Li, T. (2023). DAO governance. European Corporate</w:t>
        </w:r>
        <w:r>
          <w:t xml:space="preserve"> </w:t>
        </w:r>
        <w:r>
          <w:t xml:space="preserve">Governance Institute Finance Working Paper No. 1119/2025.</w:t>
        </w:r>
        <w:r>
          <w:t xml:space="preserve"> </w:t>
        </w:r>
        <w:r>
          <w:t xml:space="preserve">https://doi.org/10.2139/ssrn.4346581</w:t>
        </w:r>
      </w:ins>
    </w:p>
    <w:p>
      <w:ins w:id="11081" w:author="R2 Revision" w:date="2026-05-19T00:00:00Z">
        <w:pPr>
          <w:pStyle w:val="BodyText"/>
        </w:pPr>
        <w:r>
          <w:t xml:space="preserve">Han, J., Lee, J., &amp; Li, T. (2024). A review of DAO governance: Recent</w:t>
        </w:r>
        <w:r>
          <w:t xml:space="preserve"> </w:t>
        </w:r>
        <w:r>
          <w:t xml:space="preserve">literature and emerging trends. European Corporate Governance Institute</w:t>
        </w:r>
        <w:r>
          <w:t xml:space="preserve"> </w:t>
        </w:r>
        <w:r>
          <w:t xml:space="preserve">Finance Working Paper No. 1044/2025.</w:t>
        </w:r>
        <w:r>
          <w:t xml:space="preserve"> </w:t>
        </w:r>
        <w:r>
          <w:t xml:space="preserve">https://doi.org/10.2139/ssrn.5074046</w:t>
        </w:r>
      </w:ins>
    </w:p>
    <w:p>
      <w:ins w:id="11082" w:author="R2 Revision" w:date="2026-05-19T00:00:00Z">
        <w:pPr>
          <w:pStyle w:val="BodyText"/>
        </w:pPr>
        <w:r>
          <w:t xml:space="preserve">Habermas, J. (1996). Between facts and norms: Contributions to a</w:t>
        </w:r>
        <w:r>
          <w:t xml:space="preserve"> </w:t>
        </w:r>
        <w:r>
          <w:t xml:space="preserve">discourse theory of law and democracy. MIT Press.</w:t>
        </w:r>
      </w:ins>
    </w:p>
    <w:p>
      <w:ins w:id="11083" w:author="R2 Revision" w:date="2026-05-19T00:00:00Z">
        <w:pPr>
          <w:pStyle w:val="BodyText"/>
        </w:pPr>
        <w:r>
          <w:t xml:space="preserve">Hardin, G. (1968). The tragedy of the commons. Science, 162(3859),</w:t>
        </w:r>
        <w:r>
          <w:t xml:space="preserve"> </w:t>
        </w:r>
        <w:r>
          <w:t xml:space="preserve">1243-1248. https://doi.org/10.1126/science.162.3859.1243</w:t>
        </w:r>
      </w:ins>
    </w:p>
    <w:p>
      <w:ins w:id="11084" w:author="R2 Revision" w:date="2026-05-19T00:00:00Z">
        <w:pPr>
          <w:pStyle w:val="BodyText"/>
        </w:pPr>
        <w:r>
          <w:t xml:space="preserve">Hayek, F. A. (1945). The use of knowledge in society. American Economic</w:t>
        </w:r>
        <w:r>
          <w:t xml:space="preserve"> </w:t>
        </w:r>
        <w:r>
          <w:t xml:space="preserve">Review, 35(4), 519-530. https://doi.org/10.2307/1809376</w:t>
        </w:r>
      </w:ins>
    </w:p>
    <w:p>
      <w:ins w:id="11085" w:author="R2 Revision" w:date="2026-05-19T00:00:00Z">
        <w:pPr>
          <w:pStyle w:val="BodyText"/>
        </w:pPr>
        <w:r>
          <w:t xml:space="preserve">Hirschman, A. O. (1964). The paternity of an index. American Economic</w:t>
        </w:r>
        <w:r>
          <w:t xml:space="preserve"> </w:t>
        </w:r>
        <w:r>
          <w:t xml:space="preserve">Review, 54(5), 761.</w:t>
        </w:r>
      </w:ins>
    </w:p>
    <w:p>
      <w:ins w:id="11086" w:author="R2 Revision" w:date="2026-05-19T00:00:00Z">
        <w:pPr>
          <w:pStyle w:val="BodyText"/>
        </w:pPr>
        <w:r>
          <w:t xml:space="preserve">Holmstrom, B. (1979). Moral hazard and observability. The Bell</w:t>
        </w:r>
        <w:r>
          <w:t xml:space="preserve"> </w:t>
        </w:r>
        <w:r>
          <w:t xml:space="preserve">Journal of Economics, 10(1), 74-91. https://doi.org/10.2307/3003320</w:t>
        </w:r>
      </w:ins>
    </w:p>
    <w:p>
      <w:ins w:id="11087" w:author="R2 Revision" w:date="2026-05-19T00:00:00Z">
        <w:pPr>
          <w:pStyle w:val="BodyText"/>
        </w:pPr>
        <w:r>
          <w:t xml:space="preserve">Howell, S. T., Niessner, M., &amp; Yermack, D. (2020). Initial coin</w:t>
        </w:r>
        <w:r>
          <w:t xml:space="preserve"> </w:t>
        </w:r>
        <w:r>
          <w:t xml:space="preserve">offerings: Financing growth with cryptocurrency token sales. Review of</w:t>
        </w:r>
        <w:r>
          <w:t xml:space="preserve"> </w:t>
        </w:r>
        <w:r>
          <w:t xml:space="preserve">Financial Studies, 33(9), 3925–3974. https://doi.org/10.1093/rfs/hhz131</w:t>
        </w:r>
      </w:ins>
    </w:p>
    <w:p>
      <w:ins w:id="11088" w:author="R2 Revision" w:date="2026-05-19T00:00:00Z">
        <w:pPr>
          <w:pStyle w:val="BodyText"/>
        </w:pPr>
        <w:r>
          <w:t xml:space="preserve">Hurwicz, L. (1973). The design of mechanisms for resource allocation.</w:t>
        </w:r>
        <w:r>
          <w:t xml:space="preserve"> </w:t>
        </w:r>
        <w:r>
          <w:t xml:space="preserve">American Economic Review, 63(2), 1–30.</w:t>
        </w:r>
      </w:ins>
    </w:p>
    <w:p>
      <w:ins w:id="11089" w:author="R2 Revision" w:date="2026-05-19T00:00:00Z">
        <w:pPr>
          <w:pStyle w:val="BodyText"/>
        </w:pPr>
        <w:r>
          <w:t xml:space="preserve">Hurwicz, L. (1987). Inventing new institutions: The design perspective.</w:t>
        </w:r>
        <w:r>
          <w:t xml:space="preserve"> </w:t>
        </w:r>
        <w:r>
          <w:t xml:space="preserve">American Journal of Agricultural Economics, 69(2), 395-402.</w:t>
        </w:r>
        <w:r>
          <w:t xml:space="preserve"> </w:t>
        </w:r>
        <w:r>
          <w:t xml:space="preserve">https://doi.org/10.2307/1242293</w:t>
        </w:r>
      </w:ins>
    </w:p>
    <w:p>
      <w:ins w:id="11090" w:author="R2 Revision" w:date="2026-05-19T00:00:00Z">
        <w:pPr>
          <w:pStyle w:val="BodyText"/>
        </w:pPr>
        <w:r>
          <w:t xml:space="preserve">Kant, I. (1991). Perpetual peace: A philosophical sketch. In H. Reiss</w:t>
        </w:r>
        <w:r>
          <w:t xml:space="preserve"> </w:t>
        </w:r>
        <w:r>
          <w:t xml:space="preserve">(Ed.), Kant: Political writings (pp. 93-130). Cambridge University</w:t>
        </w:r>
        <w:r>
          <w:t xml:space="preserve"> </w:t>
        </w:r>
        <w:r>
          <w:t xml:space="preserve">Press. (Original work published 1795)</w:t>
        </w:r>
      </w:ins>
    </w:p>
    <w:p>
      <w:ins w:id="11091" w:author="R2 Revision" w:date="2026-05-19T00:00:00Z">
        <w:pPr>
          <w:pStyle w:val="BodyText"/>
        </w:pPr>
        <w:r>
          <w:t xml:space="preserve">Kant, I. (1997). Groundwork of the metaphysics of morals (M. Gregor, Ed.</w:t>
        </w:r>
        <w:r>
          <w:t xml:space="preserve"> </w:t>
        </w:r>
        <w:r>
          <w:t xml:space="preserve">&amp; Trans.). Cambridge University Press. (Original work published 1785.)</w:t>
        </w:r>
      </w:ins>
    </w:p>
    <w:p>
      <w:ins w:id="11092" w:author="R2 Revision" w:date="2026-05-19T00:00:00Z">
        <w:pPr>
          <w:pStyle w:val="BodyText"/>
        </w:pPr>
        <w:r>
          <w:t xml:space="preserve">Kiayias, A., Koutsoupias, E., Markakis, E., &amp; Tsamopoulos, P. (2025).</w:t>
        </w:r>
        <w:r>
          <w:t xml:space="preserve"> </w:t>
        </w:r>
        <w:r>
          <w:t xml:space="preserve">Pool formation in oceanic games: Shapley value and proportional sharing.</w:t>
        </w:r>
        <w:r>
          <w:t xml:space="preserve"> </w:t>
        </w:r>
        <w:r>
          <w:t xml:space="preserve">In Proc. 7th Conference on Advances in Financial Technologies (AFT</w:t>
        </w:r>
        <w:r>
          <w:t xml:space="preserve"> </w:t>
        </w:r>
        <w:r>
          <w:t xml:space="preserve">2025), LIPIcs Vol. 354, pp. 21:1–21:24.</w:t>
        </w:r>
        <w:r>
          <w:t xml:space="preserve"> </w:t>
        </w:r>
        <w:r>
          <w:t xml:space="preserve">https://doi.org/10.4230/LIPIcs.AFT.2025.21</w:t>
        </w:r>
      </w:ins>
    </w:p>
    <w:p>
      <w:ins w:id="11093" w:author="R2 Revision" w:date="2026-05-19T00:00:00Z">
        <w:pPr>
          <w:pStyle w:val="BodyText"/>
        </w:pPr>
        <w:r>
          <w:t xml:space="preserve">Kvålsøth, T. O. (2022a). Measurement of market (industry) concentration</w:t>
        </w:r>
        <w:r>
          <w:t xml:space="preserve"> </w:t>
        </w:r>
        <w:r>
          <w:t xml:space="preserve">based on value validity. PLOS ONE, 17(2), e0264613.</w:t>
        </w:r>
        <w:r>
          <w:t xml:space="preserve"> </w:t>
        </w:r>
        <w:r>
          <w:t xml:space="preserve">https://doi.org/10.1371/journal.pone.0264613</w:t>
        </w:r>
      </w:ins>
    </w:p>
    <w:p>
      <w:ins w:id="11094" w:author="R2 Revision" w:date="2026-05-19T00:00:00Z">
        <w:pPr>
          <w:pStyle w:val="BodyText"/>
        </w:pPr>
        <w:r>
          <w:t xml:space="preserve">Kvålsøth, T. O. (2022b). Cautionary note about the Herfindahl-Hirschman</w:t>
        </w:r>
        <w:r>
          <w:t xml:space="preserve"> </w:t>
        </w:r>
        <w:r>
          <w:t xml:space="preserve">Index of market (industry) concentration. Contemporary Economics, 16(1),</w:t>
        </w:r>
        <w:r>
          <w:t xml:space="preserve"> </w:t>
        </w:r>
        <w:r>
          <w:t xml:space="preserve">51–60. https://ssrn.com/abstract=4132083</w:t>
        </w:r>
      </w:ins>
    </w:p>
    <w:p>
      <w:ins w:id="11095" w:author="R2 Revision" w:date="2026-05-19T00:00:00Z">
        <w:pPr>
          <w:pStyle w:val="BodyText"/>
        </w:pPr>
        <w:r>
          <w:t xml:space="preserve">Li, S., &amp; Chen, Y. (2024). Governing decentralized autonomous</w:t>
        </w:r>
        <w:r>
          <w:t xml:space="preserve"> </w:t>
        </w:r>
        <w:r>
          <w:t xml:space="preserve">organizations as digital commons. Journal of Business Venturing</w:t>
        </w:r>
        <w:r>
          <w:t xml:space="preserve"> </w:t>
        </w:r>
        <w:r>
          <w:t xml:space="preserve">Insights, 22, e00450. https://doi.org/10.1016/j.jbvi.2024.e00450</w:t>
        </w:r>
      </w:ins>
    </w:p>
    <w:p>
      <w:ins w:id="11096" w:author="R2 Revision" w:date="2026-05-19T00:00:00Z">
        <w:pPr>
          <w:pStyle w:val="BodyText"/>
        </w:pPr>
        <w:r>
          <w:t xml:space="preserve">Michels, R. (1911/1962). Political parties: A sociological study of the</w:t>
        </w:r>
        <w:r>
          <w:t xml:space="preserve"> </w:t>
        </w:r>
        <w:r>
          <w:t xml:space="preserve">oligarchical tendencies of modern democracy (E. Paul &amp; C. Paul, Trans.).</w:t>
        </w:r>
        <w:r>
          <w:t xml:space="preserve"> </w:t>
        </w:r>
        <w:r>
          <w:t xml:space="preserve">Free Press. (Original work published 1911)</w:t>
        </w:r>
      </w:ins>
    </w:p>
    <w:p>
      <w:ins w:id="11097" w:author="R2 Revision" w:date="2026-05-19T00:00:00Z">
        <w:pPr>
          <w:pStyle w:val="BodyText"/>
        </w:pPr>
        <w:r>
          <w:t xml:space="preserve">Motepalli, S., Garg, N., Zhang, G., &amp; Jacobsen, H.-A. (2025).</w:t>
        </w:r>
        <w:r>
          <w:t xml:space="preserve"> </w:t>
        </w:r>
        <w:r>
          <w:t xml:space="preserve">Decentralization in PoS blockchain consensus: Quantification and</w:t>
        </w:r>
        <w:r>
          <w:t xml:space="preserve"> </w:t>
        </w:r>
        <w:r>
          <w:t xml:space="preserve">advancement. arXiv:2504.14351. https://arxiv.org/abs/2504.14351</w:t>
        </w:r>
      </w:ins>
    </w:p>
    <w:p>
      <w:ins w:id="11098" w:author="R2 Revision" w:date="2026-05-19T00:00:00Z">
        <w:pPr>
          <w:pStyle w:val="BodyText"/>
        </w:pPr>
        <w:r>
          <w:t xml:space="preserve">Myerson, R. B. (1981). Optimal auction design. Mathematics of Operations</w:t>
        </w:r>
        <w:r>
          <w:t xml:space="preserve"> </w:t>
        </w:r>
        <w:r>
          <w:t xml:space="preserve">Research, 6(1), 58–73. https://doi.org/10.1287/moor.6.1.58</w:t>
        </w:r>
      </w:ins>
    </w:p>
    <w:p>
      <w:ins w:id="11099" w:author="R2 Revision" w:date="2026-05-19T00:00:00Z">
        <w:pPr>
          <w:pStyle w:val="BodyText"/>
        </w:pPr>
        <w:r>
          <w:t xml:space="preserve">Nabben, K., Wang, H., &amp; Zargham, M. (2024). Decentralised governance for</w:t>
        </w:r>
        <w:r>
          <w:t xml:space="preserve"> </w:t>
        </w:r>
        <w:r>
          <w:t xml:space="preserve">autonomous cyber-physical systems. arXiv preprint, arXiv:2408.16764.</w:t>
        </w:r>
        <w:r>
          <w:t xml:space="preserve"> </w:t>
        </w:r>
        <w:r>
          <w:t xml:space="preserve">https://arxiv.org/abs/2408.16764</w:t>
        </w:r>
      </w:ins>
    </w:p>
    <w:p>
      <w:ins w:id="11100" w:author="R2 Revision" w:date="2026-05-19T00:00:00Z">
        <w:pPr>
          <w:pStyle w:val="BodyText"/>
        </w:pPr>
        <w:r>
          <w:t xml:space="preserve">Nadler, M., &amp; Schär, F. (2020). Decentralized finance, centralized</w:t>
        </w:r>
        <w:r>
          <w:t xml:space="preserve"> </w:t>
        </w:r>
        <w:r>
          <w:t xml:space="preserve">ownership? An iterative mapping process to measure protocol token</w:t>
        </w:r>
        <w:r>
          <w:t xml:space="preserve"> </w:t>
        </w:r>
        <w:r>
          <w:t xml:space="preserve">distribution. arXiv:2012.09306.</w:t>
        </w:r>
        <w:r>
          <w:t xml:space="preserve"> </w:t>
        </w:r>
        <w:r>
          <w:t xml:space="preserve">https://doi.org/10.48550/arXiv.2012.09306</w:t>
        </w:r>
      </w:ins>
    </w:p>
    <w:p>
      <w:ins w:id="11101" w:author="R2 Revision" w:date="2026-05-19T00:00:00Z">
        <w:pPr>
          <w:pStyle w:val="BodyText"/>
        </w:pPr>
        <w:r>
          <w:t xml:space="preserve">North, D. C. (1990). Institutions, institutional change and economic</w:t>
        </w:r>
        <w:r>
          <w:t xml:space="preserve"> </w:t>
        </w:r>
        <w:r>
          <w:t xml:space="preserve">performance. Cambridge University Press.</w:t>
        </w:r>
      </w:ins>
    </w:p>
    <w:p>
      <w:ins w:id="11102" w:author="R2 Revision" w:date="2026-05-19T00:00:00Z">
        <w:pPr>
          <w:pStyle w:val="BodyText"/>
        </w:pPr>
        <w:r>
          <w:t xml:space="preserve">Nissenbaum, H. (2010). Privacy in context: Technology, policy, and the</w:t>
        </w:r>
        <w:r>
          <w:t xml:space="preserve"> </w:t>
        </w:r>
        <w:r>
          <w:t xml:space="preserve">integrity of social life. Stanford University Press.</w:t>
        </w:r>
      </w:ins>
    </w:p>
    <w:p>
      <w:ins w:id="11103" w:author="R2 Revision" w:date="2026-05-19T00:00:00Z">
        <w:pPr>
          <w:pStyle w:val="BodyText"/>
        </w:pPr>
        <w:r>
          <w:t xml:space="preserve">Nussbaum, M. C. (2011). Creating capabilities: The human development</w:t>
        </w:r>
        <w:r>
          <w:t xml:space="preserve"> </w:t>
        </w:r>
        <w:r>
          <w:t xml:space="preserve">approach. Harvard University Press.</w:t>
        </w:r>
      </w:ins>
    </w:p>
    <w:p>
      <w:ins w:id="11104" w:author="R2 Revision" w:date="2026-05-19T00:00:00Z">
        <w:pPr>
          <w:pStyle w:val="BodyText"/>
        </w:pPr>
        <w:r>
          <w:t xml:space="preserve">Okutan, B. A., Schmid, S., &amp; Pignolet, Y.-A. (2025). Democracy for DAOs:</w:t>
        </w:r>
        <w:r>
          <w:t xml:space="preserve"> </w:t>
        </w:r>
        <w:r>
          <w:t xml:space="preserve">An empirical study of decentralized governance and dynamics: Case study</w:t>
        </w:r>
        <w:r>
          <w:t xml:space="preserve"> </w:t>
        </w:r>
        <w:r>
          <w:t xml:space="preserve">Internet Computer SNS ecosystem. In Proc. IEEE International Conference</w:t>
        </w:r>
        <w:r>
          <w:t xml:space="preserve"> </w:t>
        </w:r>
        <w:r>
          <w:t xml:space="preserve">on Blockchain and Cryptocurrency (ICBC).</w:t>
        </w:r>
        <w:r>
          <w:t xml:space="preserve"> </w:t>
        </w:r>
        <w:r>
          <w:t xml:space="preserve">https://doi.org/10.1109/icbc64466.2025.11114606</w:t>
        </w:r>
      </w:ins>
    </w:p>
    <w:p>
      <w:ins w:id="11105" w:author="R2 Revision" w:date="2026-05-19T00:00:00Z">
        <w:pPr>
          <w:pStyle w:val="BodyText"/>
        </w:pPr>
        <w:r>
          <w:t xml:space="preserve">Olson, M. (1965). The logic of collective action: Public goods and the</w:t>
        </w:r>
        <w:r>
          <w:t xml:space="preserve"> </w:t>
        </w:r>
        <w:r>
          <w:t xml:space="preserve">theory of groups. Harvard University Press.</w:t>
        </w:r>
      </w:ins>
    </w:p>
    <w:p>
      <w:ins w:id="11106" w:author="R2 Revision" w:date="2026-05-19T00:00:00Z">
        <w:pPr>
          <w:pStyle w:val="BodyText"/>
        </w:pPr>
        <w:r>
          <w:t xml:space="preserve">Ostrom, E. (1990). Governing the commons: The evolution of institutions</w:t>
        </w:r>
        <w:r>
          <w:t xml:space="preserve"> </w:t>
        </w:r>
        <w:r>
          <w:t xml:space="preserve">for collective action. Cambridge University Press.</w:t>
        </w:r>
      </w:ins>
    </w:p>
    <w:p>
      <w:ins w:id="11107" w:author="R2 Revision" w:date="2026-05-19T00:00:00Z">
        <w:pPr>
          <w:pStyle w:val="BodyText"/>
        </w:pPr>
        <w:r>
          <w:t xml:space="preserve">Optimism. (2024). Optimism governance documentation: Citizens’ House.</w:t>
        </w:r>
        <w:r>
          <w:t xml:space="preserve"> </w:t>
        </w:r>
        <w:r>
          <w:t xml:space="preserve">https://community.optimism.io/docs/governance/</w:t>
        </w:r>
      </w:ins>
    </w:p>
    <w:p>
      <w:ins w:id="11108" w:author="R2 Revision" w:date="2026-05-19T00:00:00Z">
        <w:pPr>
          <w:pStyle w:val="BodyText"/>
        </w:pPr>
        <w:r>
          <w:t xml:space="preserve">Pettit, P. (1997). Republicanism: A theory of freedom and government.</w:t>
        </w:r>
        <w:r>
          <w:t xml:space="preserve"> </w:t>
        </w:r>
        <w:r>
          <w:t xml:space="preserve">Oxford University Press.</w:t>
        </w:r>
      </w:ins>
    </w:p>
    <w:p>
      <w:ins w:id="11109" w:author="R2 Revision" w:date="2026-05-19T00:00:00Z">
        <w:pPr>
          <w:pStyle w:val="BodyText"/>
        </w:pPr>
        <w:r>
          <w:t xml:space="preserve">Pfeffer, J., &amp; Salancik, G. R. (1978). The external control of</w:t>
        </w:r>
        <w:r>
          <w:t xml:space="preserve"> </w:t>
        </w:r>
        <w:r>
          <w:t xml:space="preserve">organizations: A resource dependence perspective. Harper &amp; Row.</w:t>
        </w:r>
      </w:ins>
    </w:p>
    <w:p>
      <w:ins w:id="11110" w:author="R2 Revision" w:date="2026-05-19T00:00:00Z">
        <w:pPr>
          <w:pStyle w:val="BodyText"/>
        </w:pPr>
        <w:r>
          <w:t xml:space="preserve">Pettit, P. (2012). On the people’s terms: A republican theory and</w:t>
        </w:r>
        <w:r>
          <w:t xml:space="preserve"> </w:t>
        </w:r>
        <w:r>
          <w:t xml:space="preserve">model of democracy. Cambridge University Press.</w:t>
        </w:r>
      </w:ins>
    </w:p>
    <w:p>
      <w:ins w:id="11111" w:author="R2 Revision" w:date="2026-05-19T00:00:00Z">
        <w:pPr>
          <w:pStyle w:val="BodyText"/>
        </w:pPr>
        <w:r>
          <w:t xml:space="preserve">Pogge, T. (2002). World poverty and human rights: Cosmopolitan</w:t>
        </w:r>
        <w:r>
          <w:t xml:space="preserve"> </w:t>
        </w:r>
        <w:r>
          <w:t xml:space="preserve">responsibilities and reforms. Polity Press.</w:t>
        </w:r>
      </w:ins>
    </w:p>
    <w:p>
      <w:ins w:id="11112" w:author="R2 Revision" w:date="2026-05-19T00:00:00Z">
        <w:pPr>
          <w:pStyle w:val="BodyText"/>
        </w:pPr>
        <w:r>
          <w:t xml:space="preserve">Rawls, J. (1999). A theory of justice (Rev. ed.). Belknap Press of</w:t>
        </w:r>
        <w:r>
          <w:t xml:space="preserve"> </w:t>
        </w:r>
        <w:r>
          <w:t xml:space="preserve">Harvard University Press. https://doi.org/10.4159/9780674042582</w:t>
        </w:r>
        <w:r>
          <w:t xml:space="preserve"> </w:t>
        </w:r>
        <w:r>
          <w:t xml:space="preserve">(Original work published 1971.)</w:t>
        </w:r>
      </w:ins>
    </w:p>
    <w:p>
      <w:ins w:id="11113" w:author="R2 Revision" w:date="2026-05-19T00:00:00Z">
        <w:pPr>
          <w:pStyle w:val="BodyText"/>
        </w:pPr>
        <w:r>
          <w:t xml:space="preserve">Rawls, J. (2001). Justice as fairness: A restatement. Harvard</w:t>
        </w:r>
        <w:r>
          <w:t xml:space="preserve"> </w:t>
        </w:r>
        <w:r>
          <w:t xml:space="preserve">University Press.</w:t>
        </w:r>
      </w:ins>
    </w:p>
    <w:p>
      <w:ins w:id="11114" w:author="R2 Revision" w:date="2026-05-19T00:00:00Z">
        <w:pPr>
          <w:pStyle w:val="BodyText"/>
        </w:pPr>
        <w:r>
          <w:t xml:space="preserve">Reijers, W., &amp; Coeckelbergh, M. (2018). The blockchain as a narrative</w:t>
        </w:r>
        <w:r>
          <w:t xml:space="preserve"> </w:t>
        </w:r>
        <w:r>
          <w:t xml:space="preserve">technology: Investigating the social ontology and normative</w:t>
        </w:r>
        <w:r>
          <w:t xml:space="preserve"> </w:t>
        </w:r>
        <w:r>
          <w:t xml:space="preserve">configurations of cryptocurrencies. Philosophy &amp; Technology, 31(1),</w:t>
        </w:r>
        <w:r>
          <w:t xml:space="preserve"> </w:t>
        </w:r>
        <w:r>
          <w:t xml:space="preserve">103–130. https://doi.org/10.1007/s13347-016-0239-x</w:t>
        </w:r>
      </w:ins>
    </w:p>
    <w:p>
      <w:ins w:id="11115" w:author="R2 Revision" w:date="2026-05-19T00:00:00Z">
        <w:pPr>
          <w:pStyle w:val="BodyText"/>
        </w:pPr>
        <w:r>
          <w:t xml:space="preserve">Rikken, O., Janssen, M., &amp; Kwee, Z. (2023). Governance impacts of</w:t>
        </w:r>
        <w:r>
          <w:t xml:space="preserve"> </w:t>
        </w:r>
        <w:r>
          <w:t xml:space="preserve">blockchain-based decentralized autonomous organizations: An empirical</w:t>
        </w:r>
        <w:r>
          <w:t xml:space="preserve"> </w:t>
        </w:r>
        <w:r>
          <w:t xml:space="preserve">analysis. Policy Design and Practice, 6(4), 465–487.</w:t>
        </w:r>
        <w:r>
          <w:t xml:space="preserve"> </w:t>
        </w:r>
        <w:r>
          <w:t xml:space="preserve">https://doi.org/10.1080/25741292.2023.2270220</w:t>
        </w:r>
      </w:ins>
    </w:p>
    <w:p>
      <w:ins w:id="11116" w:author="R2 Revision" w:date="2026-05-19T00:00:00Z">
        <w:pPr>
          <w:pStyle w:val="BodyText"/>
        </w:pPr>
        <w:r>
          <w:t xml:space="preserve">Roughgarden, T. (2020). Transaction fee mechanism design for the</w:t>
        </w:r>
        <w:r>
          <w:t xml:space="preserve"> </w:t>
        </w:r>
        <w:r>
          <w:t xml:space="preserve">Ethereum blockchain: An economic analysis of EIP-1559. arXiv:2012.00854.</w:t>
        </w:r>
        <w:r>
          <w:t xml:space="preserve"> </w:t>
        </w:r>
        <w:r>
          <w:t xml:space="preserve">https://arxiv.org/abs/2012.00854</w:t>
        </w:r>
      </w:ins>
    </w:p>
    <w:p>
      <w:ins w:id="11117" w:author="R2 Revision" w:date="2026-05-19T00:00:00Z">
        <w:pPr>
          <w:pStyle w:val="BodyText"/>
        </w:pPr>
        <w:r>
          <w:t xml:space="preserve">Roughgarden, T. (2021). Transaction fee mechanism design. ACM SIGecom</w:t>
        </w:r>
        <w:r>
          <w:t xml:space="preserve"> </w:t>
        </w:r>
        <w:r>
          <w:t xml:space="preserve">Exchanges, 19(1), 52–55. https://doi.org/10.1145/3476436.3476445</w:t>
        </w:r>
      </w:ins>
    </w:p>
    <w:p>
      <w:ins w:id="11118" w:author="R2 Revision" w:date="2026-05-19T00:00:00Z">
        <w:pPr>
          <w:pStyle w:val="BodyText"/>
        </w:pPr>
        <w:r>
          <w:t xml:space="preserve">Sai, A. R., Buckley, J., &amp; Le Gear, A. (2021). Characterizing wealth</w:t>
        </w:r>
        <w:r>
          <w:t xml:space="preserve"> </w:t>
        </w:r>
        <w:r>
          <w:t xml:space="preserve">inequality in cryptocurrencies. Frontiers in Blockchain, 4, 730122.</w:t>
        </w:r>
        <w:r>
          <w:t xml:space="preserve"> </w:t>
        </w:r>
        <w:r>
          <w:t xml:space="preserve">https://doi.org/10.3389/fbloc.2021.730122</w:t>
        </w:r>
      </w:ins>
    </w:p>
    <w:p>
      <w:ins w:id="11119" w:author="R2 Revision" w:date="2026-05-19T00:00:00Z">
        <w:pPr>
          <w:pStyle w:val="BodyText"/>
        </w:pPr>
        <w:r>
          <w:t xml:space="preserve">Sawinyh, N. (2025, October 29). Points-based distribution programs in</w:t>
        </w:r>
        <w:r>
          <w:t xml:space="preserve"> </w:t>
        </w:r>
        <w:r>
          <w:t xml:space="preserve">Web3: A comprehensive guide. DeFiPrime.</w:t>
        </w:r>
        <w:r>
          <w:t xml:space="preserve"> </w:t>
        </w:r>
        <w:r>
          <w:t xml:space="preserve">https://defiprime.com/points-based-token-distribution-programs-web3</w:t>
        </w:r>
      </w:ins>
    </w:p>
    <w:p>
      <w:ins w:id="11120" w:author="R2 Revision" w:date="2026-05-19T00:00:00Z">
        <w:pPr>
          <w:pStyle w:val="BodyText"/>
        </w:pPr>
        <w:r>
          <w:t xml:space="preserve">Schär, F. (2021). Decentralized finance: On blockchain- and smart</w:t>
        </w:r>
        <w:r>
          <w:t xml:space="preserve"> </w:t>
        </w:r>
        <w:r>
          <w:t xml:space="preserve">contract-based financial markets. Federal Reserve Bank of St. Louis</w:t>
        </w:r>
        <w:r>
          <w:t xml:space="preserve"> </w:t>
        </w:r>
        <w:r>
          <w:t xml:space="preserve">Review, 103(2), 153–174. https://doi.org/10.20955/r.103.153-74</w:t>
        </w:r>
      </w:ins>
    </w:p>
    <w:p>
      <w:ins w:id="11121" w:author="R2 Revision" w:date="2026-05-19T00:00:00Z">
        <w:pPr>
          <w:pStyle w:val="BodyText"/>
        </w:pPr>
        <w:r>
          <w:t xml:space="preserve">Scholte, J. A. (2026). Concluding reflections: Polycentricity and</w:t>
        </w:r>
        <w:r>
          <w:t xml:space="preserve"> </w:t>
        </w:r>
        <w:r>
          <w:t xml:space="preserve">legitimacy in digital governance. Information, Communication &amp; Society.</w:t>
        </w:r>
        <w:r>
          <w:t xml:space="preserve"> </w:t>
        </w:r>
        <w:r>
          <w:t xml:space="preserve">https://doi.org/10.1080/1369118X.2026.2624711</w:t>
        </w:r>
      </w:ins>
    </w:p>
    <w:p>
      <w:ins w:id="11122" w:author="R2 Revision" w:date="2026-05-19T00:00:00Z">
        <w:pPr>
          <w:pStyle w:val="BodyText"/>
        </w:pPr>
        <w:r>
          <w:t xml:space="preserve">Schneider, N. (2019). Governable spaces: Democratic design for online</w:t>
        </w:r>
        <w:r>
          <w:t xml:space="preserve"> </w:t>
        </w:r>
        <w:r>
          <w:t xml:space="preserve">life. University of California Press (forthcoming 2024 publication;</w:t>
        </w:r>
        <w:r>
          <w:t xml:space="preserve"> </w:t>
        </w:r>
        <w:r>
          <w:t xml:space="preserve">preprint 2019).</w:t>
        </w:r>
      </w:ins>
    </w:p>
    <w:p>
      <w:ins w:id="11123" w:author="R2 Revision" w:date="2026-05-19T00:00:00Z">
        <w:pPr>
          <w:pStyle w:val="BodyText"/>
        </w:pPr>
        <w:r>
          <w:t xml:space="preserve">Shapley, L. S. (1953). A value for n-person games. In H. W. Kuhn &amp; A. W.</w:t>
        </w:r>
        <w:r>
          <w:t xml:space="preserve"> </w:t>
        </w:r>
        <w:r>
          <w:t xml:space="preserve">Tucker (Eds.), Contributions to the theory of games, Volume II (Annals</w:t>
        </w:r>
        <w:r>
          <w:t xml:space="preserve"> </w:t>
        </w:r>
        <w:r>
          <w:t xml:space="preserve">of Mathematics Studies 28, pp. 307–317). Princeton University Press.</w:t>
        </w:r>
      </w:ins>
    </w:p>
    <w:p>
      <w:ins w:id="11124" w:author="R2 Revision" w:date="2026-05-19T00:00:00Z">
        <w:pPr>
          <w:pStyle w:val="BodyText"/>
        </w:pPr>
        <w:r>
          <w:t xml:space="preserve">Sen, A. (1999). Development as freedom. Alfred A. Knopf.</w:t>
        </w:r>
      </w:ins>
    </w:p>
    <w:p>
      <w:ins w:id="11125" w:author="R2 Revision" w:date="2026-05-19T00:00:00Z">
        <w:pPr>
          <w:pStyle w:val="BodyText"/>
        </w:pPr>
        <w:r>
          <w:t xml:space="preserve">Shapley, L. S., &amp; Shubik, M. (1954). A method for evaluating the</w:t>
        </w:r>
        <w:r>
          <w:t xml:space="preserve"> </w:t>
        </w:r>
        <w:r>
          <w:t xml:space="preserve">distribution of power in a committee system. American Political Science</w:t>
        </w:r>
        <w:r>
          <w:t xml:space="preserve"> </w:t>
        </w:r>
        <w:r>
          <w:t xml:space="preserve">Review, 48(3), 787-792. https://doi.org/10.2307/1951053</w:t>
        </w:r>
      </w:ins>
    </w:p>
    <w:p>
      <w:ins w:id="11126" w:author="R2 Revision" w:date="2026-05-19T00:00:00Z">
        <w:pPr>
          <w:pStyle w:val="BodyText"/>
        </w:pPr>
        <w:r>
          <w:t xml:space="preserve">Sharma, T., Potter, Y., Pongmala, K., Wang, H., Miller, A., Song, D., &amp;</w:t>
        </w:r>
        <w:r>
          <w:t xml:space="preserve"> </w:t>
        </w:r>
        <w:r>
          <w:t xml:space="preserve">Wang, Y. (2026). Future of algorithmic organization: Large-scale</w:t>
        </w:r>
        <w:r>
          <w:t xml:space="preserve"> </w:t>
        </w:r>
        <w:r>
          <w:t xml:space="preserve">analysis of decentralized autonomous organizations (DAOs). ACM</w:t>
        </w:r>
        <w:r>
          <w:t xml:space="preserve"> </w:t>
        </w:r>
        <w:r>
          <w:t xml:space="preserve">Transactions on the Web. https://doi.org/10.1145/3796547</w:t>
        </w:r>
      </w:ins>
    </w:p>
    <w:p>
      <w:ins w:id="11127" w:author="R2 Revision" w:date="2026-05-19T00:00:00Z">
        <w:pPr>
          <w:pStyle w:val="BodyText"/>
        </w:pPr>
        <w:r>
          <w:t xml:space="preserve">Skinner, Q. (1998). Liberty before liberalism. Cambridge University</w:t>
        </w:r>
        <w:r>
          <w:t xml:space="preserve"> </w:t>
        </w:r>
        <w:r>
          <w:t xml:space="preserve">Press.</w:t>
        </w:r>
      </w:ins>
    </w:p>
    <w:p>
      <w:ins w:id="11128" w:author="R2 Revision" w:date="2026-05-19T00:00:00Z">
        <w:pPr>
          <w:pStyle w:val="BodyText"/>
        </w:pPr>
        <w:r>
          <w:t xml:space="preserve">Theil, H. (1967). Economics and information theory. North-Holland.</w:t>
        </w:r>
      </w:ins>
    </w:p>
    <w:p>
      <w:ins w:id="11129" w:author="R2 Revision" w:date="2026-05-19T00:00:00Z">
        <w:pPr>
          <w:pStyle w:val="BodyText"/>
        </w:pPr>
        <w:r>
          <w:t xml:space="preserve">Tirole, J. (2001). Corporate governance. Econometrica, 69(1), 1-35.</w:t>
        </w:r>
        <w:r>
          <w:t xml:space="preserve"> </w:t>
        </w:r>
        <w:r>
          <w:t xml:space="preserve">https://doi.org/10.1111/1468-0262.00177</w:t>
        </w:r>
      </w:ins>
    </w:p>
    <w:p>
      <w:ins w:id="11130" w:author="R2 Revision" w:date="2026-05-19T00:00:00Z">
        <w:pPr>
          <w:pStyle w:val="BodyText"/>
        </w:pPr>
        <w:r>
          <w:t xml:space="preserve">Tchuente, G. (2025). Too big to monitor? Network scale and the breakdown</w:t>
        </w:r>
        <w:r>
          <w:t xml:space="preserve"> </w:t>
        </w:r>
        <w:r>
          <w:t xml:space="preserve">of decentralized monitoring. arXiv:2511.23320.</w:t>
        </w:r>
        <w:r>
          <w:t xml:space="preserve"> </w:t>
        </w:r>
        <w:r>
          <w:t xml:space="preserve">https://doi.org/10.48550/arXiv.2511.23320</w:t>
        </w:r>
      </w:ins>
    </w:p>
    <w:p>
      <w:ins w:id="11131" w:author="R2 Revision" w:date="2026-05-19T00:00:00Z">
        <w:pPr>
          <w:pStyle w:val="BodyText"/>
        </w:pPr>
        <w:r>
          <w:t xml:space="preserve">Van Vulpen, L., &amp; Jansen, S. (2023). Decentralized autonomous</w:t>
        </w:r>
        <w:r>
          <w:t xml:space="preserve"> </w:t>
        </w:r>
        <w:r>
          <w:t xml:space="preserve">organization design for the commons and the common good. Frontiers in</w:t>
        </w:r>
        <w:r>
          <w:t xml:space="preserve"> </w:t>
        </w:r>
        <w:r>
          <w:t xml:space="preserve">Blockchain, 6, 1257313. https://doi.org/10.3389/fbloc.2023.1257313</w:t>
        </w:r>
      </w:ins>
    </w:p>
    <w:p>
      <w:ins w:id="11132" w:author="R2 Revision" w:date="2026-05-19T00:00:00Z">
        <w:pPr>
          <w:pStyle w:val="BodyText"/>
        </w:pPr>
        <w:r>
          <w:t xml:space="preserve">Voshmgir, S. (2020). Token economy: How the web3 reinvents the internet</w:t>
        </w:r>
        <w:r>
          <w:t xml:space="preserve"> </w:t>
        </w:r>
        <w:r>
          <w:t xml:space="preserve">(2nd ed.). Token Kitchen.</w:t>
        </w:r>
      </w:ins>
    </w:p>
    <w:p>
      <w:ins w:id="11133" w:author="R2 Revision" w:date="2026-05-19T00:00:00Z">
        <w:pPr>
          <w:pStyle w:val="BodyText"/>
        </w:pPr>
        <w:r>
          <w:t xml:space="preserve">Weidener, L., Anwar, A., Richter, T., Pournader, P., &amp; Kartal, A. B.</w:t>
        </w:r>
        <w:r>
          <w:t xml:space="preserve"> </w:t>
        </w:r>
        <w:r>
          <w:t xml:space="preserve">(2025). Delegated voting in decentralized autonomous organizations: A</w:t>
        </w:r>
        <w:r>
          <w:t xml:space="preserve"> </w:t>
        </w:r>
        <w:r>
          <w:t xml:space="preserve">scoping review. Frontiers in Blockchain, 8, 1533405.</w:t>
        </w:r>
        <w:r>
          <w:t xml:space="preserve"> </w:t>
        </w:r>
        <w:r>
          <w:t xml:space="preserve">https://doi.org/10.3389/fbloc.2025.1533405</w:t>
        </w:r>
      </w:ins>
    </w:p>
    <w:p>
      <w:ins w:id="11134" w:author="R2 Revision" w:date="2026-05-19T00:00:00Z">
        <w:pPr>
          <w:pStyle w:val="BodyText"/>
        </w:pPr>
        <w:r>
          <w:t xml:space="preserve">Wasserstein, R. L., &amp; Lazar, N. A. (2016). The ASA statement on</w:t>
        </w:r>
        <w:r>
          <w:t xml:space="preserve"> </w:t>
        </w:r>
        <w:r>
          <w:t xml:space="preserve">p-values: Context, process, and purpose. The American Statistician,</w:t>
        </w:r>
        <w:r>
          <w:t xml:space="preserve"> </w:t>
        </w:r>
        <w:r>
          <w:t xml:space="preserve">70(2), 129-133. https://doi.org/10.1080/00031305.2016.1154108</w:t>
        </w:r>
      </w:ins>
    </w:p>
    <w:p>
      <w:ins w:id="11135" w:author="R2 Revision" w:date="2026-05-19T00:00:00Z">
        <w:pPr>
          <w:pStyle w:val="BodyText"/>
        </w:pPr>
        <w:r>
          <w:t xml:space="preserve">Werbach, K. (2018). The blockchain and the new architecture of trust.</w:t>
        </w:r>
        <w:r>
          <w:t xml:space="preserve"> </w:t>
        </w:r>
        <w:r>
          <w:t xml:space="preserve">MIT Press. https://doi.org/10.7551/mitpress/11449.001.0001</w:t>
        </w:r>
      </w:ins>
    </w:p>
    <w:p>
      <w:ins w:id="11136" w:author="R2 Revision" w:date="2026-05-19T00:00:00Z">
        <w:pPr>
          <w:pStyle w:val="BodyText"/>
        </w:pPr>
        <w:r>
          <w:t xml:space="preserve">Werner, S. M., Perez, D., Gudgeon, L., Klages-Mundt, A., Harz, D., &amp;</w:t>
        </w:r>
        <w:r>
          <w:t xml:space="preserve"> </w:t>
        </w:r>
        <w:r>
          <w:t xml:space="preserve">Knottenbelt, W. J. (2022). SoK: Decentralized finance (DeFi). In</w:t>
        </w:r>
        <w:r>
          <w:t xml:space="preserve"> </w:t>
        </w:r>
        <w:r>
          <w:t xml:space="preserve">Proceedings of the 4th ACM Conference on Advances in Financial</w:t>
        </w:r>
        <w:r>
          <w:t xml:space="preserve"> </w:t>
        </w:r>
        <w:r>
          <w:t xml:space="preserve">Technologies (pp. 30–46). ACM. https://doi.org/10.1145/3558535.3559780</w:t>
        </w:r>
      </w:ins>
    </w:p>
    <w:p>
      <w:ins w:id="11137" w:author="R2 Revision" w:date="2026-05-19T00:00:00Z">
        <w:pPr>
          <w:pStyle w:val="BodyText"/>
        </w:pPr>
        <w:r>
          <w:t xml:space="preserve">Williamson, O. E. (1999). Public and private bureaucracies: A</w:t>
        </w:r>
        <w:r>
          <w:t xml:space="preserve"> </w:t>
        </w:r>
        <w:r>
          <w:t xml:space="preserve">transaction cost economics perspective. Journal of Law, Economics, and</w:t>
        </w:r>
        <w:r>
          <w:t xml:space="preserve"> </w:t>
        </w:r>
        <w:r>
          <w:t xml:space="preserve">Organization, 15(1), 306–342.</w:t>
        </w:r>
      </w:ins>
    </w:p>
    <w:p>
      <w:ins w:id="11138" w:author="R2 Revision" w:date="2026-05-19T00:00:00Z">
        <w:pPr>
          <w:pStyle w:val="BodyText"/>
        </w:pPr>
        <w:r>
          <w:t xml:space="preserve">Yanaka, H., &amp; Heeks, R. (2023). Analysing the development impact of the</w:t>
        </w:r>
        <w:r>
          <w:t xml:space="preserve"> </w:t>
        </w:r>
        <w:r>
          <w:t xml:space="preserve">gig economy using Sen’s capability approach (Digital Development Working</w:t>
        </w:r>
        <w:r>
          <w:t xml:space="preserve"> </w:t>
        </w:r>
        <w:r>
          <w:t xml:space="preserve">Paper No. 101). University of Manchester.</w:t>
        </w:r>
        <w:r>
          <w:t xml:space="preserve"> </w:t>
        </w:r>
        <w:r>
          <w:t xml:space="preserve">https://hummedia.manchester.ac.uk/institutes/gdi/publications/workingpapers/di/dd_wp101.pdf</w:t>
        </w:r>
      </w:ins>
    </w:p>
    <w:p>
      <w:ins w:id="11139" w:author="R2 Revision" w:date="2026-05-19T00:00:00Z">
        <w:pPr>
          <w:pStyle w:val="BodyText"/>
        </w:pPr>
        <w:r>
          <w:t xml:space="preserve">Zukowski, Z. (2026a). Who burns the tokens? Fiscal sustainability and</w:t>
        </w:r>
        <w:r>
          <w:t xml:space="preserve"> </w:t>
        </w:r>
        <w:r>
          <w:t xml:space="preserve">demand concentration in GeoDePIN networks. SSRN Working Paper.</w:t>
        </w:r>
        <w:r>
          <w:t xml:space="preserve"> </w:t>
        </w:r>
        <w:r>
          <w:t xml:space="preserve">https://papers.ssrn.com/sol3/papers.cfm?abstract_id=6483619</w:t>
        </w:r>
      </w:ins>
    </w:p>
    <w:p>
      <w:ins w:id="11140" w:author="R2 Revision" w:date="2026-05-19T00:00:00Z">
        <w:pPr>
          <w:pStyle w:val="BodyText"/>
        </w:pPr>
        <w:r>
          <w:t xml:space="preserve">Zukowski, Z. (2026c). Routing the Dollar: Gateway infrastructure,</w:t>
        </w:r>
        <w:r>
          <w:t xml:space="preserve"> </w:t>
        </w:r>
        <w:r>
          <w:t xml:space="preserve">monetary policy transmission, and the Dollar’s international functions</w:t>
        </w:r>
        <w:r>
          <w:t xml:space="preserve"> </w:t>
        </w:r>
        <w:r>
          <w:t xml:space="preserve">in digital markets. SSRN Working Paper No. 6267698.</w:t>
        </w:r>
        <w:r>
          <w:t xml:space="preserve"> </w:t>
        </w:r>
        <w:r>
          <w:t xml:space="preserve">https://papers.ssrn.com/sol3/papers.cfm?abstract_id=6267698</w:t>
        </w:r>
      </w:ins>
    </w:p>
    <w:p>
      <w:ins w:id="11141" w:author="R2 Revision" w:date="2026-05-19T00:00:00Z">
        <w:pPr>
          <w:pStyle w:val="BodyText"/>
        </w:pPr>
        <w:r>
          <w:t xml:space="preserve">Zukowski, Z. (2026d). Seven Dollars: Legal Structure, Operator Risk, and</w:t>
        </w:r>
        <w:r>
          <w:t xml:space="preserve"> </w:t>
        </w:r>
        <w:r>
          <w:t xml:space="preserve">Diligence Divergence Across Dollar-Denominated Digital Products. SSRN</w:t>
        </w:r>
        <w:r>
          <w:t xml:space="preserve"> </w:t>
        </w:r>
        <w:r>
          <w:t xml:space="preserve">Working Paper [forthcoming].</w:t>
        </w:r>
      </w:ins>
    </w:p>
    <w:p>
      <w:ins w:id="11142" w:author="R2 Revision" w:date="2026-05-19T00:00:00Z">
        <w:pPr>
          <w:pStyle w:val="BodyText"/>
        </w:pPr>
        <w:r>
          <w:t xml:space="preserve">Zukowski, Z. (2026b). Adaptive Tokenomics: A Systems Engineering</w:t>
        </w:r>
        <w:r>
          <w:t xml:space="preserve"> </w:t>
        </w:r>
        <w:r>
          <w:t xml:space="preserve">Approach to Programmable Incentive Design. SSRN Working Paper</w:t>
        </w:r>
        <w:r>
          <w:t xml:space="preserve"> </w:t>
        </w:r>
        <w:r>
          <w:t xml:space="preserve">No. 6364158. https://papers.ssrn.com/sol3/papers.cfm?abstract_id=6364158</w:t>
        </w:r>
      </w:ins>
    </w:p>
    <w:bookmarkEnd w:id="12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mbria" w:hAnsi="Cambria"/>
      <w:sz w:val="24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5" Target="numbering.xml" /><Relationship Type="http://schemas.openxmlformats.org/officeDocument/2006/relationships/styles" Id="rId24" Target="styles.xml" /><Relationship Type="http://schemas.openxmlformats.org/officeDocument/2006/relationships/settings" Id="rId23" Target="settings.xml" /><Relationship Type="http://schemas.openxmlformats.org/officeDocument/2006/relationships/webSettings" Id="rId22" Target="webSettings.xml" /><Relationship Type="http://schemas.openxmlformats.org/officeDocument/2006/relationships/fontTable" Id="rId21" Target="fontTable.xml" /><Relationship Type="http://schemas.openxmlformats.org/officeDocument/2006/relationships/theme" Id="rId20" Target="theme/theme1.xml" /><Relationship Type="http://schemas.openxmlformats.org/officeDocument/2006/relationships/footnotes" Id="rId19" Target="footnotes.xml" /><Relationship Type="http://schemas.openxmlformats.org/officeDocument/2006/relationships/comments" Id="rId18" Target="comments.xml" /><Relationship Id="rId9" Target="media/image1.png" Type="http://schemas.openxmlformats.org/officeDocument/2006/relationships/image" /><Relationship Id="rId10" Target="media/image2.png" Type="http://schemas.openxmlformats.org/officeDocument/2006/relationships/image" /><Relationship Id="rId11" Target="media/image3.png" Type="http://schemas.openxmlformats.org/officeDocument/2006/relationships/image" /><Relationship Id="rId12" Target="media/exhibit_initial_allocation.png" Type="http://schemas.openxmlformats.org/officeDocument/2006/relationships/image" /><Relationship Id="rId13" Target="media/exhibit_delegation_adjusted.png" Type="http://schemas.openxmlformats.org/officeDocument/2006/relationships/image" /><Relationship Id="rId14" Target="media/exhibit_concentration_participation.png" Type="http://schemas.openxmlformats.org/officeDocument/2006/relationships/image" /><Relationship Id="rId15" Target="media/exhibit_concentration_participation.png" Type="http://schemas.openxmlformats.org/officeDocument/2006/relationships/image" /><Relationship Id="rId16" Target="media/exhibit_sector_comparison.png" Type="http://schemas.openxmlformats.org/officeDocument/2006/relationships/image" /><Relationship Id="rId17" Target="media/exhibit_subsidy_vs_hhi.png" Type="http://schemas.openxmlformats.org/officeDocument/2006/relationships/image" /><Relationship Type="http://schemas.openxmlformats.org/officeDocument/2006/relationships/image" Id="rId104" Target="media/rId104.png" /><Relationship Type="http://schemas.openxmlformats.org/officeDocument/2006/relationships/image" Id="rId92" Target="media/rId92.png" /><Relationship Type="http://schemas.openxmlformats.org/officeDocument/2006/relationships/image" Id="rId88" Target="media/rId88.png" /><Relationship Type="http://schemas.openxmlformats.org/officeDocument/2006/relationships/image" Id="rId107" Target="media/rId107.png" /><Relationship Type="http://schemas.openxmlformats.org/officeDocument/2006/relationships/image" Id="rId84" Target="media/rId84.png" /><Relationship Type="http://schemas.openxmlformats.org/officeDocument/2006/relationships/image" Id="rId101" Target="media/rId101.png" /><Relationship Type="http://schemas.openxmlformats.org/officeDocument/2006/relationships/image" Id="rId64" Target="media/rId64.png" /><Relationship Type="http://schemas.openxmlformats.org/officeDocument/2006/relationships/image" Id="rId57" Target="media/rId57.png" /><Relationship Type="http://schemas.openxmlformats.org/officeDocument/2006/relationships/image" Id="rId51" Target="media/rId51.png" /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github.com/Research-Publications-and-Data/Tokenomics-As-Institutional_Design/blob/main/b2/paper/supplements/S1_metric_definitions.md" TargetMode="External" /><Relationship Type="http://schemas.openxmlformats.org/officeDocument/2006/relationships/hyperlink" Id="rId71" Target="https://github.com/Research-Publications-and-Data/Tokenomics-As-Institutional_Design/blob/main/b2/paper/supplements/S2_scoring_rubric.md" TargetMode="External" /><Relationship Type="http://schemas.openxmlformats.org/officeDocument/2006/relationships/hyperlink" Id="rId72" Target="https://github.com/Research-Publications-and-Data/Tokenomics-As-Institutional_Design/blob/main/b2/paper/supplements/S3_scoring_tables.md" TargetMode="External" /><Relationship Type="http://schemas.openxmlformats.org/officeDocument/2006/relationships/hyperlink" Id="rId123" Target="https://github.com/Research-Publications-and-Data/Tokenomics-As-Institutional_Design/blob/main/b2/paper/supplements/S4_events_table.md" TargetMode="External" /><Relationship Type="http://schemas.openxmlformats.org/officeDocument/2006/relationships/hyperlink" Id="rId75" Target="https://github.com/Research-Publications-and-Data/Tokenomics-As-Institutional_Design/blob/main/b2/paper/supplements/S5_pipeline_specification.md" TargetMode="External" /><Relationship Type="http://schemas.openxmlformats.org/officeDocument/2006/relationships/hyperlink" Id="rId63" Target="https://github.com/Research-Publications-and-Data/Tokenomics-As-Institutional_Design/blob/main/b2/paper/supplements/S6_revenue_standardization.md" TargetMode="External" /><Relationship Type="http://schemas.openxmlformats.org/officeDocument/2006/relationships/hyperlink" Id="rId100" Target="https://github.com/Research-Publications-and-Data/Tokenomics-As-Institutional_Design/blob/main/b2/paper/supplements/S8_tt_expansion.md" TargetMode="External" /><Relationship Type="http://schemas.openxmlformats.org/officeDocument/2006/relationships/hyperlink" Id="rId120" Target="https://github.com/Research-Publications-and-Data/Tokenomics-As-Institutional_Design/tree/main/b2/paper/supplements/S7_hhi_pane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2026-05-19T08:50:10Z</dcterms:created>
  <dcterms:modified xsi:type="dcterms:W3CDTF">2026-05-19T08:50:10Z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