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(DePIN), DeFi, infrastructure, and</w:t>
        </w:r>
        <w:r>
          <w:t xml:space="preserve"> </w:t>
        </w:r>
        <w:r>
          <w:t xml:space="preserve">social token categories documents that team and investor allocation at</w:t>
        </w:r>
        <w:r>
          <w:t xml:space="preserve"> </w:t>
        </w:r>
        <w:r>
          <w:t xml:space="preserve">launch is uninformative about post-distribution governance concentration</w:t>
        </w:r>
        <w:r>
          <w:t xml:space="preserve"> </w:t>
        </w:r>
        <w:r>
          <w:t xml:space="preserve">(Pearson r = 0.17, p = 0.32, N = 37): protocols with generous community</w:t>
        </w:r>
        <w:r>
          <w:t xml:space="preserve"> </w:t>
        </w:r>
        <w:r>
          <w:t xml:space="preserve">distributions exhibit concentration patterns similar to those with heavy</w:t>
        </w:r>
        <w:r>
          <w:t xml:space="preserve"> </w:t>
        </w:r>
        <w:r>
          <w:t xml:space="preserve">insider allocations. Hyperliquid (zero venture capital, 31% community</w:t>
        </w:r>
        <w:r>
          <w:t xml:space="preserve"> </w:t>
        </w:r>
        <w:r>
          <w:t xml:space="preserve">airdrop) shows the lowest DeFi-subsample Herfindahl-Hirschman Index</w:t>
        </w:r>
        <w:r>
          <w:t xml:space="preserve"> </w:t>
        </w:r>
        <w:r>
          <w:t xml:space="preserve">(HHI) of 0.005, but the broader null holds across allocation designs.</w:t>
        </w:r>
        <w:r>
          <w:t xml:space="preserve"> </w:t>
        </w:r>
        <w:r>
          <w:t xml:space="preserve">Evidence is consistent with post-distribution market dynamics shaping</w:t>
        </w:r>
        <w:r>
          <w:t xml:space="preserve"> </w:t>
        </w:r>
        <w:r>
          <w:t xml:space="preserve">concentration 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 more</w:t>
        </w:r>
        <w:r>
          <w:t xml:space="preserve"> </w:t>
        </w:r>
        <w:r>
          <w:t xml:space="preserve">insider wallets in their top-holder sets exhibit higher concentration</w:t>
        </w:r>
        <w:r>
          <w:t xml:space="preserve"> </w:t>
        </w:r>
        <w:r>
          <w:t xml:space="preserve">among non-insider holders (Spearman rho = 0.54, p = 0.001, N = 34):</w:t>
        </w:r>
        <w:r>
          <w:t xml:space="preserve"> </w:t>
        </w:r>
        <w:r>
          <w:t xml:space="preserve">insider-heavy protocols develop concentrated governance ecosystems, not</w:t>
        </w:r>
        <w:r>
          <w:t xml:space="preserve"> </w:t>
        </w:r>
        <w:r>
          <w:t xml:space="preserve">merely concentrated insider positions. Second, sector membership</w:t>
        </w:r>
        <w:r>
          <w:t xml:space="preserve"> </w:t>
        </w:r>
        <w:r>
          <w:t xml:space="preserve">predicts concentration: DePIN exceeds DeFi (Mann-Whitney p = 0.016,</w:t>
        </w:r>
        <w:r>
          <w:t xml:space="preserve"> </w:t>
        </w:r>
        <w:r>
          <w:t xml:space="preserve">Cohen’s d = 1.03), and the effect is robust under nested OLS</w:t>
        </w:r>
        <w:r>
          <w:t xml:space="preserve"> </w:t>
        </w:r>
        <w:r>
          <w:t xml:space="preserve">specifications adding protocol age, log fully diluted valuation (FDV),</w:t>
        </w:r>
        <w:r>
          <w:t xml:space="preserve"> </w:t>
        </w:r>
        <w:r>
          <w:t xml:space="preserve">and initial insider allocation as successive controls (sector</w:t>
        </w:r>
        <w:r>
          <w:t xml:space="preserve"> </w:t>
        </w:r>
        <w:r>
          <w:t xml:space="preserve">coefficient p &lt; 0.05 in Models 1 and 2; in Model 3 with the full</w:t>
        </w:r>
        <w:r>
          <w:t xml:space="preserve"> </w:t>
        </w:r>
        <w:r>
          <w:t xml:space="preserve">control set the coefficient is positive and similar in magnitude but</w:t>
        </w:r>
        <w:r>
          <w:t xml:space="preserve"> </w:t>
        </w:r>
        <w:r>
          <w:t xml:space="preserve">falls just above the conventional threshold at p = 0.060; adjusted R²</w:t>
        </w:r>
        <w:r>
          <w:t xml:space="preserve"> </w:t>
        </w:r>
        <w:r>
          <w:t xml:space="preserve">0.15 to 0.19; Table 6).</w:t>
        </w:r>
        <w:r>
          <w:t xml:space="preserve"> </w:t>
        </w:r>
        <w:r>
          <w:t xml:space="preserve">Third, on-chain subsidy intensity correlates with concentration in</w:t>
        </w:r>
        <w:r>
          <w:t xml:space="preserve"> </w:t>
        </w:r>
        <w:r>
          <w:t xml:space="preserve">levels (r = 0.57, p = 0.008, N = 20) but entirely through Livepeer</w:t>
        </w:r>
        <w:r>
          <w:t xml:space="preserve"> </w:t>
        </w:r>
        <w:r>
          <w:t xml:space="preserve">(88.5x subsidy); excluding Livepeer yields r = 0.11, p = 0.65. Fourth,</w:t>
        </w:r>
        <w:r>
          <w:t xml:space="preserve"> </w:t>
        </w:r>
        <w:r>
          <w:t xml:space="preserve">delegation concentrates governance power above the level measured from</w:t>
        </w:r>
        <w:r>
          <w:t xml:space="preserve"> </w:t>
        </w:r>
        <w:r>
          <w:t xml:space="preserve">token holdings in nine of ten protocols sampled (voting-power HHI</w:t>
        </w:r>
        <w:r>
          <w:t xml:space="preserve"> </w:t>
        </w:r>
        <w:r>
          <w:t xml:space="preserve">exceeds holding HHI by factors of 1.2x to 11.4x),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holders systematically delegate to a broad community-delegate set).</w:t>
        </w:r>
        <w:r>
          <w:t xml:space="preserve"> </w:t>
        </w:r>
        <w:r>
          <w:t xml:space="preserve">Two further vote-escrowed protocols (Curve and Balancer) show extreme</w:t>
        </w:r>
        <w:r>
          <w:t xml:space="preserve"> </w:t>
        </w:r>
        <w:r>
          <w:t xml:space="preserve">amplification (15x and 21x) under ve-token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non-ve-token sample is not predicted by sector or governance venue</w:t>
        </w:r>
        <w:r>
          <w:t xml:space="preserve"> </w:t>
        </w:r>
        <w:r>
          <w:t xml:space="preserve">(Tally on-chain versus Snapshot off-chain), consistent with</w:t>
        </w:r>
        <w:r>
          <w:t xml:space="preserve"> </w:t>
        </w:r>
        <w:r>
          <w:t xml:space="preserve">institutional design at the delegate-program level governing both the</w:t>
        </w:r>
        <w:r>
          <w:t xml:space="preserve"> </w:t>
        </w:r>
        <w:r>
          <w:t xml:space="preserve">direction and magnitude of delegation’s 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(Gini, dispersion across all holders) and governance concentration (HHI,</w:t>
        </w:r>
        <w:r>
          <w:t xml:space="preserve"> </w:t>
        </w:r>
        <w:r>
          <w:t xml:space="preserve">sum of squared top-holder shares) capture distinct properties of the</w:t>
        </w:r>
        <w:r>
          <w:t xml:space="preserve"> </w:t>
        </w:r>
        <w:r>
          <w:t xml:space="preserve">same holder set. Inequality is severe in every protocol (Gini 0.52 to</w:t>
        </w:r>
        <w:r>
          <w:t xml:space="preserve"> </w:t>
        </w:r>
        <w:r>
          <w:t xml:space="preserve">0.99), while concentration varies across two orders of magnitude (HHI</w:t>
        </w:r>
        <w:r>
          <w:t xml:space="preserve"> </w:t>
        </w:r>
        <w:r>
          <w:t xml:space="preserve">0.005 to 0.199); the moderate correlation (r = 0.51) confirms that</w:t>
        </w:r>
        <w:r>
          <w:t xml:space="preserve"> </w:t>
        </w:r>
        <w:r>
          <w:t xml:space="preserve">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 distributes voting power below its holding baseline through a</w:t>
        </w:r>
        <w:r>
          <w:t xml:space="preserve"> </w:t>
        </w:r>
        <w:r>
          <w:t xml:space="preserve">delegate program supporting roughly 100 active community delegates</w:t>
        </w:r>
        <w:r>
          <w:t xml:space="preserve"> </w:t>
        </w:r>
        <w:r>
          <w:t xml:space="preserve">(amplification ratio 0.39x; Section 3.5.1). DIMO concentrates voting</w:t>
        </w:r>
        <w:r>
          <w:t xml:space="preserve"> </w:t>
        </w:r>
        <w:r>
          <w:t xml:space="preserve">power 9.1 times above its holdings through a Snapshot voter pool of</w:t>
        </w:r>
        <w:r>
          <w:t xml:space="preserve"> </w:t>
        </w:r>
        <w:r>
          <w:t xml:space="preserve">ten participants (Section 3.5). Across the ten-protocol governance</w:t>
        </w:r>
        <w:r>
          <w:t xml:space="preserve"> </w:t>
        </w:r>
        <w:r>
          <w:t xml:space="preserve">sample, the magnitude of delegation amplification varies from 1.2 to</w:t>
        </w:r>
        <w:r>
          <w:t xml:space="preserve"> </w:t>
        </w:r>
        <w:r>
          <w:t xml:space="preserve">11.4 times above the holding baseline, with one structural exception</w:t>
        </w:r>
        <w:r>
          <w:t xml:space="preserve"> </w:t>
        </w:r>
        <w:r>
          <w:t xml:space="preserve">(ENS). The cross-protocol variation is not predicted by sector</w:t>
        </w:r>
        <w:r>
          <w:t xml:space="preserve"> </w:t>
        </w:r>
        <w:r>
          <w:t xml:space="preserve">membership or governance venue but by institutional design at the</w:t>
        </w:r>
        <w:r>
          <w:t xml:space="preserve"> </w:t>
        </w:r>
        <w:r>
          <w:t xml:space="preserve">delegate-program level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69</w:t>
        </w:r>
        <w:r>
          <w:t xml:space="preserve"> </w:t>
        </w:r>
        <w:r>
          <w:t xml:space="preserve">protocol-controlled addresses (staking contracts, exchange custodians,</w:t>
        </w:r>
        <w:r>
          <w:t xml:space="preserve"> </w:t>
        </w:r>
        <w:r>
          <w:t xml:space="preserve">vesting locks, and protocol treasuries) from HHI computation, and test</w:t>
        </w:r>
        <w:r>
          <w:t xml:space="preserve"> </w:t>
        </w:r>
        <w:r>
          <w:t xml:space="preserve">every available cross-sectional predictor of concentration using both</w:t>
        </w:r>
        <w:r>
          <w:t xml:space="preserve"> </w:t>
        </w:r>
        <w:r>
          <w:t xml:space="preserve">parametric and 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secure)</w:t>
        </w:r>
        <w:r>
          <w:t xml:space="preserve"> </w:t>
        </w:r>
        <w:r>
          <w:t xml:space="preserve">from the operational mechanism Layer 2 (what is observable in protocol</w:t>
        </w:r>
        <w:r>
          <w:t xml:space="preserve"> </w:t>
        </w:r>
        <w:r>
          <w:t xml:space="preserve">design and scored in Table 1).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(burn destinations;</w:t>
        </w:r>
        <w:r>
          <w:t xml:space="preserve"> </w:t>
        </w:r>
        <w:r>
          <w:t xml:space="preserve">foundation and treasury custody; staking-aggregation contracts; bridge</w:t>
        </w:r>
        <w:r>
          <w:t xml:space="preserve"> </w:t>
        </w:r>
        <w:r>
          <w:t xml:space="preserve">custody and migration addresses), supporting uniform replication and</w:t>
        </w:r>
        <w:r>
          <w:t xml:space="preserve"> </w:t>
        </w:r>
        <w:r>
          <w:t xml:space="preserve">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limitations"/>
    <w:p>
      <w:ins w:id="10049" w:author="R2 Revision" w:date="2026-05-19T00:00:00Z">
        <w:pPr>
          <w:pStyle w:val="Heading3"/>
        </w:pPr>
        <w:r>
          <w:t xml:space="preserve">1.4.3 Limitations</w:t>
        </w:r>
      </w:ins>
    </w:p>
    <w:p>
      <w:ins w:id="10050" w:author="R2 Revision" w:date="2026-05-19T00:00:00Z">
        <w:pPr>
          <w:pStyle w:val="FirstParagraph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risks.</w:t>
        </w:r>
      </w:ins>
    </w:p>
    <w:p>
      <w:ins w:id="10051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mechanisms.</w:t>
        </w:r>
      </w:ins>
    </w:p>
    <w:p>
      <w:ins w:id="10052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ins w:id="10053" w:author="R2 Revision" w:date="2026-05-19T00:00:00Z">
        <w:pPr>
          <w:pStyle w:val="Heading2"/>
        </w:pPr>
        <w:r>
          <w:t xml:space="preserve">1.5 Paper Outline</w:t>
        </w:r>
      </w:ins>
    </w:p>
    <w:p>
      <w:ins w:id="10054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5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6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7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8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59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0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1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2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3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4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5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6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7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8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69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70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1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2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3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4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5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6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7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8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79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0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1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2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3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4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5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6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7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8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89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0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1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2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3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4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5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6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7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8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099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100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1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2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3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4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5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6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7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8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09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0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1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2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3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5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6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7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8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19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0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1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2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3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4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5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7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8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29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0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1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2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3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4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5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6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7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8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39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0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1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2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3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5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6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7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8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49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1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3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4" w:author="R2 Revision" w:date="2026-05-19T00:00:00Z">
        <w:pPr>
          <w:pStyle w:val="Heading3"/>
        </w:pPr>
        <w:r>
          <w:t xml:space="preserve">2.10.1 Approach</w:t>
        </w:r>
      </w:ins>
    </w:p>
    <w:p>
      <w:ins w:id="10185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6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7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8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89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0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1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2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4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5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6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7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8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199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0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1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2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3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(113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4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5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6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7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8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0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2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3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4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5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6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7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8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59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0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1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2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7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8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69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0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5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6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22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77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8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79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3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4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5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6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7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86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7" w:author="R2 Revision" w:date="2026-05-19T00:00:00Z">
        <w:pPr>
          <w:pStyle w:val="BodyText"/>
        </w:pPr>
        <w:r>
          <w:t xml:space="preserve">Table 4 notes:</w:t>
        </w:r>
      </w:ins>
    </w:p>
    <w:p>
      <w:ins w:id="10628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29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0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1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2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3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4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5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6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7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8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3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0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1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2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3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4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5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6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4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5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6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7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49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0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1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2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53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4" w:author="R2 Revision" w:date="2026-05-19T00:00:00Z">
              <w:pPr>
                <w:pStyle w:val="Compact"/>
              </w:pPr>
            </w:ins>
          </w:p>
        </w:tc>
        <w:tc>
          <w:tcPr/>
          <w:p>
            <w:ins w:id="107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8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59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0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2" w:author="R2 Revision" w:date="2026-05-19T00:00:00Z">
              <w:pPr>
                <w:pStyle w:val="Compact"/>
              </w:pP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6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0" w:author="R2 Revision" w:date="2026-05-19T00:00:00Z">
              <w:pPr>
                <w:pStyle w:val="Compact"/>
              </w:pP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4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8" w:author="R2 Revision" w:date="2026-05-19T00:00:00Z">
              <w:pPr>
                <w:pStyle w:val="Compact"/>
              </w:pP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2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</w:pP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5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6" w:author="R2 Revision" w:date="2026-05-19T00:00:00Z">
              <w:pPr>
                <w:pStyle w:val="Compact"/>
              </w:pPr>
            </w:ins>
          </w:p>
        </w:tc>
        <w:tc>
          <w:tcPr/>
          <w:p>
            <w:ins w:id="10787" w:author="R2 Revision" w:date="2026-05-19T00:00:00Z">
              <w:pPr>
                <w:pStyle w:val="Compact"/>
              </w:pP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89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0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1" w:author="R2 Revision" w:date="2026-05-19T00:00:00Z">
              <w:pPr>
                <w:pStyle w:val="Compact"/>
              </w:pP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3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</w:pP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7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8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799" w:author="R2 Revision" w:date="2026-05-19T00:00:00Z">
              <w:pPr>
                <w:pStyle w:val="Compact"/>
              </w:pPr>
            </w:ins>
          </w:p>
        </w:tc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</w:pPr>
            </w:ins>
          </w:p>
        </w:tc>
        <w:tc>
          <w:tcPr/>
          <w:p>
            <w:ins w:id="10804" w:author="R2 Revision" w:date="2026-05-19T00:00:00Z">
              <w:pPr>
                <w:pStyle w:val="Compact"/>
              </w:pPr>
            </w:ins>
          </w:p>
        </w:tc>
        <w:tc>
          <w:tcPr/>
          <w:p>
            <w:ins w:id="10805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6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7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0" w:author="R2 Revision" w:date="2026-05-19T00:00:00Z">
              <w:pPr>
                <w:pStyle w:val="Compact"/>
              </w:pPr>
            </w:ins>
          </w:p>
        </w:tc>
        <w:tc>
          <w:tcPr/>
          <w:p>
            <w:ins w:id="10811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4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8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1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3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4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25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6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8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 voting/holding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voting/holding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29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0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1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2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3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1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2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03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4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5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6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7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8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09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0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1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2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3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4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5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16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7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8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19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0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1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2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4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5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6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7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8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29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0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1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2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3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35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37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38" w:author="R2 Revision" w:date="2026-05-19T00:00:00Z">
        <w:pPr>
          <w:pStyle w:val="Heading2"/>
        </w:pPr>
        <w:r>
          <w:t xml:space="preserve">4.1 Design Hypotheses</w:t>
        </w:r>
      </w:ins>
    </w:p>
    <w:p>
      <w:ins w:id="10939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0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2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44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5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6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7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8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49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0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1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2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53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54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5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6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7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8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59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0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1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2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63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64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5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7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8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69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0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1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2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73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74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5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6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79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0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1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2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83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84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85" w:author="R2 Revision" w:date="2026-05-19T00:00:00Z">
        <w:pPr>
          <w:pStyle w:val="Heading2"/>
        </w:pPr>
        <w:r>
          <w:t xml:space="preserve">4.7 Contributions</w:t>
        </w:r>
      </w:ins>
    </w:p>
    <w:p>
      <w:ins w:id="10986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8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89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0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1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2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93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-1"/>
    <w:p>
      <w:ins w:id="10994" w:author="R2 Revision" w:date="2026-05-19T00:00:00Z">
        <w:pPr>
          <w:pStyle w:val="Heading2"/>
        </w:pPr>
        <w:r>
          <w:t xml:space="preserve">4.8 Limitations</w:t>
        </w:r>
      </w:ins>
    </w:p>
    <w:p>
      <w:ins w:id="10995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0996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0997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8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0999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0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1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2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03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04" w:author="R2 Revision" w:date="2026-05-19T00:00:00Z">
        <w:pPr>
          <w:pStyle w:val="Heading2"/>
        </w:pPr>
        <w:r>
          <w:t xml:space="preserve">4.9 Future Research</w:t>
        </w:r>
      </w:ins>
    </w:p>
    <w:p>
      <w:ins w:id="11005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06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7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8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09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0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1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2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13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14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15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16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(86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17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18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19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0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1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2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23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24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25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26" w:author="R2 Revision" w:date="2026-05-19T00:00:00Z">
        <w:pPr>
          <w:pStyle w:val="Heading1"/>
        </w:pPr>
        <w:r>
          <w:t xml:space="preserve">Acknowledgments</w:t>
        </w:r>
      </w:ins>
    </w:p>
    <w:p>
      <w:ins w:id="11027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28" w:author="R2 Revision" w:date="2026-05-19T00:00:00Z">
        <w:pPr>
          <w:pStyle w:val="Heading1"/>
        </w:pPr>
        <w:r>
          <w:t xml:space="preserve">References</w:t>
        </w:r>
      </w:ins>
    </w:p>
    <w:p>
      <w:ins w:id="11029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0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1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2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33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34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35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36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37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38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39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0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1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2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43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44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45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46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47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48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49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0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1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2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53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54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55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56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57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58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59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0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1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2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63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64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65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66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67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68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69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0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1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2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73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74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75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76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77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78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79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0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1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2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83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84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85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86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87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88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89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0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1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2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93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94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95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96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97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98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099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0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1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2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03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04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05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06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07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08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09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0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1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2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13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14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15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16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17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18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19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0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1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2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23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24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25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26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27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28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29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0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1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2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33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34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35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2026-05-19T07:37:42Z</dcterms:created>
  <dcterms:modified xsi:type="dcterms:W3CDTF">2026-05-19T07:37:42Z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