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0.10, p = 0.49, N = 50). Post-distribution and institutional-design factors are the larger correlates. Protocols with more insider wallets among top holders are more concentrated (Spearman rho = 0.44, p = 0.005, N = 39, surviving a non-insider HHI tautology check at rho = 0.54). DePIN governance is more concentrated than DeFi after correction, a directionally robust finding (Cohen’s d positive across every protocol-controlled-address exclusion specification and all thirty leave-one-out folds) of medium magnitude. Under the headline voter-inclusive staking pass-through treatment the contrast is medium and rank-significant (Cohen’s d = 0.65, Mann-Whitney p = 0.028) with marginal mean-based significance (label-permutation p approximately 0.08), a heavy-tail effect of a single DeFi-side vote-escrow bloc; a uniform staking-aggregation exclusion gives a comparable effect that is significant on every test (Cohen’s d = 0.75), while an earlier inconsistent-treatment specification (Cohen’s d = 1.05) is reported as inflated rather than as the headline. The direction is the durable claim and the magnitude medium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post-distribution thesis is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0.10, p = 0.49, N = 50; Spearman rho</w:t>
      </w:r>
      <w:r>
        <w:t xml:space="preserve"> </w:t>
      </w:r>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Consistent with the paper’s scope (Section 5.7), these panel correlations are descriptive and do not support causal or trajectory claims; the full panel analysis is specified as future work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0.018</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37</w:t>
      </w:r>
      <w:r>
        <w:rPr>
          <w:i/>
          <w:iCs/>
        </w:rPr>
        <w:t xml:space="preserve"> </w:t>
      </w:r>
      <w:r>
        <w:rPr>
          <w:i/>
          <w:iCs/>
        </w:rPr>
        <w:t xml:space="preserve">regression-ready protocols of the original insider-allocation cohort. The null relationship (cohort r = 0.07, p = 0.68; the null holds on the current N = 50 frame at r = 0.10, p = 0.49)</w:t>
      </w:r>
      <w:r>
        <w:rPr>
          <w:i/>
          <w:iCs/>
        </w:rPr>
        <w:t xml:space="preserve"> </w:t>
      </w:r>
      <w:r>
        <w:rPr>
          <w:i/>
          <w:iCs/>
        </w:rPr>
        <w:t xml:space="preserve">is the paper ’s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0.10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2026-06-02T15:04:36Z</dcterms:created>
  <dcterms:modified xsi:type="dcterms:W3CDTF">2026-06-02T15:04:36Z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/tmp/b2_build/research_content/papers/B2_governance_concentration/_bibliography.bib</vt:lpwstr>
  </property>
  <property fmtid="{D5CDD505-2E9C-101B-9397-08002B2CF9AE}" pid="3" name="csl">
    <vt:lpwstr>/Users/zach/Tokenization_Systems_Website/tools/content-build/citeproc_config/apa.csl</vt:lpwstr>
  </property>
</Properties>
</file>