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t xml:space="preserve">www.Tokenization.Systems</w:t>
      </w:r>
    </w:p>
    <w:p>
      <w:pPr>
        <w:jc w:val="center"/>
      </w:pPr>
      <w:r>
        <w:t>March 2026</w:t>
      </w:r>
    </w:p>
    <w:p>
      <w:pPr>
        <w:pStyle w:val="Heading1"/>
      </w:pPr>
      <w:r>
        <w:t>Abstract</w:t>
      </w:r>
    </w:p>
    <w:p>
      <w:r>
        <w:t xml:space="preserve">This paper analyzes a class of DePIN protocols the paper terms GeoDePIN: networks whose value depends on where hardware is deployed, not merely that it exists. Location-dependence creates design pressures absent from compute-only DePIN alternatives, and the paper evaluates how protocols respond using on-chain evidence from 13 networks and a 34-month longitudinal case study of Helium. Helium reached the first net-deflationary monthly readings observed among GeoDePIN protocols, its Subsidy-to-Revenue ratio (S2R) rising from 0.013 under coverage-based rewards to a monthly peak of 1.84 between May 2023 and February 2026. In the strongest months Data Credit burns exceeded HNT emissions (peak monthly S2R 1.84), but on a trailing-twelve-month basis the network remained net inflationary (S2R approximately 0.51), and steady-state offset is lower still once temporary post-HIP-147 burn allocations and WiFi-offload pricing are normalized. However, roughly five purchasers account for 90% of those burns, a demand concentration that aggregate fiscal metrics cannot detect. This concentration is observable on-chain only for protocols whose customers pay directly: among the networks studied, the two such protocols are both highly concentrated (Helium burn-signer HHI 0.27; Livepeer fee-payer HHI 0.31), while buy-and-burn, single-relayer, and credit-intermediated architectures relocate the demand base off-chain where it cannot be measured. DIMO posted a higher single-month reading (S2R 4.24) during a period of elevated developer-license purchases rather than at sustained equilibrium; GEODNET (0.219) and Hivemapper (0.183) occupy a growth-phase middle tier; the remaining protocols cluster near zero. Governance concentration is high across the GeoDePIN cross-section (pre-exclusion Herfindahl-Hirschman Index 0.034 to 0.593); a companion cross-sectional study confirms DePIN tokens are significantly more governance-concentrated than DeFi after excluding protocol-controlled addresses (Mann-Whitney p = 0.028, Cohen’s d = 0.65). Four outputs organize the findings: a classification distinguishing GeoDePIN from location-independent protocols with testable predictions, a demand-concentration diagnostic (the “Who Burns?” analysis) demonstrated on the two direct-payment protocols, a design playbook with a subtraction test for minimum viable mechanism complexity, and a health dashboard with demand-concentration guardrails for direct-payment protocols.</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1. INTRODUCTION</w:t>
      </w:r>
    </w:p>
    <w:p>
      <w:pPr>
        <w:pStyle w:val="Heading2"/>
      </w:pPr>
      <w:r>
        <w:t>1.1 The Coordination Problem</w:t>
      </w:r>
    </w:p>
    <w:p>
      <w:r>
        <w:rPr>
          <w:b w:val="0"/>
        </w:rPr>
        <w:t>As recently as 2022,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[28]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2.</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consistent with geographic saturation imposing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6 develops these into a playbook; the taxonomy is formalized in Section 4.</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2 through 7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2. DESIGN ARCHITECTURE</w:t>
      </w:r>
    </w:p>
    <w:p>
      <w:r>
        <w:rPr>
          <w:b w:val="0"/>
        </w:rPr>
        <w:t xml:space="preserve">The normative framework motivating these design choices draws on Kantian publicity, Rawlsian fairness, republican non-domination, and Hayekian knowledge-use.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 xml:space="preserve">The sinks-before-faucets principle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scoping review (Frontiers in Blockchain, 2026), identifying the prevailing “DePIN Flywheel” pattern grounded in a Burn-and-Mint Equilibrium “where demand is monetized through fiat-denominated usage credits created by burning the network's native token.” Alshater further characterizes the architecture as a composition of three primitives: the burn-and-mint sink, governance-calibrated issuance, and collateral requirements that bind operator participation to network state. The review identifies four structural challenges that the longitudinal S2R analysis developed here addresses directly: token price volatility impact on provider economics, robust incentive alignment, generating sufficient non-speculative demand, and regulatory uncertainty. Alshater's research agenda explicitly prioritizes empirical event studies of governance changes and quality-adjusted reward measurement;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 xml:space="preserve">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that adaptive emission compresses worst-case node-count variance roughly sixfold under supply shocks (the coefficient of variation falls from 0.544 under static policy to 0.087 under PID control during a competitor shock, raising the fifth-percentile outcome from 1,049 to 8,880 nodes), and indicates that the monetary regime under stress is scenario-dependent: under competitor and regulatory shocks both PID-controlled and static protocols are net deflationary because slashing dominates supply removal, while only under a sustained bear contraction do the regimes diverge, with the PID controller producing mild inflation (+3.9%) and the static schedule producing deflation.</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[62].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 xml:space="preserve">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234 to 354 million tokens from circulation to treasury across all parameterizations (269 to 354 million at default penalty values),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 Applied to blockchain systems, this framing treats token-holder voting as one decision-making center among several, alongside protocol developers, hardware operators, and the user base, rather than the sole locus of authority [64].</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 xml:space="preserve">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3.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which can concentrate rather than diffuse effective voting power [65]. We compute Gini coefficients over the same distributions. Full metric definitions and replication procedures appear in the public replication package (see Data Availability).</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action = 'burn', 149 weeks)</w:t>
            </w:r>
          </w:p>
        </w:tc>
        <w:tc>
          <w:tcPr>
            <w:tcW w:type="dxa" w:w="2160"/>
          </w:tcPr>
          <w:p>
            <w:r>
              <w:rPr>
                <w:sz w:val="18"/>
                <w:szCs w:val="18"/>
              </w:rPr>
              <w:t>Dune Analytics (Solana: action = 'mint')</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 xml:space="preserve">Governance concentration: 6 DePIN protocols with computed governance HHIs reported here (DIMO, WeatherXM, IoTeX, GEODNET, Anyone, Grass) from the full 13-protocol sample; post-exclusion DeFi benchmarks are drawn from the 52-protocol companion cross-section. See [34].</w:t>
      </w:r>
    </w:p>
    <w:p>
      <w:r>
        <w:rPr>
          <w:b w:val="0"/>
        </w:rPr>
        <w:t>DePIN S2R cross-section: 9 protocols with observable burn or fee data.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4.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2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 xml:space="preserve">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5.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a monthly peak of 1.84 in February 2026, crossing monthly fiscal parity in October 2025 and posting net-deflationary monthly readings in four of the five months through February 2026.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pPr>
        <w:jc w:val="center"/>
      </w:pPr>
      <w:r>
        <w:drawing>
          <wp:inline xmlns:a="http://schemas.openxmlformats.org/drawingml/2006/main" xmlns:pic="http://schemas.openxmlformats.org/drawingml/2006/picture" distT="0" distB="0" distL="0" distR="0">
            <wp:extent cx="4572000" cy="2489765"/>
            <wp:docPr id="4" name="Figure 1"/>
            <a:graphic>
              <a:graphicData uri="http://schemas.openxmlformats.org/drawingml/2006/picture">
                <pic:pic>
                  <pic:nvPicPr>
                    <pic:cNvPr id="4" name="Figure 1"/>
                    <pic:cNvPicPr/>
                  </pic:nvPicPr>
                  <pic:blipFill>
                    <a:blip xmlns:r="http://schemas.openxmlformats.org/officeDocument/2006/relationships" r:embed="rId9"/>
                    <a:stretch>
                      <a:fillRect/>
                    </a:stretch>
                  </pic:blipFill>
                  <pic:spPr>
                    <a:xfrm>
                      <a:off x="0" y="0"/>
                      <a:ext cx="4572000" cy="2489765"/>
                    </a:xfrm>
                  </pic:spPr>
                </pic:pic>
              </a:graphicData>
            </a:graphic>
          </wp:inline>
        </w:drawing>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predominantly net-deflationary (monthly S2R &gt; 1.0 in four of five months,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mid-2025), as Mobile subscriber growth and IoT data transfer increased burn volume; (3) fiscal parity and beyond (monthly S2R 0.88 to 1.84, late 2025 to February 2026), when monthly burns exceeded issuance in four of the five months (November 2025 the lone exception at 0.88).</w:t>
        <w:br/>
        <w:t>Helium reached the first net-deflationary monthly readings observed among GeoDePIN protocols. DIMO posted a higher single-month reading (S2R = 4.24), but in a period of elevated developer-license purchases against low emissions rather than at sustained equilibrium, so it is not yet a confirmed second parity case. A steady-state caveat applies to the Helium headline: WiFi offload traffic is priced at $0.10-0.25 per GB versus $0.50 for CBRS, and the February 2026 reading reflects a temporary post-HIP-147 Mobile burn allocation since reduced, so the monthly peak overstates steady-state equilibrium by an estimated 2-5x. On a trailing-twelve-month basis (March 2025 to February 2026) the network remained net inflationary, with burns offsetting roughly half of issuance (S2R approximately 0.51).</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is consistent with the prediction that token-subsidized infrastructure programs fail when the sinks-before-faucets principle is violated: without demand-coupled burns, the subsidy’s real value is entirely determined by speculative token dynamics rather than network utility.</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(the companion paper [34] cites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r>
        <w:t xml:space="preserve">Because monthly readings are volatile, we also summed burns and issuance over trailing windows rather than averaging monthly ratios. On this window basis the recent deflationary run is sustained but bounded: the trailing-three-month ratio crossed 1.0 in December 2025 and reached 1.50 by February 2026, and the trailing-six-month ratio crossed 1.0 in January 2026 and reached 1.24 by February 2026. The trailing-twelve-month ratio, which still carries the deeply inflationary first half of 2025, remained net inflationary at roughly half of issuance (approximately 0.51) as of February 2026. The network has therefore entered a sustained run of net-deflationary months on a half-year basis, while cumulative issuance over a full year still exceeds cumulative burn.</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Month</w:t>
            </w:r>
          </w:p>
        </w:tc>
        <w:tc>
          <w:tcPr>
            <w:tcW w:type="dxa" w:w="1728"/>
          </w:tcPr>
          <w:p>
            <w:r>
              <w:rPr>
                <w:b/>
                <w:sz w:val="18"/>
                <w:szCs w:val="18"/>
              </w:rPr>
              <w:t>Monthly S2R</w:t>
            </w:r>
          </w:p>
        </w:tc>
        <w:tc>
          <w:tcPr>
            <w:tcW w:type="dxa" w:w="1728"/>
          </w:tcPr>
          <w:p>
            <w:r>
              <w:rPr>
                <w:b/>
                <w:sz w:val="18"/>
                <w:szCs w:val="18"/>
              </w:rPr>
              <w:t>Trailing-3m</w:t>
            </w:r>
          </w:p>
        </w:tc>
        <w:tc>
          <w:tcPr>
            <w:tcW w:type="dxa" w:w="1728"/>
          </w:tcPr>
          <w:p>
            <w:r>
              <w:rPr>
                <w:b/>
                <w:sz w:val="18"/>
                <w:szCs w:val="18"/>
              </w:rPr>
              <w:t>Trailing-6m</w:t>
            </w:r>
          </w:p>
        </w:tc>
        <w:tc>
          <w:tcPr>
            <w:tcW w:type="dxa" w:w="1728"/>
          </w:tcPr>
          <w:p>
            <w:r>
              <w:rPr>
                <w:b/>
                <w:sz w:val="18"/>
                <w:szCs w:val="18"/>
              </w:rPr>
              <w:t>TTM (12m)</w:t>
            </w:r>
          </w:p>
        </w:tc>
        <w:trPr>
          <w:cantSplit/>
          <w:tblHeader/>
        </w:trPr>
      </w:tr>
      <w:tr>
        <w:trPr>
          <w:cantSplit/>
        </w:trPr>
        <w:tc>
          <w:tcPr>
            <w:tcW w:type="dxa" w:w="1728"/>
          </w:tcPr>
          <w:p>
            <w:r>
              <w:rPr>
                <w:sz w:val="18"/>
                <w:szCs w:val="18"/>
              </w:rPr>
              <w:t>Oct 2025</w:t>
            </w:r>
          </w:p>
        </w:tc>
        <w:tc>
          <w:tcPr>
            <w:tcW w:type="dxa" w:w="1728"/>
          </w:tcPr>
          <w:p>
            <w:r>
              <w:rPr>
                <w:sz w:val="18"/>
                <w:szCs w:val="18"/>
              </w:rPr>
              <w:t>1.57</w:t>
            </w:r>
          </w:p>
        </w:tc>
        <w:tc>
          <w:tcPr>
            <w:tcW w:type="dxa" w:w="1728"/>
          </w:tcPr>
          <w:p>
            <w:r>
              <w:rPr>
                <w:sz w:val="18"/>
                <w:szCs w:val="18"/>
              </w:rPr>
              <w:t>0.98</w:t>
            </w:r>
          </w:p>
        </w:tc>
        <w:tc>
          <w:tcPr>
            <w:tcW w:type="dxa" w:w="1728"/>
          </w:tcPr>
          <w:p>
            <w:r>
              <w:rPr>
                <w:sz w:val="18"/>
                <w:szCs w:val="18"/>
              </w:rPr>
              <w:t>0.41</w:t>
            </w:r>
          </w:p>
        </w:tc>
        <w:tc>
          <w:tcPr>
            <w:tcW w:type="dxa" w:w="1728"/>
          </w:tcPr>
          <w:p>
            <w:r>
              <w:rPr>
                <w:sz w:val="18"/>
                <w:szCs w:val="18"/>
              </w:rPr>
              <w:t>0.19</w:t>
            </w:r>
          </w:p>
        </w:tc>
      </w:tr>
      <w:tr>
        <w:trPr>
          <w:cantSplit/>
        </w:trPr>
        <w:tc>
          <w:tcPr>
            <w:tcW w:type="dxa" w:w="1728"/>
          </w:tcPr>
          <w:p>
            <w:r>
              <w:rPr>
                <w:sz w:val="18"/>
                <w:szCs w:val="18"/>
              </w:rPr>
              <w:t>Nov 2025</w:t>
            </w:r>
          </w:p>
        </w:tc>
        <w:tc>
          <w:tcPr>
            <w:tcW w:type="dxa" w:w="1728"/>
          </w:tcPr>
          <w:p>
            <w:r>
              <w:rPr>
                <w:sz w:val="18"/>
                <w:szCs w:val="18"/>
              </w:rPr>
              <w:t>0.88</w:t>
            </w:r>
          </w:p>
        </w:tc>
        <w:tc>
          <w:tcPr>
            <w:tcW w:type="dxa" w:w="1728"/>
          </w:tcPr>
          <w:p>
            <w:r>
              <w:rPr>
                <w:sz w:val="18"/>
                <w:szCs w:val="18"/>
              </w:rPr>
              <w:t>0.98</w:t>
            </w:r>
          </w:p>
        </w:tc>
        <w:tc>
          <w:tcPr>
            <w:tcW w:type="dxa" w:w="1728"/>
          </w:tcPr>
          <w:p>
            <w:r>
              <w:rPr>
                <w:sz w:val="18"/>
                <w:szCs w:val="18"/>
              </w:rPr>
              <w:t>0.56</w:t>
            </w:r>
          </w:p>
        </w:tc>
        <w:tc>
          <w:tcPr>
            <w:tcW w:type="dxa" w:w="1728"/>
          </w:tcPr>
          <w:p>
            <w:r>
              <w:rPr>
                <w:sz w:val="18"/>
                <w:szCs w:val="18"/>
              </w:rPr>
              <w:t>0.22</w:t>
            </w:r>
          </w:p>
        </w:tc>
      </w:tr>
      <w:tr>
        <w:trPr>
          <w:cantSplit/>
        </w:trPr>
        <w:tc>
          <w:tcPr>
            <w:tcW w:type="dxa" w:w="1728"/>
          </w:tcPr>
          <w:p>
            <w:r>
              <w:rPr>
                <w:sz w:val="18"/>
                <w:szCs w:val="18"/>
              </w:rPr>
              <w:t>Dec 2025</w:t>
            </w:r>
          </w:p>
        </w:tc>
        <w:tc>
          <w:tcPr>
            <w:tcW w:type="dxa" w:w="1728"/>
          </w:tcPr>
          <w:p>
            <w:r>
              <w:rPr>
                <w:sz w:val="18"/>
                <w:szCs w:val="18"/>
              </w:rPr>
              <w:t>1.55</w:t>
            </w:r>
          </w:p>
        </w:tc>
        <w:tc>
          <w:tcPr>
            <w:tcW w:type="dxa" w:w="1728"/>
          </w:tcPr>
          <w:p>
            <w:r>
              <w:rPr>
                <w:sz w:val="18"/>
                <w:szCs w:val="18"/>
              </w:rPr>
              <w:t>1.35</w:t>
            </w:r>
          </w:p>
        </w:tc>
        <w:tc>
          <w:tcPr>
            <w:tcW w:type="dxa" w:w="1728"/>
          </w:tcPr>
          <w:p>
            <w:r>
              <w:rPr>
                <w:sz w:val="18"/>
                <w:szCs w:val="18"/>
              </w:rPr>
              <w:t>0.78</w:t>
            </w:r>
          </w:p>
        </w:tc>
        <w:tc>
          <w:tcPr>
            <w:tcW w:type="dxa" w:w="1728"/>
          </w:tcPr>
          <w:p>
            <w:r>
              <w:rPr>
                <w:sz w:val="18"/>
                <w:szCs w:val="18"/>
              </w:rPr>
              <w:t>0.34</w:t>
            </w:r>
          </w:p>
        </w:tc>
      </w:tr>
      <w:tr>
        <w:trPr>
          <w:cantSplit/>
        </w:trPr>
        <w:tc>
          <w:tcPr>
            <w:tcW w:type="dxa" w:w="1728"/>
          </w:tcPr>
          <w:p>
            <w:r>
              <w:rPr>
                <w:sz w:val="18"/>
                <w:szCs w:val="18"/>
              </w:rPr>
              <w:t>Jan 2026</w:t>
            </w:r>
          </w:p>
        </w:tc>
        <w:tc>
          <w:tcPr>
            <w:tcW w:type="dxa" w:w="1728"/>
          </w:tcPr>
          <w:p>
            <w:r>
              <w:rPr>
                <w:sz w:val="18"/>
                <w:szCs w:val="18"/>
              </w:rPr>
              <w:t>1.10</w:t>
            </w:r>
          </w:p>
        </w:tc>
        <w:tc>
          <w:tcPr>
            <w:tcW w:type="dxa" w:w="1728"/>
          </w:tcPr>
          <w:p>
            <w:r>
              <w:rPr>
                <w:sz w:val="18"/>
                <w:szCs w:val="18"/>
              </w:rPr>
              <w:t>1.21</w:t>
            </w:r>
          </w:p>
        </w:tc>
        <w:tc>
          <w:tcPr>
            <w:tcW w:type="dxa" w:w="1728"/>
          </w:tcPr>
          <w:p>
            <w:r>
              <w:rPr>
                <w:sz w:val="18"/>
                <w:szCs w:val="18"/>
              </w:rPr>
              <w:t>1.09</w:t>
            </w:r>
          </w:p>
        </w:tc>
        <w:tc>
          <w:tcPr>
            <w:tcW w:type="dxa" w:w="1728"/>
          </w:tcPr>
          <w:p>
            <w:r>
              <w:rPr>
                <w:sz w:val="18"/>
                <w:szCs w:val="18"/>
              </w:rPr>
              <w:t>0.41</w:t>
            </w:r>
          </w:p>
        </w:tc>
      </w:tr>
      <w:tr>
        <w:trPr>
          <w:cantSplit/>
        </w:trPr>
        <w:tc>
          <w:tcPr>
            <w:tcW w:type="dxa" w:w="1728"/>
          </w:tcPr>
          <w:p>
            <w:r>
              <w:rPr>
                <w:sz w:val="18"/>
                <w:szCs w:val="18"/>
              </w:rPr>
              <w:t>Feb 2026</w:t>
            </w:r>
          </w:p>
        </w:tc>
        <w:tc>
          <w:tcPr>
            <w:tcW w:type="dxa" w:w="1728"/>
          </w:tcPr>
          <w:p>
            <w:r>
              <w:rPr>
                <w:sz w:val="18"/>
                <w:szCs w:val="18"/>
              </w:rPr>
              <w:t>1.84</w:t>
            </w:r>
          </w:p>
        </w:tc>
        <w:tc>
          <w:tcPr>
            <w:tcW w:type="dxa" w:w="1728"/>
          </w:tcPr>
          <w:p>
            <w:r>
              <w:rPr>
                <w:sz w:val="18"/>
                <w:szCs w:val="18"/>
              </w:rPr>
              <w:t>1.50</w:t>
            </w:r>
          </w:p>
        </w:tc>
        <w:tc>
          <w:tcPr>
            <w:tcW w:type="dxa" w:w="1728"/>
          </w:tcPr>
          <w:p>
            <w:r>
              <w:rPr>
                <w:sz w:val="18"/>
                <w:szCs w:val="18"/>
              </w:rPr>
              <w:t>1.24</w:t>
            </w:r>
          </w:p>
        </w:tc>
        <w:tc>
          <w:tcPr>
            <w:tcW w:type="dxa" w:w="1728"/>
          </w:tcPr>
          <w:p>
            <w:r>
              <w:rPr>
                <w:sz w:val="18"/>
                <w:szCs w:val="18"/>
              </w:rPr>
              <w:t>0.51</w:t>
            </w:r>
          </w:p>
        </w:tc>
      </w:tr>
    </w:tbl>
    <w:p>
      <w:r>
        <w:rPr>
          <w:b w:val="0"/>
          <w:i/>
        </w:rPr>
        <w:t>Table 3a. Helium trailing-window Subsidy-to-Revenue ratios, October 2025 to February 2026. Each window ratio is the sum of HNT burned divided by the sum of HNT issued over the trailing window (not a mean of monthly ratios), so it weights each month by its issuance. The monthly ratio crosses 1.0 from October 2025; the trailing-three-month ratio crosses 1.0 in December 2025 and the trailing-six-month ratio in January 2026, while the trailing-twelve-month ratio remains below 1.0 throughout.</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 xml:space="preserve">The same direct-payment logic identifies a second on-chain demand surface. Livepeer broadcasters pay transcoding fees in ETH directly to the protocol, and the addresses that fund those payments are observable on-chain in the same way Helium’s burn signers are. Fee-payer concentration is high: the top broadcaster funds 41% of paid fees, the top two 75%, and the top five 96%, for a fee-payer HHI of 0.31 across 28 paying broadcasters. Helium (direct-burn) and Livepeer (direct-fee) are the only two protocols in the sample whose customers pay the protocol directly on-chain, and in both the demand side is highly concentrated (HHI 0.27 and 0.31). For buy-and-burn (GEODNET) and single-relayer architectures (Hivemapper), payment is executed by a foundation or relayer, so on-chain signers are not customers and the demand base is off-chain. Demand concentration is therefore measurable precisely for the direct-payment protocols, and wherever it is measurable it is high. Livepeer is a compute-DeVIN rather than a GeoDePIN; we include it here because it is the only other protocol in the sample whose customers pay directly on-chain, making it the natural second test of the direct-payment measurability boundary.</w:t>
      </w:r>
    </w:p>
    <w:p>
      <w:r>
        <w:t xml:space="preserve">Industrial organization theory predicts that crypto-economic systems concentrate market power naturally from small cost and scale asymmetries [30]; applied to the demand side, this implies a protocol-oligopsony risk in which a small number of governance token holders that control emission rates and reward parameters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6.3).</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cumulative May 2023 to February 2026.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6.3)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 xml:space="preserve">Hypothesis mapping: The strongest single case for the service-over-presence principle. The S2R trajectory from 0.013 post-migration (May 2023) to 1.84 in February 2026 (with burns exceeding issuance since October 2025) indicates that shifting from presence-based to service-based rewards can transform a network from deeply inflationary to net-deflationary on a monthly basis.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the sinks-before-faucets principle (Principle 2.1: the burn mechanism was necessary but insufficient without demand) and the polycentric-governance design (Section 2.6.1: community-voted HIPs enabled the pivot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 xml:space="preserve">The Helium case provides the strongest single-protocol evidence for two design principles: sinks before faucets, documented by the S2R trajectory crossing parity only after demand-coupled burns were deployed; and service over presence, documented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 xml:space="preserve">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 The burns originate from roughly one hundred distinct purchaser wallets (a mix of per-user app-provisioned smart accounts, self-custody wallets, and team multisigs) rather than from a foundation treasury, so DIMO is not a foundation buy-and-burn. The wallet-level distribution is dispersed (a Herfindahl-Hirschman Index near 0.06, top wallet about 16 percent), but because the on-chain burn is the conversion of DIMO into prepaid DIMO Credits, one step removed from the end customers who later consume data through the API, and because individual purchasers and resellers aggregate demand from many downstream users, this dispersion is not a reliable measure of end-customer demand concentration.</w:t>
        <w:br/>
        <w:t xml:space="preserve">After excluding the DIMO Foundation address (verified via Blockscout, holding approximately 55% of supply with no on-chain governance activity), DIMO’s governance HHI drops from 0.305 (pre-exclusion, computed here) to 0.025, the post-exclusion value in the companion cross-section [34]. Post-exclusion, DIMO is among the least concentrated DePIN governance tokens in the 52-protocol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 xml:space="preserve">Design lesson: DIMO illustrates the sink-before-scale principle (Section 2.2): the Developer License burn was operational before aggressive hardware distribution, ensuring token demand scaled with genuine data consumption. Pre-exclusion governance concentration (HHI 0.305, reduced to 0.025 post-exclusion) represents the structural risk that bicameral governance (Section 6)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(HONEY is burned to purchase service credits; operators earn newly minted HONEY for providing service). Map Credits are purchased with HONEY, and contributors earn HONEY for submitting verified imagery. MIP-7 introduced tiered pricing based on map freshness and coverage. On-chain data (February 2026) place Hivemapper’s Subsidy-to-Revenue ratio at approximately 0.183, indicating an active burn that offsets less than one-fifth of issuance and leaves the network subsidy-dependent. The burn architecture differs from Helium’s in a way that matters for demand measurement. Under Helium’s Data Credit model, end users burn tokens directly and per-purchaser demand concentration is observable on-chain; under Hivemapper’s model, Map-Credit burns are executed through a single credit-purchase relayer, and roughly 96% of all HONEY burned routes through one signer. On-chain burn signers are therefore not customers, and the demand base is off-chain and not measured here. The aggregate S2R magnitude is signer-independent and remains a valid growth-phase reading: it places Hivemapper in the growth-phase cohort, between subsidy-dependent protocols (S2R near zero) and protocols with recent monthly S2R above unity (Helium and DIMO).</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6.3)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 xml:space="preserve">IoTeX operates a purpose-built Layer-1 blockchain optimized for Internet of Things devices and DePIN applications. The platform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 xml:space="preserve">IoTeX employs an EIP-1559 [5]-style gas fee burn mechanism on its native L1 chain. Transaction fees [17]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A stated enterprise client base (50+, including Quectel and DroneDeploy; issuer-reported) purchases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the Foundation buy-and-burn (GEOD removed to the Polygon burn address) reveal monthly burns ranging from 500,000 GEOD (October 2024) to 2.76 million GEOD (October 2025), with the trailing twelve months totaling approximately 19.4 million GEOD. February 2026 burns totaled 1.3 million GEOD against net token issuance of approximately 5.95 million GEOD from the protocol’s Polygon mining-distribution wallets over the same month, yielding the S2R of 0.219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GEODNET’s sink is a Foundation-executed buy-and-burn: subscription revenue is collected off-chain in fiat, after which the Foundation purchases GEOD on the open market and burns it. The on-chain burn transactions are therefore signed by the Foundation’s treasury, not by individual customers, so the “Who Burns?” demand-concentration diagnostic (Section 5.1.2) does not apply to GEODNET; burn-signer concentration is not a valid proxy for customer concentration under a buy-and-burn architecture. The underlying demand base (a stated 50+ enterprise clients purchasing fiat subscriptions through direct and reseller channels) is not observable on-chain and is not verified here.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On-chain burn and net-issuance data indicate a single-peaked monthly absorption trajectory since the September 2024 Solana migration, with the February 2026 reading at 21.9% (S2R 0.219), exceeding Hivemapper (0.183) but remaining well below the fiscal-parity trajectory that Helium followed. By early 2026, the network spanned 5,802 cities with median station earnings of $47.63 per month [32].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stated enterprise client base (50+ organizations, issuer-reported) and the non-discretionary nature of precision positioning for autonomous systems suggest demand resilience beyond speculative token use.</w:t>
      </w:r>
    </w:p>
    <w:p>
      <w:r>
        <w:t xml:space="preserve">The trajectory is single-peaked rather than monotonic: absorption holds roughly between 8% and 15% from late 2024 through mid 2025, then ramps sharply after the June 30, 2025 halving (which cut mining rewards by 50% [45]) to a peak of 52.5% in October 2025 before easing to 21.9% (S2R 0.219) by February 2026. The ramp is consistent with the two mechanisms the model predicts: a shrinking issuance denominator and a growing subscription-funded burn numerator. The subsequent easing reflects a decline in monthly buy-and-burn volume (from 2.76 million GEOD in October 2025 to 1.3 million in February 2026) against a modestly rising net issuance denominator. A separate supply-side risk that the S2R metric does not capture is vesting-driven dilution, which operates independently of emission schedules; the team and investor unlock schedule is discussed below.</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monthly burn absorption rate (Foundation buy-and-burn token removals as a percentage of net miner issuance), September 2024 to February 2026. The dashed line marks the 50% absorption threshold; the vertical marker indicates the June 30, 2025 annual halving. The series holds roughly between 8% and 15% from late 2024 through mid 2025, then ramps to a peak of 52.5% in October 2025 before easing to 21.9% in February 2026 (S2R 0.219). Burns are the GEODNET Foundation open-market buy-and-burn, measured on the Polygon burn address; net miner issuance is measured from the protocol’s Polygon mining-distribution wallets. Source: Dune Analytics.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 xml:space="preserve">0.219</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 xml:space="preserve">S2R 0.219; Foundation buy-and-burn (demand off-chain,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A dash marks a value not measured; "data-insufficient" in the Key Finding column marks on-chain observability missing or computation prevented by schema.</w:t>
      </w:r>
    </w:p>
    <w:p>
      <w:r>
        <w:rPr>
          <w:b w:val="0"/>
        </w:rPr>
        <w:t xml:space="preserve">A three-tier sustainability hierarchy emerges from the comparative summary (Table 4). At the top, Helium reached net-deflationary monthly readings (peak S2R 1.84) and DIMO posted a single elevated month (S2R 4.24); both show burns exceeding issuance in recent months, though neither is yet confirmed at sustained equilibrium (Helium remained net inflationary on a trailing-twelve-month basis). In a growth-phase middle tier, GEODNET (S2R 0.219)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(the burn-to-emission ratio peaks at 0.0061),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 xml:space="preserve">The GeoDePIN governance Herfindahl-Hirschman indices reported in this paper (Table 4; pre-exclusion, ranging 0.034 to 0.593) are descriptive small-sample observations and are not the basis for the DePIN-versus-DeFi comparison; the authoritative comparison is the post-exclusion test in the companion cross-section [34], which finds DePIN tokens significantly more governance-concentrated than DeFi after removing protocol-controlled addresses (Mann-Whitney p = 0.028, Cohen’s d = 0.65, a medium effect). Governance concentration across DePIN and DeFi protocols is analyzed in that companion cross-sectional study using a Nansen-grounded evidence-traced exclusion methodology across 52 protocols [34]. That study documents that holding-based concentration is higher in DePIN than DeFi after protocol-controlled address exclusion (under the headline voter-inclusive staking pass-through treatment, Mann-Whitney p = 0.028, Cohen’s d = 0.65, a medium effect; a uniform staking-aggregation exclusion gives Cohen’s d = 0.75 at p = 0.018 as a robustness check), robust across leave-one-out iterations and alternative exclusion specifications. Delegation amplifies governance concentration above holding-based levels in thirteen of eighteen protocols with sufficient governance data (ratios 2.5x to 25.6x), with five design-driven dispersion exceptions (ENS, GMX, HNT, JUP, LPT); infrastructure protocols Optimism (3.6x) and Arbitrum (3.1x) sit within the amplification pattern. The present paper uses protocol-specific governance observations as inputs to the design playbook below.</w:t>
      </w:r>
    </w:p>
    <w:p>
      <w:pPr>
        <w:pStyle w:val="Heading1"/>
      </w:pPr>
      <w:r>
        <w:t>6. DESIGN PLAYBOOK</w:t>
      </w:r>
    </w:p>
    <w:p>
      <w:r>
        <w:rPr>
          <w:b w:val="0"/>
        </w:rPr>
        <w:t>Every design recommendation below ties to an empirical or architectural anchor from Section 5;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(0.219), and Hivemapper (0.183); Helium and DIMO posted recent months with S2R ≥ 1.0 (Helium across late 2025 to February 2026, DIMO in a single elevated month), with GEODNET on a single-peaked absorption trajectory that ramped to a peak in late 2025 before easing (Table 7).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Payment architecture determines whether demand concentration is observable. Helium’s direct-burn model, in which each Data Credit purchaser signs their own HNT burn, and Livepeer’s direct-fee model, in which each broadcaster pays transcoding fees in ETH directly, expose demand concentration on-chain and reveal it to be high in both cases (HHI 0.27 and 0.31; Section 5.1.2). Buy-and-burn and relayer-mediated models (GEODNET, Hivemapper) instead route payment through a foundation treasury or a single credit-purchase relayer, which relocates the demand base to off-chain subscriptions and leaves customer concentration unobservable on-chain. DIMO sits between these poles: its burns originate from roughly one hundred distinct purchaser wallets (a mix of per-user app-provisioned smart accounts, self-custody wallets, and team multisigs) rather than from a foundation treasury, but the token is burned when buyers convert it into prepaid DIMO Credits, one step removed from end-customer data consumption, and a single purchaser or reseller can front many downstream consumers, so the burn-wallet distribution does not reliably map to end-customer concentration. Where service pricing must be predictable for enterprise buyers, a dual-token or credit-denominated model reduces reflexivity risk, but designers should note that such models also remove demand concentration from on-chain view.</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6.2 The Subtraction Test [Proposal]</w:t>
      </w:r>
    </w:p>
    <w:p>
      <w:r>
        <w:rPr/>
        <w:t>Deploying all recommended mechanisms simultaneously would reproduce the premature complexity anti-pattern identified in Section 6.4.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6.3 DePIN Health Dashboard [Inferred]</w:t>
      </w:r>
    </w:p>
    <w:p>
      <w:r>
        <w:rPr/>
        <w:t xml:space="preserve">Drawing on the empirical data assembled in Section 5, Table 6 proposes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protocols whose customers pay the protocol directly on-chain, by burning tokens or paying fees, the condition under which Top-5 direct-payer share is a valid demand-concentration signal. We propose tracking it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Burn and fee-architecture observability and S2R. Direct-payer HHI is a valid demand-concentration measure only for protocols whose customers pay the protocol directly on-chain. Among the protocols studied, two meet this condition: Helium, whose Data Credit purchasers burn HNT directly (burn-signer HHI 0.27, S2R 1.84), and Livepeer, whose broadcasters pay transcoding fees directly (fee-payer HHI 0.31, S2R near zero). In both, demand is highly concentrated. Buy-and-burn (GEODNET) and single-relayer (Hivemapper) architectures route payment through a foundation treasury or a single relayer, so their demand base is off-chain. DIMO is also shown off-axis, but for a different reason: its burns come from many distinct purchaser wallets, yet each burn is a prepaid-credit (DCX) purchase one step removed from end-customer consumption, so the burn-wallet distribution is not a reliable end-customer demand measure. All three are shown in the shaded off-axis lane at left rather than at a measured concentration. Livepeer sits at high demand concentration but near-zero S2R, illustrating that the two axes are independent. The horizontal line marks S2R = 1.0 (fiscal parity).</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the Top-5 direct-payer share (burns or fees) exceeds 80% for 6 consecutive months, activate counterparty risk mitigations (new enterprise buyers, retail usage bundles, corridor-level incentives). This trigger converts the “Who Burns?” caveat into a general governance control.</w:t>
      </w:r>
    </w:p>
    <w:p>
      <w:r>
        <w:t xml:space="preserve">The “Who Burns?” diagnostic measures demand concentration only where customers pay the protocol directly on-chain. Two protocols in the sample meet this condition: Helium (direct burns, burn-signer HHI 0.27, with roughly five purchasers accounting for about 90% of burns) and Livepeer (direct fee payments, fee-payer HHI 0.31, with the top two broadcasters accounting for 75% of fees). In both, demand is highly concentrated. Buy-and-burn (GEODNET) and single-relayer (Hivemapper) architectures route payment through a foundation treasury or a single relayer rather than customers, relocating demand to off-chain fiat subscriptions; for these architectures on-chain signers are not customers, and the underlying demand distribution is not observable on-chain. DIMO differs in form but reaches the same measurement limit: its burns come from roughly one hundred distinct purchaser wallets, but each burn converts DIMO into prepaid credits one step removed from end-customer consumption, and individual purchasers and resellers aggregate demand from many downstream users, so the burn-wallet distribution is not a reliable measure of end-customer concentration either. The diagnostic’s applicability boundary is itself a finding: demand concentration is measurable on-chain precisely for the direct-payment protocols, and wherever it is measurable it is high, while aggregate fiscal metrics and on-chain data both fail to reveal the customer base of buy-and-burn, single-relayer, and credit-intermediated protocols.</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For GEODNET’s foundation buy-and-burn the analogous demand base is off-chain (fiat subscriptions) and is not measurable from burn-signer data. For DIMO the burns come from many distinct purchaser wallets but represent prepaid-credit purchases one step removed from end-customer consumption, so the burn-wallet distribution likewise does not yield a comparable end-customer concentration figure. In neither case can this on-chain method answer whether revenue diversification reduces buyer leverage as Resource Dependence Theory predicts.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is visible on-chain only for direct-payment protocols (Helium and Livepeer) and that remains unmeasured for buy-and-burn and license-based models.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i/>
        </w:rPr>
        <w:t xml:space="preserve">Table 6. DePIN health dashboard metrics with proposed 12-month targets, Helium actuals (February 2026), and empirical basis.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0.02-1.84</w:t>
            </w:r>
          </w:p>
        </w:tc>
        <w:tc>
          <w:tcPr>
            <w:tcW w:type="dxa" w:w="1211"/>
          </w:tcPr>
          <w:p>
            <w:r>
              <w:rPr>
                <w:sz w:val="16"/>
                <w:szCs w:val="16"/>
              </w:rPr>
              <w:t>higher</w:t>
            </w:r>
          </w:p>
        </w:tc>
        <w:tc>
          <w:tcPr>
            <w:tcW w:type="dxa" w:w="888"/>
          </w:tcPr>
          <w:p>
            <w:r>
              <w:rPr>
                <w:sz w:val="16"/>
                <w:szCs w:val="16"/>
              </w:rPr>
              <w:t>Apr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 fee-payer concentration on-chain (Arbitrum)</w:t>
            </w:r>
          </w:p>
        </w:tc>
        <w:tc>
          <w:tcPr>
            <w:tcW w:type="dxa" w:w="727"/>
          </w:tcPr>
          <w:p>
            <w:r>
              <w:rPr>
                <w:sz w:val="16"/>
                <w:szCs w:val="16"/>
              </w:rPr>
              <w:t xml:space="preserve">0.31 (fee-payer)</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burns route through a single credit-purchase relayer (off-axis for demand concentration)</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 xml:space="preserve">0.219</w:t>
            </w:r>
          </w:p>
        </w:tc>
        <w:tc>
          <w:tcPr>
            <w:tcW w:type="dxa" w:w="1211"/>
          </w:tcPr>
          <w:p>
            <w:r>
              <w:rPr>
                <w:sz w:val="16"/>
                <w:szCs w:val="16"/>
              </w:rPr>
              <w:t xml:space="preserve">0.219</w:t>
            </w:r>
          </w:p>
        </w:tc>
        <w:tc>
          <w:tcPr>
            <w:tcW w:type="dxa" w:w="888"/>
          </w:tcPr>
          <w:p>
            <w:r>
              <w:rPr>
                <w:sz w:val="16"/>
                <w:szCs w:val="16"/>
              </w:rPr>
              <w:t>Feb 2026</w:t>
            </w:r>
          </w:p>
        </w:tc>
        <w:tc>
          <w:tcPr>
            <w:tcW w:type="dxa" w:w="2099"/>
          </w:tcPr>
          <w:p>
            <w:r>
              <w:rPr>
                <w:sz w:val="16"/>
                <w:szCs w:val="16"/>
              </w:rPr>
              <w:t xml:space="preserve">Dune (Polygon buy-and-burn; Polygon net issuance)</w:t>
            </w:r>
          </w:p>
        </w:tc>
        <w:tc>
          <w:tcPr>
            <w:tcW w:type="dxa" w:w="727"/>
          </w:tcPr>
          <w:p>
            <w:r>
              <w:rPr>
                <w:sz w:val="16"/>
                <w:szCs w:val="16"/>
              </w:rPr>
              <w:t xml:space="preserve">—</w:t>
            </w:r>
          </w:p>
        </w:tc>
      </w:tr>
      <w:tr>
        <w:trPr>
          <w:cantSplit/>
        </w:trPr>
        <w:tc>
          <w:tcPr>
            <w:tcW w:type="dxa" w:w="1373"/>
          </w:tcPr>
          <w:p>
            <w:r>
              <w:rPr>
                <w:sz w:val="16"/>
                <w:szCs w:val="16"/>
              </w:rPr>
              <w:t>DIMO</w:t>
            </w:r>
          </w:p>
        </w:tc>
        <w:tc>
          <w:tcPr>
            <w:tcW w:type="dxa" w:w="1453"/>
          </w:tcPr>
          <w:p>
            <w:r>
              <w:rPr>
                <w:sz w:val="16"/>
                <w:szCs w:val="16"/>
              </w:rPr>
              <w:t>Credit (DCX)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 burns from ~100 distinct purchaser wallets, but credit-purchase intermediation removes end-customer demand from on-chain view</w:t>
            </w:r>
          </w:p>
        </w:tc>
        <w:tc>
          <w:tcPr>
            <w:tcW w:type="dxa" w:w="727"/>
          </w:tcPr>
          <w:p>
            <w:r>
              <w:rPr>
                <w:sz w:val="16"/>
                <w:szCs w:val="16"/>
              </w:rPr>
              <w:t xml:space="preserve">—</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i/>
        </w:rPr>
        <w:t xml:space="preserve">Table 7. Cross-protocol S2R and demand concentration summary across the 13-protocol sample. Column ’S2R (burns)’ uses the burns-only definition; ’S2R (burns+locks)’ includes token lock-up mechanisms where applicable. Demand HHI computed where per-address direct-payment data is available. For Livepeer, which routes fees in ETH rather than burning, demand concentration is measured on the fee-payer side (HHI 0.31) using the same direct-payer logic as Helium’s burn-signer HHI. A long dash in the Demand HHI column marks protocols for which a valid on-chain demand-concentration measure is not available, either because per-address payment data is not queryable, because the protocol executes payment through a foundation treasury or a single relayer (buy-and-burn and single-relayer architectures) so on-chain signers are not customers, or because on-chain burns are prepaid-credit purchases one step removed from end-customer consumption (DIMO) so the burn-wallet distribution does not map to end-customer concentration.</w:t>
      </w:r>
    </w:p>
    <w:p>
      <w:r>
        <w:t xml:space="preserve">Table 7 consolidates the S2R and demand concentration readings from Section 5 across the 13-protocol sample.</w:t>
      </w:r>
    </w:p>
    <w:p>
      <w:pPr>
        <w:pStyle w:val="Heading2"/>
      </w:pPr>
      <w:r>
        <w:t>6.4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6.3)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0.219).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7. CONCLUSION</w:t>
      </w:r>
    </w:p>
    <w:p>
      <w:pPr>
        <w:pStyle w:val="Heading2"/>
      </w:pPr>
      <w:r>
        <w:t>7.1 Summary</w:t>
      </w:r>
    </w:p>
    <w:p>
      <w:r>
        <w:rPr>
          <w:b w:val="0"/>
        </w:rPr>
        <w:t xml:space="preserve">The S2R data across 13 protocols reveal a three-tier sustainability hierarchy for DePIN: Helium reached the first net-deflationary monthly readings (peak S2R 1.84) and DIMO a single elevated month (S2R 4.24), though on a trailing-twelve-month basis Helium remained net inflationary (S2R approximately 0.51); GEODNET (0.219) and Hivemapper (0.183) occupy a growth-phase middle tier with confirmed burn activity but continued subsidy dependence; and the remaining protocols cluster near S2R zero, the sector default. The Helium longitudinal case (Table 3) documents the trajectory: demand-coupled burns can drive S2R above fiscal parity when paired with service-based reward transitions (HIP-147), but demand concentration (top-5 signers at approximately 90% of burns) creates a shadow risk invisible to aggregate metrics. This demand concentration is observable on-chain only for direct-payment protocols; both such protocols in the sample, Helium (burn-signer HHI 0.27) and Livepeer (fee-payer HHI 0.31), are highly concentrated, while buy-and-burn, single-relayer, and credit-intermediated architectures relocate demand off-chain. Governance concentration is high across the GeoDePIN cross-section (pre-exclusion HHI 0.034 to 0.593); the companion cross-sectional study confirms DePIN tokens are significantly more concentrated than DeFi after excluding protocol-controlled addresses (Mann-Whitney p = 0.028, Cohen’s d = 0.65).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with a measurability finding: demand concentration is observable on-chain only for direct-payment protocols, and in both such protocols in the sample (Helium burn-signer HHI 0.27, Livepeer fee-payer HHI 0.31) it is high, while buy-and-burn, single-relayer, and credit-intermediated architectures relocate it off-chain; (3) a design playbook keyed to observable protocol conditions with a subtraction test for minimum viable mechanism complexity; and (4) a health dashboard with demand-concentration guardrails (Top-5 &gt; 80%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 Three fiscal caveats further bound the headline findings: Helium’s monthly S2R peaked at 1.84 but the network remained net inflationary on a trailing-twelve-month basis (S2R approximately 0.51), and the peak reflects temporary post-HIP-147 burn allocations that overstate steady-state offset by an estimated 2-5x; DIMO’s S2R 4.24 is a single elevated-purchase month rather than a sustained equilibrium; and on-chain demand concentration is a valid measure only for direct-payment protocols, where customers pay the protocol directly (Helium by burning HNT, Livepeer by paying ETH transcoding fees), so for GEODNET’s foundation buy-and-burn and Hivemapper’s single-relayer burns the demand base is off-chain, and for DIMO the on-chain burns are prepaid-credit purchases that do not map to end-customer concentration; none of the three yields a reliable on-chain demand measure here. The direct-payment measurement rests on two protocols, so the finding that demand is high wherever observable is conditional on a small observed set; it is a measurability result about on-chain visibility, not a claim that all GeoDePIN demand is concentrated.</w:t>
      </w:r>
    </w:p>
    <w:p>
      <w:r>
        <w:rPr>
          <w:b w:val="0"/>
        </w:rPr>
        <w:t xml:space="preserve">The S2R metric as currently specified measures burns against mining emissions; it does not capture vesting-driven dilution from team, investor, and ecosystem unlocks, a supply source distinct from the mining emissions in the denominator.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[63] offers a complementary methodology for stress-testing the health dashboard thresholds proposed here, particularly for modeling how concentrated buyers respond to emission halvings.</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is asymmetric across burn architectures: Helium’s burns are signed directly by Data Credit purchasers, so its top-5 burn signers (approximately 90% of burns) measure genuine customer concentration. Buy-and-burn protocols such as GEODNET collect subscription revenue off-chain in fiat and execute burns through a foundation treasury, so on-chain burn signers do not identify customers and burn-signer concentration cannot be measured for them. This asymmetry opens a research question that on-chain data alone cannot answer: whether subscription-based demand architectures systematically produce more distributed customer bases than carrier-contract models. Testing it would require protocols to disclose off-chain subscription and license concentration, since the “Who Burns?” diagnostic is valid only where customers pay the protocol directly on-chain, by burning tokens or paying fees.</w:t>
      </w:r>
    </w:p>
    <w:p>
      <w:r>
        <w:t xml:space="preserve">Resource Dependence Theory’s causal predictions generate a forward hypothesis for the protocols whose demand concentration is directly observable on-chain, the direct-payment protocols: because Helium’s Data Credit purchasers burn HNT directly, its measured burn-signer HHI (0.27, top-2 addresses at 70.1% of burns) reflects real buyer concentration, and because Livepeer’s broadcasters pay fees directly, its fee-payer HHI (0.31, top-2 at 75%) admits the same test; the theory predicts that such concentration raises the probability of simultaneous buyer exit and the associated S2R volatility. For protocols whose burns are executed by a foundation or protocol treasury rather than by customers, on-chain burn-signer HHI is not a valid measure of demand concentration, so the comparable test must draw on off-chain customer-base disclosure that does not yet exist. Longitudinal tracking of both S2R and demand HHI across halving events would provide the first empirical test of whether burn-model architecture determines fiscal resilience. Shapley value analysis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Declaration of Competing Interest</w:t>
      </w:r>
    </w:p>
    <w:p>
      <w:r>
        <w:t xml:space="preserve">The author served as Senior Investment Analyst at Borderless Capital through February 2026 and retains no decision-making role, carried interest, or position-dependent compensation with the firm. The author holds personal token positions in three protocols analyzed in this paper: HNT (Helium), DIMO, and GEOD (GEODNET); positions are small and were established prior to the research period. The research, analysis, and conclusions presented are the author's own; no sponsor, portfolio holding, or third party had editorial input or review rights prior to submission.</w:t>
      </w:r>
    </w:p>
    <w:p>
      <w:pPr>
        <w:pStyle w:val="Heading1"/>
      </w:pPr>
      <w:r>
        <w:t>Funding</w:t>
      </w:r>
    </w:p>
    <w:p>
      <w:r>
        <w:t xml:space="preserve">This research received no specific grant from any funding agency in the public, commercial, or not-for-profit sectors.</w:t>
      </w:r>
    </w:p>
    <w:p>
      <w:pPr>
        <w:pStyle w:val="Heading1"/>
      </w:pPr>
      <w:r>
        <w:t>CRediT Authorship Contribution Statement</w:t>
      </w:r>
    </w:p>
    <w:p>
      <w:r>
        <w:t xml:space="preserve">Zach Zukowski: Conceptualization, Methodology, Data curation, Formal analysis, Writing – original draft, Writing – review &amp; editing, Visualization.</w:t>
      </w:r>
    </w:p>
    <w:p>
      <w:pPr>
        <w:pStyle w:val="Heading1"/>
      </w:pPr>
      <w:r>
        <w:t>Data Availability</w:t>
      </w:r>
    </w:p>
    <w:p>
      <w:r>
        <w:t xml:space="preserve">The data supporting the findings of this study are publicly available from on-chain sources (Dune Analytics, Helius DAS API, Blockscout) via the queries specified in Section 3.1. Processed datasets and replication scripts are archived at the public repository https://github.com/Research-Publications-and-Data/Tokenomics-As-Institutional_Design (tag v1.0.0-frontiers-submission for the companion paper [34]; B3 replication materials will be tagged at acceptance).</w:t>
      </w:r>
    </w:p>
    <w:p>
      <w:pPr>
        <w:pStyle w:val="Heading1"/>
      </w:pPr>
      <w:r>
        <w:t>ORCID</w:t>
      </w:r>
    </w:p>
    <w:p>
      <w:r>
        <w:t xml:space="preserve">Zach Zukowski: https://orcid.org/0009-0006-3642-2450</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 xml:space="preserve">[29] Z. Zukowski, "Adaptive tokenomics: A systems engineering approach to programmable incentive design,"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"Auditing governance concentration beyond token allocation: A live-governance study of 52 token protocols," SSRN Working Paper 6599278, 2026. doi: 10.2139/ssrn.6599278.</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r>
        <w:t xml:space="preserve">[62] G. Wuollet, "Why DePIN matters, and how to make it work," a16z crypto, Mar. 25, 2025. [Online]. Available: https://a16zcrypto.com/posts/listicles/why-depin-matters/</w:t>
      </w:r>
    </w:p>
    <w:p>
      <w:r>
        <w:t xml:space="preserve">[63] Y. Liu and M. Schweitzer, "EconAgentic in DePIN markets: A large language model approach to the sharing economy of decentralized physical infrastructure," arXiv:2508.21368, Aug. 2025. [Online]. Available: https://arxiv.org/abs/2508.21368</w:t>
      </w:r>
    </w:p>
    <w:p>
      <w:r>
        <w:t xml:space="preserve">[64] P. De Filippi, M. Mannan, S. Cossar, T. Merk, and J. Kamalova, “Blockchain technology and polycentric governance,” European University Institute, Research Project Report, May 2024.</w:t>
      </w:r>
    </w:p>
    <w:p>
      <w:r>
        <w:t xml:space="preserve">[65] L. Weidener, F. Laredo, K. Kumar, and K. Compton, “Delegated voting in decentralized autonomous organizations: a scoping review,” Frontiers in Blockchain, 2025. doi: 10.3389/fbloc.2025.1598283.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