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(DePIN; tokenized networks that</w:t>
      </w:r>
      <w:r>
        <w:t xml:space="preserve"> </w:t>
      </w:r>
      <w:r>
        <w:t xml:space="preserve">coordinate physical hardware), DeFi (decentralized finance),</w:t>
      </w:r>
      <w:r>
        <w:t xml:space="preserve"> </w:t>
      </w:r>
      <w:r>
        <w:t xml:space="preserve">infrastructure, and social token categories documents that team and</w:t>
      </w:r>
      <w:r>
        <w:t xml:space="preserve"> </w:t>
      </w:r>
      <w:r>
        <w:t xml:space="preserve">investor allocation at launch is uninformative about post-distribution</w:t>
      </w:r>
      <w:r>
        <w:t xml:space="preserve"> </w:t>
      </w:r>
      <w:r>
        <w:t xml:space="preserve">governance concentration (Pearson r = 0.04, p = 0.84, N = 37; a weak</w:t>
      </w:r>
      <w:r>
        <w:t xml:space="preserve"> </w:t>
      </w:r>
      <w:r>
        <w:t xml:space="preserve">association indistinguishable from zero): protocols with generous</w:t>
      </w:r>
      <w:r>
        <w:t xml:space="preserve"> </w:t>
      </w:r>
      <w:r>
        <w:t xml:space="preserve">community distributions exhibit concentration patterns similar to those</w:t>
      </w:r>
      <w:r>
        <w:t xml:space="preserve"> </w:t>
      </w:r>
      <w:r>
        <w:t xml:space="preserve">with heavy insider allocations. Hyperliquid (zero venture capital, 31%</w:t>
      </w:r>
      <w:r>
        <w:t xml:space="preserve"> </w:t>
      </w:r>
      <w:r>
        <w:t xml:space="preserve">community airdrop) shows the lowest DeFi-subsample Herfindahl-Hirschman</w:t>
      </w:r>
      <w:r>
        <w:t xml:space="preserve"> </w:t>
      </w:r>
      <w:r>
        <w:t xml:space="preserve">Index (HHI; a concentration measure that sums the squared ownership</w:t>
      </w:r>
      <w:r>
        <w:t xml:space="preserve"> </w:t>
      </w:r>
      <w:r>
        <w:t xml:space="preserve">shares of all holders, scaled to range from 0 for perfectly dispersed</w:t>
      </w:r>
      <w:r>
        <w:t xml:space="preserve"> </w:t>
      </w:r>
      <w:r>
        <w:t xml:space="preserve">ownership to 1 when a single holder controls everything; the U.S.</w:t>
      </w:r>
      <w:r>
        <w:t xml:space="preserve"> </w:t>
      </w:r>
      <w:r>
        <w:t xml:space="preserve">antitrust threshold for</w:t>
      </w:r>
      <w:r>
        <w:t xml:space="preserve"> </w:t>
      </w:r>
      <w:r>
        <w:t xml:space="preserve">“high concentration”</w:t>
      </w:r>
      <w:r>
        <w:t xml:space="preserve"> </w:t>
      </w:r>
      <w:r>
        <w:t xml:space="preserve">is 0.25) of 0.005, but</w:t>
      </w:r>
      <w:r>
        <w:t xml:space="preserve"> </w:t>
      </w:r>
      <w:r>
        <w:t xml:space="preserve">the broader null holds across allocation designs. Evidence is</w:t>
      </w:r>
      <w:r>
        <w:t xml:space="preserve"> </w:t>
      </w:r>
      <w:r>
        <w:t xml:space="preserve">consistent with post-distribution market dynamics shaping concentration</w:t>
      </w:r>
      <w:r>
        <w:t xml:space="preserve"> </w:t>
      </w:r>
      <w:r>
        <w:t xml:space="preserve">more than initial structural design.</w:t>
      </w:r>
    </w:p>
    <w:p>
      <w:pPr>
        <w:pStyle w:val="BodyText"/>
      </w:pPr>
      <w:r>
        <w:t xml:space="preserve">Four supporting findings sharpen the picture. First, protocols with</w:t>
      </w:r>
      <w:r>
        <w:t xml:space="preserve"> </w:t>
      </w:r>
      <w:r>
        <w:t xml:space="preserve">more insider wallets in their top-holder sets exhibit higher</w:t>
      </w:r>
      <w:r>
        <w:t xml:space="preserve"> </w:t>
      </w:r>
      <w:r>
        <w:t xml:space="preserve">concentration among non-insider holders (Spearman rho = 0.54, p =</w:t>
      </w:r>
      <w:r>
        <w:t xml:space="preserve"> </w:t>
      </w:r>
      <w:r>
        <w:t xml:space="preserve">0.001, N = 34; a strong rank-order association): insider-heavy</w:t>
      </w:r>
      <w:r>
        <w:t xml:space="preserve"> </w:t>
      </w:r>
      <w:r>
        <w:t xml:space="preserve">protocols develop concentrated governance ecosystems, not merely</w:t>
      </w:r>
      <w:r>
        <w:t xml:space="preserve"> </w:t>
      </w:r>
      <w:r>
        <w:t xml:space="preserve">concentrated insider positions. Second, sector membership predicts</w:t>
      </w:r>
      <w:r>
        <w:t xml:space="preserve"> </w:t>
      </w:r>
      <w:r>
        <w:t xml:space="preserve">concentration: DePIN exceeds DeFi (Mann-Whitney p = 0.018, Cohen’s d = 0.98, a large effect by Cohen’s conventional thresholds), and the</w:t>
      </w:r>
      <w:r>
        <w:t xml:space="preserve"> </w:t>
      </w:r>
      <w:r>
        <w:t xml:space="preserve">effect is robust under nested OLS specifications adding protocol age,</w:t>
      </w:r>
      <w:r>
        <w:t xml:space="preserve"> </w:t>
      </w:r>
      <w:r>
        <w:t xml:space="preserve">log fully diluted valuation (FDV; the market capitalization a</w:t>
      </w:r>
      <w:r>
        <w:t xml:space="preserve"> </w:t>
      </w:r>
      <w:r>
        <w:t xml:space="preserve">protocol would have if all currently-allocated tokens were in</w:t>
      </w:r>
      <w:r>
        <w:t xml:space="preserve"> </w:t>
      </w:r>
      <w:r>
        <w:t xml:space="preserve">circulation), and initial insider allocation as successive controls</w:t>
      </w:r>
      <w:r>
        <w:t xml:space="preserve"> </w:t>
      </w:r>
      <w:r>
        <w:t xml:space="preserve">(sector coefficient p &lt; 0.05 in Models 1 and 2; in Model 3 with the</w:t>
      </w:r>
      <w:r>
        <w:t xml:space="preserve"> </w:t>
      </w:r>
      <w:r>
        <w:t xml:space="preserve">full control set the coefficient is positive and similar in magnitude</w:t>
      </w:r>
      <w:r>
        <w:t xml:space="preserve"> </w:t>
      </w:r>
      <w:r>
        <w:t xml:space="preserve">but falls just above the threshold at p = 0.078;</w:t>
      </w:r>
      <w:r>
        <w:t xml:space="preserve"> </w:t>
      </w:r>
      <w:r>
        <w:t xml:space="preserve">adjusted R² 0.15 to 0.19; Table 6). Third, on-chain subsidy intensity</w:t>
      </w:r>
      <w:r>
        <w:t xml:space="preserve"> </w:t>
      </w:r>
      <w:r>
        <w:t xml:space="preserve">(the ratio of token emissions to protocol revenue) correlates with</w:t>
      </w:r>
      <w:r>
        <w:t xml:space="preserve"> </w:t>
      </w:r>
      <w:r>
        <w:t xml:space="preserve">concentration in levels (r = 0.69, p = 0.001, N = 20) but entirely</w:t>
      </w:r>
      <w:r>
        <w:t xml:space="preserve"> </w:t>
      </w:r>
      <w:r>
        <w:t xml:space="preserve">through Livepeer (88.5x subsidy, meaning 88 dollars in emissions for</w:t>
      </w:r>
      <w:r>
        <w:t xml:space="preserve"> </w:t>
      </w:r>
      <w:r>
        <w:t xml:space="preserve">every dollar of revenue); excluding Livepeer the correlation weakens</w:t>
      </w:r>
      <w:r>
        <w:t xml:space="preserve"> </w:t>
      </w:r>
      <w:r>
        <w:t xml:space="preserve">substantially to r = 0.45, p = 0.052 (borderline significance). Fourth, delegation concentrates governance power above the</w:t>
      </w:r>
      <w:r>
        <w:t xml:space="preserve"> </w:t>
      </w:r>
      <w:r>
        <w:t xml:space="preserve">level measured from token holdings in nine of ten protocols sampled</w:t>
      </w:r>
      <w:r>
        <w:t xml:space="preserve"> </w:t>
      </w:r>
      <w:r>
        <w:t xml:space="preserve">(voting-power HHI exceeds holding HHI by factors of 1.2 to 11.4</w:t>
      </w:r>
      <w:r>
        <w:t xml:space="preserve"> </w:t>
      </w:r>
      <w:r>
        <w:t xml:space="preserve">times), with one structural exception (ENS at 0.39x reflects a mature</w:t>
      </w:r>
      <w:r>
        <w:t xml:space="preserve"> </w:t>
      </w:r>
      <w:r>
        <w:t xml:space="preserve">delegate program where holders systematically delegate to a broad</w:t>
      </w:r>
      <w:r>
        <w:t xml:space="preserve"> </w:t>
      </w:r>
      <w:r>
        <w:t xml:space="preserve">community-delegate set rather than self-delegating or delegating to</w:t>
      </w:r>
      <w:r>
        <w:t xml:space="preserve"> </w:t>
      </w:r>
      <w:r>
        <w:t xml:space="preserve">whales). Two further vote-escrowed protocols (Curve and Balancer;</w:t>
      </w:r>
      <w:r>
        <w:t xml:space="preserve"> </w:t>
      </w:r>
      <w:r>
        <w:t xml:space="preserve">governance systems where token holders lock their tokens for a fixed</w:t>
      </w:r>
      <w:r>
        <w:t xml:space="preserve"> </w:t>
      </w:r>
      <w:r>
        <w:t xml:space="preserve">duration in exchange for voting power weighted by lock duration) show</w:t>
      </w:r>
      <w:r>
        <w:t xml:space="preserve"> </w:t>
      </w:r>
      <w:r>
        <w:t xml:space="preserve">extreme amplification (15 and 21 times) under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non-vote-escrowed sample is not predicted by sector or governance</w:t>
      </w:r>
      <w:r>
        <w:t xml:space="preserve"> </w:t>
      </w:r>
      <w:r>
        <w:t xml:space="preserve">venue (Tally, where votes are recorded as on-chain transactions,</w:t>
      </w:r>
      <w:r>
        <w:t xml:space="preserve"> </w:t>
      </w:r>
      <w:r>
        <w:t xml:space="preserve">versus Snapshot, where signed off-chain messages aggregate voting</w:t>
      </w:r>
      <w:r>
        <w:t xml:space="preserve"> </w:t>
      </w:r>
      <w:r>
        <w:t xml:space="preserve">power), consistent with institutional design at the delegate-program</w:t>
      </w:r>
      <w:r>
        <w:t xml:space="preserve"> </w:t>
      </w:r>
      <w:r>
        <w:t xml:space="preserve">level governing both the direction and magnitude of delegation’s</w:t>
      </w:r>
      <w:r>
        <w:t xml:space="preserve"> </w:t>
      </w:r>
      <w:r>
        <w:t xml:space="preserve">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 coefficient; a single number summarizing how unevenly tokens are</w:t>
      </w:r>
      <w:r>
        <w:t xml:space="preserve"> </w:t>
      </w:r>
      <w:r>
        <w:t xml:space="preserve">distributed across all holders, ranging from 0 for perfect equality</w:t>
      </w:r>
      <w:r>
        <w:t xml:space="preserve"> </w:t>
      </w:r>
      <w:r>
        <w:t xml:space="preserve">to 1 for one-holder-owns-everything) and governance concentration</w:t>
      </w:r>
      <w:r>
        <w:t xml:space="preserve"> </w:t>
      </w:r>
      <w:r>
        <w:t xml:space="preserve">(HHI; weighted toward the top of the distribution because it squares</w:t>
      </w:r>
      <w:r>
        <w:t xml:space="preserve"> </w:t>
      </w:r>
      <w:r>
        <w:t xml:space="preserve">each holder’s share) capture distinct properties of the same holder</w:t>
      </w:r>
      <w:r>
        <w:t xml:space="preserve"> </w:t>
      </w:r>
      <w:r>
        <w:t xml:space="preserve">set. Inequality is severe in every protocol (Gini 0.52 to 0.99,</w:t>
      </w:r>
      <w:r>
        <w:t xml:space="preserve"> </w:t>
      </w:r>
      <w:r>
        <w:t xml:space="preserve">indicating substantial dispersion across the holder distribution),</w:t>
      </w:r>
      <w:r>
        <w:t xml:space="preserve"> </w:t>
      </w:r>
      <w:r>
        <w:t xml:space="preserve">while concentration varies across two orders of magnitude (HHI 0.005</w:t>
      </w:r>
      <w:r>
        <w:t xml:space="preserve"> </w:t>
      </w:r>
      <w:r>
        <w:t xml:space="preserve">to 0.199, ranging from highly distributed governance to concentrated</w:t>
      </w:r>
      <w:r>
        <w:t xml:space="preserve"> </w:t>
      </w:r>
      <w:r>
        <w:t xml:space="preserve">oligopoly territory); the moderate correlation (r = 0.62) confirms</w:t>
      </w:r>
      <w:r>
        <w:t xml:space="preserve"> </w:t>
      </w:r>
      <w:r>
        <w:t xml:space="preserve">that 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ENS, the Ethereum Name Service, runs a delegate program in which token</w:t>
      </w:r>
      <w:r>
        <w:t xml:space="preserve"> </w:t>
      </w:r>
      <w:r>
        <w:t xml:space="preserve">holders systematically delegate their votes to roughly 100 active</w:t>
      </w:r>
      <w:r>
        <w:t xml:space="preserve"> </w:t>
      </w:r>
      <w:r>
        <w:t xml:space="preserve">community delegates; the resulting voting-power distribution is more</w:t>
      </w:r>
      <w:r>
        <w:t xml:space="preserve"> </w:t>
      </w:r>
      <w:r>
        <w:t xml:space="preserve">dispersed than the underlying token holding distribution (amplification</w:t>
      </w:r>
      <w:r>
        <w:t xml:space="preserve"> </w:t>
      </w:r>
      <w:r>
        <w:t xml:space="preserve">ratio 0.39x, meaning voting concentration is 39% of holding</w:t>
      </w:r>
      <w:r>
        <w:t xml:space="preserve"> </w:t>
      </w:r>
      <w:r>
        <w:t xml:space="preserve">concentration; Section 3.5.1). DIMO, a vehicle-data DePIN protocol,</w:t>
      </w:r>
      <w:r>
        <w:t xml:space="preserve"> </w:t>
      </w:r>
      <w:r>
        <w:t xml:space="preserve">runs governance through a Snapshot off-chain voting space with ten</w:t>
      </w:r>
      <w:r>
        <w:t xml:space="preserve"> </w:t>
      </w:r>
      <w:r>
        <w:t xml:space="preserve">active voters in the most recent twelve months; its voting-power</w:t>
      </w:r>
      <w:r>
        <w:t xml:space="preserve"> </w:t>
      </w:r>
      <w:r>
        <w:t xml:space="preserve">distribution is 9.1 times more concentrated than its token holdings</w:t>
      </w:r>
      <w:r>
        <w:t xml:space="preserve"> </w:t>
      </w:r>
      <w:r>
        <w:t xml:space="preserve">(Section 3.5). Across the ten-protocol governance sample, the magnitude</w:t>
      </w:r>
      <w:r>
        <w:t xml:space="preserve"> </w:t>
      </w:r>
      <w:r>
        <w:t xml:space="preserve">of delegation amplification varies from 1.2 to 11.4 times above the</w:t>
      </w:r>
      <w:r>
        <w:t xml:space="preserve"> </w:t>
      </w:r>
      <w:r>
        <w:t xml:space="preserve">holding baseline, with one structural exception (ENS). The</w:t>
      </w:r>
      <w:r>
        <w:t xml:space="preserve"> </w:t>
      </w:r>
      <w:r>
        <w:t xml:space="preserve">cross-protocol variation is not predicted by sector membership or</w:t>
      </w:r>
      <w:r>
        <w:t xml:space="preserve"> </w:t>
      </w:r>
      <w:r>
        <w:t xml:space="preserve">governance venue but by institutional design choices at the</w:t>
      </w:r>
      <w:r>
        <w:t xml:space="preserve"> </w:t>
      </w:r>
      <w:r>
        <w:t xml:space="preserve">delegate-program level: whether the protocol funds many community</w:t>
      </w:r>
      <w:r>
        <w:t xml:space="preserve"> </w:t>
      </w:r>
      <w:r>
        <w:t xml:space="preserve">delegates, how voting power flows from holders to delegates, and what</w:t>
      </w:r>
      <w:r>
        <w:t xml:space="preserve"> </w:t>
      </w:r>
      <w:r>
        <w:t xml:space="preserve">incentives shape delegate participation (Section 3.5, Section 4.1).</w:t>
      </w:r>
    </w:p>
    <w:p>
      <w:pPr>
        <w:pStyle w:val="BodyText"/>
      </w:pPr>
      <w:r>
        <w:t xml:space="preserve">Three protocols with near-identical subsidy ratios (DIMO, Aethir, Aave)</w:t>
      </w:r>
      <w:r>
        <w:t xml:space="preserve"> </w:t>
      </w:r>
      <w:r>
        <w:t xml:space="preserve">exhibit governance HHI spanning 0.013 to 0.087: financial</w:t>
      </w:r>
      <w:r>
        <w:t xml:space="preserve"> </w:t>
      </w:r>
      <w:r>
        <w:t xml:space="preserve">sustainability is neither necessary nor sufficient for governance</w:t>
      </w:r>
      <w:r>
        <w:t xml:space="preserve"> </w:t>
      </w:r>
      <w:r>
        <w:t xml:space="preserve">decentralization (Section 3.4). Governance concentration is a</w:t>
      </w:r>
      <w:r>
        <w:t xml:space="preserve"> </w:t>
      </w:r>
      <w:r>
        <w:t xml:space="preserve">secondary market outcome, shaped by post-distribution trading and</w:t>
      </w:r>
      <w:r>
        <w:t xml:space="preserve"> </w:t>
      </w:r>
      <w:r>
        <w:t xml:space="preserve">accumulation dynamics that neither allocation design nor protocol</w:t>
      </w:r>
      <w:r>
        <w:t xml:space="preserve"> </w:t>
      </w:r>
      <w:r>
        <w:t xml:space="preserve">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126</w:t>
      </w:r>
      <w:r>
        <w:t xml:space="preserve"> </w:t>
      </w:r>
      <w:r>
        <w:t xml:space="preserve">protocol-controlled addresses (PCAs; addresses that appear on holder</w:t>
      </w:r>
      <w:r>
        <w:t xml:space="preserve"> </w:t>
      </w:r>
      <w:r>
        <w:t xml:space="preserve">lists but structurally cannot vote, including staking contracts that</w:t>
      </w:r>
      <w:r>
        <w:t xml:space="preserve"> </w:t>
      </w:r>
      <w:r>
        <w:t xml:space="preserve">hold tokens on behalf of stakers, exchange custodians that custody</w:t>
      </w:r>
      <w:r>
        <w:t xml:space="preserve"> </w:t>
      </w:r>
      <w:r>
        <w:t xml:space="preserve">customer deposits, vesting locks that release tokens to insiders over</w:t>
      </w:r>
      <w:r>
        <w:t xml:space="preserve"> </w:t>
      </w:r>
      <w:r>
        <w:t xml:space="preserve">time, and protocol treasuries) from HHI computation, and test every available</w:t>
      </w:r>
      <w:r>
        <w:t xml:space="preserve"> </w:t>
      </w:r>
      <w:r>
        <w:t xml:space="preserve">cross-sectional predictor of concentration using both parametric and</w:t>
      </w:r>
      <w:r>
        <w:t xml:space="preserve"> </w:t>
      </w:r>
      <w:r>
        <w:t xml:space="preserve">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38 protocols, 126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 = 0.018, Cohen’s d = 0.98),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1.2x (GMX), 2.8x</w:t>
      </w:r>
      <w:r>
        <w:t xml:space="preserve"> </w:t>
      </w:r>
      <w:r>
        <w:t xml:space="preserve">(Uniswap), 3.3x (WeatherXM), 3.6x (Optimism), 4.4x (Arbitrum), 5.7x</w:t>
      </w:r>
      <w:r>
        <w:t xml:space="preserve"> </w:t>
      </w:r>
      <w:r>
        <w:t xml:space="preserve">(Compound), 5.9x (Aave), 9.1x (DIMO), and 11.4x (Lido). One protocol</w:t>
      </w:r>
      <w:r>
        <w:t xml:space="preserve"> </w:t>
      </w:r>
      <w:r>
        <w:t xml:space="preserve">(ENS) shows delegation-mediated dispersion at ratio 0.39x,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Two further protocols (Uniswap,</w:t>
      </w:r>
      <w:r>
        <w:t xml:space="preserve"> </w:t>
      </w:r>
      <w:r>
        <w:t xml:space="preserve">Optimism) would appear to show dispersion if holding HHI were measured</w:t>
      </w:r>
      <w:r>
        <w:t xml:space="preserve"> </w:t>
      </w:r>
      <w:r>
        <w:t xml:space="preserve">without excluding addresses that cannot vote (burn wallets, foundation</w:t>
      </w:r>
      <w:r>
        <w:t xml:space="preserve"> </w:t>
      </w:r>
      <w:r>
        <w:t xml:space="preserve">treasuries); under the consistent exclusion methodology applied</w:t>
      </w:r>
      <w:r>
        <w:t xml:space="preserve"> </w:t>
      </w:r>
      <w:r>
        <w:t xml:space="preserve">throughout this paper, both protocols join the amplification 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secure;</w:t>
      </w:r>
      <w:r>
        <w:t xml:space="preserve"> </w:t>
      </w:r>
      <w:r>
        <w:t xml:space="preserve">e.g., non-domination for Pettit, fairness for Rawls) from the</w:t>
      </w:r>
      <w:r>
        <w:t xml:space="preserve"> </w:t>
      </w:r>
      <w:r>
        <w:t xml:space="preserve">operational mechanism Layer 2 (what is observable in protocol design</w:t>
      </w:r>
      <w:r>
        <w:t xml:space="preserve"> </w:t>
      </w:r>
      <w:r>
        <w:t xml:space="preserve">and scored in Table 1; e.g., appeals and veto rights as operational</w:t>
      </w:r>
      <w:r>
        <w:t xml:space="preserve"> </w:t>
      </w:r>
      <w:r>
        <w:t xml:space="preserve">measures of contestability).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(Class 1 burn</w:t>
      </w:r>
      <w:r>
        <w:t xml:space="preserve"> </w:t>
      </w:r>
      <w:r>
        <w:t xml:space="preserve">destinations; Class 2 foundation and treasury custody; Class 3</w:t>
      </w:r>
      <w:r>
        <w:t xml:space="preserve"> </w:t>
      </w:r>
      <w:r>
        <w:t xml:space="preserve">staking-aggregation contracts; Class 4 bridge custody and migration</w:t>
      </w:r>
      <w:r>
        <w:t xml:space="preserve"> </w:t>
      </w:r>
      <w:r>
        <w:t xml:space="preserve">addresses; Class 5 centralized exchange custody), supporting uniform</w:t>
      </w:r>
      <w:r>
        <w:t xml:space="preserve"> </w:t>
      </w:r>
      <w:r>
        <w:t xml:space="preserve">replication and 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Xd22c6611e91d7705ff0f5cf511ffa88216a6e9c"/>
    <w:p>
      <w:pPr>
        <w:pStyle w:val="Heading3"/>
      </w:pPr>
      <w:r>
        <w:t xml:space="preserve">1.4.3 Limitations (preview; full discussion in Section 4.8)</w:t>
      </w:r>
    </w:p>
    <w:p>
      <w:pPr>
        <w:pStyle w:val="FirstParagraph"/>
      </w:pPr>
      <w:r>
        <w:t xml:space="preserve">Three classes of limitation are previewed here so the reader can</w:t>
      </w:r>
      <w:r>
        <w:t xml:space="preserve"> </w:t>
      </w:r>
      <w:r>
        <w:t xml:space="preserve">calibrate the inferential scope before encountering the empirical</w:t>
      </w:r>
      <w:r>
        <w:t xml:space="preserve"> </w:t>
      </w:r>
      <w:r>
        <w:t xml:space="preserve">results; the detailed discussion appears in Section 4.8.</w:t>
      </w:r>
    </w:p>
    <w:p>
      <w:pPr>
        <w:pStyle w:val="BodyText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 (Section 4.8</w:t>
      </w:r>
      <w:r>
        <w:t xml:space="preserve"> </w:t>
      </w:r>
      <w:r>
        <w:t xml:space="preserve">operationalization-dependency paragraph).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 (Section 4.8 cross-sectional</w:t>
      </w:r>
      <w:r>
        <w:t xml:space="preserve"> </w:t>
      </w:r>
      <w:r>
        <w:t xml:space="preserve">design paragraph).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 (Section 4.8 welfare</w:t>
      </w:r>
      <w:r>
        <w:t xml:space="preserve"> </w:t>
      </w:r>
      <w:r>
        <w:t xml:space="preserve">measurement gap paragraph).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2019; an</w:t>
      </w:r>
      <w:r>
        <w:t xml:space="preserve"> </w:t>
      </w:r>
      <w:r>
        <w:t xml:space="preserve">Ethereum Improvement Proposal is a community-authored specification</w:t>
      </w:r>
      <w:r>
        <w:t xml:space="preserve"> </w:t>
      </w:r>
      <w:r>
        <w:t xml:space="preserve">document defining a protocol change for Ethereum, analogous to a</w:t>
      </w:r>
      <w:r>
        <w:t xml:space="preserve"> </w:t>
      </w:r>
      <w:r>
        <w:t xml:space="preserve">constitutional amendment for the system’s economic rules),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(a</w:t>
      </w:r>
      <w:r>
        <w:t xml:space="preserve"> </w:t>
      </w:r>
      <w:r>
        <w:t xml:space="preserve">mechanism that permanently removes tokens from circulation, reducing</w:t>
      </w:r>
      <w:r>
        <w:t xml:space="preserve"> </w:t>
      </w:r>
      <w:r>
        <w:t xml:space="preserve">supply and tying the token’s value to system usage) linked to usage</w:t>
      </w:r>
      <w:r>
        <w:t xml:space="preserve"> </w:t>
      </w:r>
      <w:r>
        <w:t xml:space="preserve">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 (issuing newly-minted tokens to users</w:t>
      </w:r>
      <w:r>
        <w:t xml:space="preserve"> </w:t>
      </w:r>
      <w:r>
        <w:t xml:space="preserve">who deposit assets into a protocol, as a recruitment incentive),</w:t>
      </w:r>
      <w:r>
        <w:t xml:space="preserve"> </w:t>
      </w:r>
      <w:r>
        <w:t xml:space="preserve">staking rewards (Schär, 2021; issuing tokens to participants who lock</w:t>
      </w:r>
      <w:r>
        <w:t xml:space="preserve"> </w:t>
      </w:r>
      <w:r>
        <w:t xml:space="preserve">existing tokens to secure the protocol), and user rebates, designed to</w:t>
      </w:r>
      <w:r>
        <w:t xml:space="preserve"> </w:t>
      </w:r>
      <w:r>
        <w:t xml:space="preserve">bootstrap two-sided markets. A key controversy is whether these</w:t>
      </w:r>
      <w:r>
        <w:t xml:space="preserve"> </w:t>
      </w:r>
      <w:r>
        <w:t xml:space="preserve">incentives generate durable adoption or merely transient participation</w:t>
      </w:r>
      <w:r>
        <w:t xml:space="preserve"> </w:t>
      </w:r>
      <w:r>
        <w:t xml:space="preserve">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Decentralized Autonomous</w:t>
      </w:r>
      <w:r>
        <w:t xml:space="preserve"> </w:t>
      </w:r>
      <w:r>
        <w:t xml:space="preserve">Organizations (DAOs; on-chain organizations whose governance rules and</w:t>
      </w:r>
      <w:r>
        <w:t xml:space="preserve"> </w:t>
      </w:r>
      <w:r>
        <w:t xml:space="preserve">treasury controls are encoded in smart contracts and exercised via</w:t>
      </w:r>
      <w:r>
        <w:t xml:space="preserve"> </w:t>
      </w:r>
      <w:r>
        <w:t xml:space="preserve">token-weighted voting) and similar token-governed protocols face a</w:t>
      </w:r>
      <w:r>
        <w:t xml:space="preserve"> </w:t>
      </w:r>
      <w:r>
        <w:t xml:space="preserve">central challenge: token-based governance can produce concentrated</w:t>
      </w:r>
      <w:r>
        <w:t xml:space="preserve"> </w:t>
      </w:r>
      <w:r>
        <w:t xml:space="preserve">influence (Barbereau et al., 2023) including</w:t>
      </w:r>
      <w:r>
        <w:t xml:space="preserve"> </w:t>
      </w:r>
      <w:r>
        <w:t xml:space="preserve">“whales”</w:t>
      </w:r>
      <w:r>
        <w:t xml:space="preserve"> </w:t>
      </w:r>
      <w:r>
        <w:t xml:space="preserve">(very large</w:t>
      </w:r>
      <w:r>
        <w:t xml:space="preserve"> </w:t>
      </w:r>
      <w:r>
        <w:t xml:space="preserve">individual holders), delegates (parties who receive voting power</w:t>
      </w:r>
      <w:r>
        <w:t xml:space="preserve"> </w:t>
      </w:r>
      <w:r>
        <w:t xml:space="preserve">from many other holders), or insiders, leading to outcomes that are</w:t>
      </w:r>
      <w:r>
        <w:t xml:space="preserve"> </w:t>
      </w:r>
      <w:r>
        <w:t xml:space="preserve">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1.2 to 11.4 times delegation</w:t>
      </w:r>
      <w:r>
        <w:t xml:space="preserve"> </w:t>
      </w:r>
      <w:r>
        <w:t xml:space="preserve">amplification ratios documented in Section 3.5 are consistent with</w:t>
      </w:r>
      <w:r>
        <w:t xml:space="preserve"> </w:t>
      </w:r>
      <w:r>
        <w:t xml:space="preserve">this clumping 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0.013)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performance; SLA stands for</w:t>
      </w:r>
      <w:r>
        <w:t xml:space="preserve"> </w:t>
      </w:r>
      <w:r>
        <w:t xml:space="preserve">service-level agreement, a contractually-specified threshold for</w:t>
      </w:r>
      <w:r>
        <w:t xml:space="preserve"> </w:t>
      </w:r>
      <w:r>
        <w:t xml:space="preserve">network uptime, latency, or coverage that operators must meet to</w:t>
      </w:r>
      <w:r>
        <w:t xml:space="preserve"> </w:t>
      </w:r>
      <w:r>
        <w:t xml:space="preserve">earn rewards). The result is a system that resembles public</w:t>
      </w:r>
      <w:r>
        <w:t xml:space="preserve"> </w:t>
      </w:r>
      <w:r>
        <w:t xml:space="preserve">infrastructure governance more than 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(a DePIN-specific</w:t>
      </w:r>
      <w:r>
        <w:t xml:space="preserve"> </w:t>
      </w:r>
      <w:r>
        <w:t xml:space="preserve">design pattern in which service users burn tokens to pay for service</w:t>
      </w:r>
      <w:r>
        <w:t xml:space="preserve"> </w:t>
      </w:r>
      <w:r>
        <w:t xml:space="preserve">while operators receive newly-minted tokens as reward; the balance</w:t>
      </w:r>
      <w:r>
        <w:t xml:space="preserve"> </w:t>
      </w:r>
      <w:r>
        <w:t xml:space="preserve">between burns and mints determines whether token supply contracts or</w:t>
      </w:r>
      <w:r>
        <w:t xml:space="preserve"> </w:t>
      </w:r>
      <w:r>
        <w:t xml:space="preserve">expands with demand) bootstrap supply-side 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 where</w:t>
      </w:r>
      <w:r>
        <w:t xml:space="preserve"> </w:t>
      </w:r>
      <w:r>
        <w:t xml:space="preserve">“slashing”</w:t>
      </w:r>
      <w:r>
        <w:t xml:space="preserve"> </w:t>
      </w:r>
      <w:r>
        <w:t xml:space="preserve">means automated penalty mechanisms that confiscate a</w:t>
      </w:r>
      <w:r>
        <w:t xml:space="preserve"> </w:t>
      </w:r>
      <w:r>
        <w:t xml:space="preserve">validator’s staked tokens for malicious or negligent behavior)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These are the five traditions operationalized in Table 1</w:t>
      </w:r>
      <w:r>
        <w:t xml:space="preserve"> </w:t>
      </w:r>
      <w:r>
        <w:t xml:space="preserve">and aggregated into the Synergy Index introduced in Section 2.10.6.</w:t>
      </w:r>
    </w:p>
    <w:p>
      <w:pPr>
        <w:pStyle w:val="BodyText"/>
      </w:pPr>
      <w:r>
        <w:t xml:space="preserve">Kant’s (1785/1997) publicity principle holds that political maxims must</w:t>
      </w:r>
      <w:r>
        <w:t xml:space="preserve"> </w:t>
      </w:r>
      <w:r>
        <w:t xml:space="preserve">be capable of public avowal, meaning the rules a system operates under</w:t>
      </w:r>
      <w:r>
        <w:t xml:space="preserve"> </w:t>
      </w:r>
      <w:r>
        <w:t xml:space="preserve">must be statable in a form that everyone subject to them could in</w:t>
      </w:r>
      <w:r>
        <w:t xml:space="preserve"> </w:t>
      </w:r>
      <w:r>
        <w:t xml:space="preserve">principle accept, and that coercion (slashing, bans, parameter changes)</w:t>
      </w:r>
      <w:r>
        <w:t xml:space="preserve"> </w:t>
      </w:r>
      <w:r>
        <w:t xml:space="preserve">is legitimate only when grounded in transparent and non-arbitrary rules.</w:t>
      </w:r>
    </w:p>
    <w:p>
      <w:pPr>
        <w:pStyle w:val="BodyText"/>
      </w:pPr>
      <w:r>
        <w:t xml:space="preserve">Rawls’s (1971; 1993) theory of justice supplies the second lens</w:t>
      </w:r>
      <w:r>
        <w:t xml:space="preserve"> </w:t>
      </w:r>
      <w:r>
        <w:t xml:space="preserve">through the difference principle (inequalities must improve the</w:t>
      </w:r>
      <w:r>
        <w:t xml:space="preserve"> </w:t>
      </w:r>
      <w:r>
        <w:t xml:space="preserve">position of the least advantaged) and the liberal principle of</w:t>
      </w:r>
      <w:r>
        <w:t xml:space="preserve"> </w:t>
      </w:r>
      <w:r>
        <w:t xml:space="preserve">legitimacy (rules should be defensible under public reason); in</w:t>
      </w:r>
      <w:r>
        <w:t xml:space="preserve"> </w:t>
      </w:r>
      <w:r>
        <w:t xml:space="preserve">tokenized systems this lens scores floor-raising mechanisms that</w:t>
      </w:r>
      <w:r>
        <w:t xml:space="preserve"> </w:t>
      </w:r>
      <w:r>
        <w:t xml:space="preserve">protect smaller participants from being structurally disadvantaged by</w:t>
      </w:r>
      <w:r>
        <w:t xml:space="preserve"> </w:t>
      </w:r>
      <w:r>
        <w:t xml:space="preserve">allocation, distribution, or governance designs.</w:t>
      </w:r>
    </w:p>
    <w:p>
      <w:pPr>
        <w:pStyle w:val="BodyText"/>
      </w:pPr>
      <w:r>
        <w:t xml:space="preserve">Republican freedom as non-domination (Pettit 1997, building on</w:t>
      </w:r>
      <w:r>
        <w:t xml:space="preserve"> </w:t>
      </w:r>
      <w:r>
        <w:t xml:space="preserve">Skinner’s 1998 historical recovery of the neo-Roman tradition of</w:t>
      </w:r>
      <w:r>
        <w:t xml:space="preserve"> </w:t>
      </w:r>
      <w:r>
        <w:t xml:space="preserve">civic-republican political thought; Stanford Encyclopedia of Philosophy</w:t>
      </w:r>
      <w:r>
        <w:t xml:space="preserve"> </w:t>
      </w:r>
      <w:r>
        <w:t xml:space="preserve">2025) reframes legitimacy as protection against arbitrary power rather</w:t>
      </w:r>
      <w:r>
        <w:t xml:space="preserve"> </w:t>
      </w:r>
      <w:r>
        <w:t xml:space="preserve">than mere non-interference: a person is free to the extent that no</w:t>
      </w:r>
      <w:r>
        <w:t xml:space="preserve"> </w:t>
      </w:r>
      <w:r>
        <w:t xml:space="preserve">other agent (the state, an employer, a protocol foundation) has the</w:t>
      </w:r>
      <w:r>
        <w:t xml:space="preserve"> </w:t>
      </w:r>
      <w:r>
        <w:t xml:space="preserve">capacity to interfere with them arbitrarily, even if such interference</w:t>
      </w:r>
      <w:r>
        <w:t xml:space="preserve"> </w:t>
      </w:r>
      <w:r>
        <w:t xml:space="preserve">is not currently being exercised. Pettit positions non-domination as</w:t>
      </w:r>
      <w:r>
        <w:t xml:space="preserve"> </w:t>
      </w:r>
      <w:r>
        <w:t xml:space="preserve">orthogonal to Berlin’s (1958) negative and positive liberty: it is</w:t>
      </w:r>
      <w:r>
        <w:t xml:space="preserve"> </w:t>
      </w:r>
      <w:r>
        <w:t xml:space="preserve">neither pure non-interference (Berlin’s negative liberty, which fails</w:t>
      </w:r>
      <w:r>
        <w:t xml:space="preserve"> </w:t>
      </w:r>
      <w:r>
        <w:t xml:space="preserve">to capture the freedom-cost of being subject to arbitrary power even</w:t>
      </w:r>
      <w:r>
        <w:t xml:space="preserve"> </w:t>
      </w:r>
      <w:r>
        <w:t xml:space="preserve">when 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</w:t>
      </w:r>
    </w:p>
    <w:p>
      <w:pPr>
        <w:pStyle w:val="BodyText"/>
      </w:pPr>
      <w:r>
        <w:t xml:space="preserve">Ostrom’s (1990) polycentric governance framework supplies the fourth</w:t>
      </w:r>
      <w:r>
        <w:t xml:space="preserve"> </w:t>
      </w:r>
      <w:r>
        <w:t xml:space="preserve">lens: complex coordination problems are best addressed by multiple</w:t>
      </w:r>
      <w:r>
        <w:t xml:space="preserve"> </w:t>
      </w:r>
      <w:r>
        <w:t xml:space="preserve">overlapping decision-centers with local autonomy rather than by a</w:t>
      </w:r>
      <w:r>
        <w:t xml:space="preserve"> </w:t>
      </w:r>
      <w:r>
        <w:t xml:space="preserve">single central authority. Section 2.6.2 develops this tradition; the</w:t>
      </w:r>
      <w:r>
        <w:t xml:space="preserve"> </w:t>
      </w:r>
      <w:r>
        <w:t xml:space="preserve">operational scoring in Table 1 rewards protocols with nested</w:t>
      </w:r>
      <w:r>
        <w:t xml:space="preserve"> </w:t>
      </w:r>
      <w:r>
        <w:t xml:space="preserve">decision-centers (e.g., sub-DAOs, councils, region-specific working</w:t>
      </w:r>
      <w:r>
        <w:t xml:space="preserve"> </w:t>
      </w:r>
      <w:r>
        <w:t xml:space="preserve">groups) that exercise meaningful local authority.</w:t>
      </w:r>
    </w:p>
    <w:p>
      <w:pPr>
        <w:pStyle w:val="BodyText"/>
      </w:pPr>
      <w:r>
        <w:t xml:space="preserve">Hayek’s (1945)</w:t>
      </w:r>
      <w:r>
        <w:t xml:space="preserve"> </w:t>
      </w:r>
      <w:r>
        <w:t xml:space="preserve">“Use of Knowledge in Society”</w:t>
      </w:r>
      <w:r>
        <w:t xml:space="preserve"> </w:t>
      </w:r>
      <w:r>
        <w:t xml:space="preserve">argues that dispersed</w:t>
      </w:r>
      <w:r>
        <w:t xml:space="preserve"> </w:t>
      </w:r>
      <w:r>
        <w:t xml:space="preserve">local information cannot be replicated by centralized planning,</w:t>
      </w:r>
      <w:r>
        <w:t xml:space="preserve"> </w:t>
      </w:r>
      <w:r>
        <w:t xml:space="preserve">providing both a critique of static parameter-setting and a positive</w:t>
      </w:r>
      <w:r>
        <w:t xml:space="preserve"> </w:t>
      </w:r>
      <w:r>
        <w:t xml:space="preserve">case for governance designs that incorporate edge-level signals (e.g.,</w:t>
      </w:r>
      <w:r>
        <w:t xml:space="preserve"> </w:t>
      </w:r>
      <w:r>
        <w:t xml:space="preserve">demand-coupled emission mechanisms, price-signal-driven parameter</w:t>
      </w:r>
      <w:r>
        <w:t xml:space="preserve"> </w:t>
      </w:r>
      <w:r>
        <w:t xml:space="preserve">updates).</w:t>
      </w:r>
    </w:p>
    <w:p>
      <w:pPr>
        <w:pStyle w:val="BodyText"/>
      </w:pPr>
      <w:r>
        <w:t xml:space="preserve">These five traditions are not isolated lenses but complementary</w:t>
      </w:r>
      <w:r>
        <w:t xml:space="preserve"> </w:t>
      </w:r>
      <w:r>
        <w:t xml:space="preserve">specifications of legitimacy, jointly defining the design constraints</w:t>
      </w:r>
      <w:r>
        <w:t xml:space="preserve"> </w:t>
      </w:r>
      <w:r>
        <w:t xml:space="preserve">the framework operationalizes in Section 2.9 and the scoring rubric</w:t>
      </w:r>
      <w:r>
        <w:t xml:space="preserve"> </w:t>
      </w:r>
      <w:r>
        <w:t xml:space="preserve">in Table 1. Section 2.9.6 documents the inter-lens dependencies (e.g.,</w:t>
      </w:r>
      <w:r>
        <w:t xml:space="preserve"> </w:t>
      </w:r>
      <w:r>
        <w:t xml:space="preserve">publicity enables contestability; polycentricity enables knowledge-use)</w:t>
      </w:r>
      <w:r>
        <w:t xml:space="preserve"> </w:t>
      </w:r>
      <w:r>
        <w:t xml:space="preserve">that make joint satisfaction load-bearing for the framework’s</w:t>
      </w:r>
      <w:r>
        <w:t xml:space="preserve"> </w:t>
      </w:r>
      <w:r>
        <w:t xml:space="preserve">legitimacy claims.</w:t>
      </w:r>
    </w:p>
    <w:p>
      <w:pPr>
        <w:pStyle w:val="BodyText"/>
      </w:pPr>
      <w:r>
        <w:t xml:space="preserve">Three additional philosophical traditions inform the framework but are</w:t>
      </w:r>
      <w:r>
        <w:t xml:space="preserve"> </w:t>
      </w:r>
      <w:r>
        <w:t xml:space="preserve">reserved for future operationalization (Section 2.10.6; Section 4.8</w:t>
      </w:r>
      <w:r>
        <w:t xml:space="preserve"> </w:t>
      </w:r>
      <w:r>
        <w:t xml:space="preserve">limitations) due to non-comparable cross-protocol measurement</w:t>
      </w:r>
      <w:r>
        <w:t xml:space="preserve"> </w:t>
      </w:r>
      <w:r>
        <w:t xml:space="preserve">requirements at the current sample size. The capability approach (Sen,</w:t>
      </w:r>
      <w:r>
        <w:t xml:space="preserve"> </w:t>
      </w:r>
      <w:r>
        <w:t xml:space="preserve">1999; Nussbaum, 2011) evaluates social arrangements not by aggregate</w:t>
      </w:r>
      <w:r>
        <w:t xml:space="preserve"> </w:t>
      </w:r>
      <w:r>
        <w:t xml:space="preserve">output but by the substantive opportunities individuals have to</w:t>
      </w:r>
      <w:r>
        <w:t xml:space="preserve"> </w:t>
      </w:r>
      <w:r>
        <w:t xml:space="preserve">achieve valued doings and beings, a frame Yanaka and Heeks (2023)</w:t>
      </w:r>
      <w:r>
        <w:t xml:space="preserve"> </w:t>
      </w:r>
      <w:r>
        <w:t xml:space="preserve">extend to digital platform labor and which applies directly to DePIN</w:t>
      </w:r>
      <w:r>
        <w:t xml:space="preserve"> </w:t>
      </w:r>
      <w:r>
        <w:t xml:space="preserve">operators whose hardware lock-in constrains exit options. The</w:t>
      </w:r>
      <w:r>
        <w:t xml:space="preserve"> </w:t>
      </w:r>
      <w:r>
        <w:t xml:space="preserve">contextual-integrity framing (Nissenbaum, 2010) treats appropriate</w:t>
      </w:r>
      <w:r>
        <w:t xml:space="preserve"> </w:t>
      </w:r>
      <w:r>
        <w:t xml:space="preserve">information flow as governed by context-specific norms, extended by</w:t>
      </w:r>
      <w:r>
        <w:t xml:space="preserve"> </w:t>
      </w:r>
      <w:r>
        <w:t xml:space="preserve">Floridi (2013) into a broader information ethics; together with the</w:t>
      </w:r>
      <w:r>
        <w:t xml:space="preserve"> </w:t>
      </w:r>
      <w:r>
        <w:t xml:space="preserve">capability approach these underwrite the design claim that token</w:t>
      </w:r>
      <w:r>
        <w:t xml:space="preserve"> </w:t>
      </w:r>
      <w:r>
        <w:t xml:space="preserve">systems relying on ever-expanding telemetry risk becoming disciplinary</w:t>
      </w:r>
      <w:r>
        <w:t xml:space="preserve"> </w:t>
      </w:r>
      <w:r>
        <w:t xml:space="preserve">infrastructures unless constrained by contextual integrity and</w:t>
      </w:r>
      <w:r>
        <w:t xml:space="preserve"> </w:t>
      </w:r>
      <w:r>
        <w:t xml:space="preserve">proportionality. Cosmopolitan justice (Beitz, 1979; Pogge, 2002)</w:t>
      </w:r>
      <w:r>
        <w:t xml:space="preserve"> </w:t>
      </w:r>
      <w:r>
        <w:t xml:space="preserve">extends fairness reasoning to transnational scope, salient for</w:t>
      </w:r>
      <w:r>
        <w:t xml:space="preserve"> </w:t>
      </w:r>
      <w:r>
        <w:t xml:space="preserve">borderless tokenized institutions but requiring jurisdiction-aware</w:t>
      </w:r>
      <w:r>
        <w:t xml:space="preserve"> </w:t>
      </w:r>
      <w:r>
        <w:t xml:space="preserve">measurement infrastructure that the present cross-section does not</w:t>
      </w:r>
      <w:r>
        <w:t xml:space="preserve"> </w:t>
      </w:r>
      <w:r>
        <w:t xml:space="preserve">support.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126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 protocols where L1</w:t>
      </w:r>
      <w:r>
        <w:t xml:space="preserve"> </w:t>
      </w:r>
      <w:r>
        <w:t xml:space="preserve">denotes a base-layer blockchain like Ethereum and L2 denotes a</w:t>
      </w:r>
      <w:r>
        <w:t xml:space="preserve"> </w:t>
      </w:r>
      <w:r>
        <w:t xml:space="preserve">scaling-layer chain that settles to L1,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 where futarchy means governance through prediction-market</w:t>
      </w:r>
      <w:r>
        <w:t xml:space="preserve"> </w:t>
      </w:r>
      <w:r>
        <w:t xml:space="preserve">betting on the outcomes of proposed policies). The expanded 40-protocol</w:t>
      </w:r>
      <w:r>
        <w:t xml:space="preserve"> </w:t>
      </w:r>
      <w:r>
        <w:t xml:space="preserve">sample was constructed by adding protocols from the Dune Analytics</w:t>
      </w:r>
      <w:r>
        <w:t xml:space="preserve"> </w:t>
      </w:r>
      <w:r>
        <w:t xml:space="preserve">ecosystem (Dune is a community blockchain-data platform where analysts</w:t>
      </w:r>
      <w:r>
        <w:t xml:space="preserve"> </w:t>
      </w:r>
      <w:r>
        <w:t xml:space="preserve">publish SQL queries that aggregate on-chain transactions into</w:t>
      </w:r>
      <w:r>
        <w:t xml:space="preserve"> </w:t>
      </w:r>
      <w:r>
        <w:t xml:space="preserve">human-readable tables) that met three criteria: (i) publicly traded</w:t>
      </w:r>
      <w:r>
        <w:t xml:space="preserve"> </w:t>
      </w:r>
      <w:r>
        <w:t xml:space="preserve">governance token, (ii) holder data queryable via Dune or</w:t>
      </w:r>
      <w:r>
        <w:t xml:space="preserve"> </w:t>
      </w:r>
      <w:r>
        <w:t xml:space="preserve">Helius DAS API (a Solana-blockchain data service that provides</w:t>
      </w:r>
      <w:r>
        <w:t xml:space="preserve"> </w:t>
      </w:r>
      <w:r>
        <w:t xml:space="preserve">holder-balance queries via the Digital Asset Standard), and (iii) at</w:t>
      </w:r>
      <w:r>
        <w:t xml:space="preserve"> </w:t>
      </w:r>
      <w:r>
        <w:t xml:space="preserve">least 50 non-zero-balance holders after protocol-controlled address</w:t>
      </w:r>
      <w:r>
        <w:t xml:space="preserve"> </w:t>
      </w:r>
      <w:r>
        <w:t xml:space="preserve">exclusion. MetaDAO is included as the sole futarchy-governance protocol</w:t>
      </w:r>
      <w:r>
        <w:t xml:space="preserve"> </w:t>
      </w:r>
      <w:r>
        <w:t xml:space="preserve">in the sample. Solana-native tokens (META, DRIFT, GRASS, W) required a</w:t>
      </w:r>
      <w:r>
        <w:t xml:space="preserve"> </w:t>
      </w:r>
      <w:r>
        <w:t xml:space="preserve">separate data collection pipeline (Helius DAS API) because the primary</w:t>
      </w:r>
      <w:r>
        <w:t xml:space="preserve"> </w:t>
      </w:r>
      <w:r>
        <w:t xml:space="preserve">Ethereum-focused indexer undercounted Solana holders by two orders of</w:t>
      </w:r>
      <w:r>
        <w:t xml:space="preserve"> </w:t>
      </w:r>
      <w:r>
        <w:t xml:space="preserve">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0.013;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0.027, Grass 0.035, DIMO</w:t>
      </w:r>
      <w:r>
        <w:t xml:space="preserve"> </w:t>
      </w:r>
      <w:r>
        <w:t xml:space="preserve">0.025, Anyone 0.013, Filecoin 0.022)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Replication Tally and Snapshot</w:t>
      </w:r>
      <w:r>
        <w:t xml:space="preserve"> </w:t>
      </w:r>
      <w:r>
        <w:t xml:space="preserve">API queries in May 2026 confirmed that voting-power distributions can</w:t>
      </w:r>
      <w:r>
        <w:t xml:space="preserve"> </w:t>
      </w:r>
      <w:r>
        <w:t xml:space="preserve">drift materially over multi-month windows: a fresh Compound Tally pull</w:t>
      </w:r>
      <w:r>
        <w:t xml:space="preserve"> </w:t>
      </w:r>
      <w:r>
        <w:t xml:space="preserve">in May 2026 returned roughly 120 delegates with non-zero voting power,</w:t>
      </w:r>
      <w:r>
        <w:t xml:space="preserve"> </w:t>
      </w:r>
      <w:r>
        <w:t xml:space="preserve">compared with the 100-delegate 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(TGE; the moment a protocol first</w:t>
      </w:r>
      <w:r>
        <w:t xml:space="preserve"> </w:t>
      </w:r>
      <w:r>
        <w:t xml:space="preserve">mints and distributes its token to a defined set of recipients),</w:t>
      </w:r>
      <w:r>
        <w:t xml:space="preserve"> </w:t>
      </w:r>
      <w:r>
        <w:t xml:space="preserve">defined as team_pct + investor_pct from primary tokenomics sources.</w:t>
      </w:r>
      <w:r>
        <w:t xml:space="preserve"> </w:t>
      </w:r>
      <w:r>
        <w:t xml:space="preserve">Insider count fraction in top-10 holders is a descriptive mechanism</w:t>
      </w:r>
      <w:r>
        <w:t xml:space="preserve"> </w:t>
      </w:r>
      <w:r>
        <w:t xml:space="preserve">variable measured post-distribution from holder snapshots, defined as</w:t>
      </w:r>
      <w:r>
        <w:t xml:space="preserve"> </w:t>
      </w:r>
      <w:r>
        <w:t xml:space="preserve">the post-exclusion fraction of wallets in the top-10 classified as</w:t>
      </w:r>
      <w:r>
        <w:t xml:space="preserve"> </w:t>
      </w:r>
      <w:r>
        <w:t xml:space="preserve">insider via a three-tier procedure: Tier 1 uses Blockscout verified-</w:t>
      </w:r>
      <w:r>
        <w:t xml:space="preserve"> </w:t>
      </w:r>
      <w:r>
        <w:t xml:space="preserve">contract labels and Dune exchange tags; Tier 2 uses contract bytecode</w:t>
      </w:r>
      <w:r>
        <w:t xml:space="preserve"> </w:t>
      </w:r>
      <w:r>
        <w:t xml:space="preserve">matching for SafeProxy and GnosisSafe (multi-signature wallets where</w:t>
      </w:r>
      <w:r>
        <w:t xml:space="preserve"> </w:t>
      </w:r>
      <w:r>
        <w:t xml:space="preserve">several authorized parties must each sign a transaction to authorize</w:t>
      </w:r>
      <w:r>
        <w:t xml:space="preserve"> </w:t>
      </w:r>
      <w:r>
        <w:t xml:space="preserve">fund movement, commonly used as protocol treasuries) and vesting</w:t>
      </w:r>
      <w:r>
        <w:t xml:space="preserve"> </w:t>
      </w:r>
      <w:r>
        <w:t xml:space="preserve">contracts; Tier 3 uses Etherscan (an Ethereum blockchain explorer)</w:t>
      </w:r>
      <w:r>
        <w:t xml:space="preserve"> </w:t>
      </w:r>
      <w:r>
        <w:t xml:space="preserve">named-address matching against documented foundation, treasury, and</w:t>
      </w:r>
      <w:r>
        <w:t xml:space="preserve"> </w:t>
      </w:r>
      <w:r>
        <w:t xml:space="preserve">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(126 addresses across 38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0.010;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0.074;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0.060;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(0.013);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(3.6x).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3.6x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(the Ethereum standard for fungible tokens) or SPL (Solana</w:t>
      </w:r>
      <w:r>
        <w:t xml:space="preserve"> </w:t>
      </w:r>
      <w:r>
        <w:t xml:space="preserve">Program Library; Solana’s analog for fungible tokens) token holders</w:t>
      </w:r>
      <w:r>
        <w:t xml:space="preserve"> </w:t>
      </w:r>
      <w:r>
        <w:t xml:space="preserve">should apply the five PCA classes documented below before computing</w:t>
      </w:r>
      <w:r>
        <w:t xml:space="preserve"> </w:t>
      </w:r>
      <w:r>
        <w:t xml:space="preserve">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126 PCA addresses across</w:t>
      </w:r>
      <w:r>
        <w:t xml:space="preserve"> </w:t>
      </w:r>
      <w:r>
        <w:t xml:space="preserve">38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11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4.9).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 (the</w:t>
      </w:r>
      <w:r>
        <w:t xml:space="preserve"> </w:t>
      </w:r>
      <w:r>
        <w:t xml:space="preserve">minimum fraction of voting power required for a proposal to pass; a</w:t>
      </w:r>
      <w:r>
        <w:t xml:space="preserve"> </w:t>
      </w:r>
      <w:r>
        <w:t xml:space="preserve">high quorum may concentrate decisive influence in whoever holds enough</w:t>
      </w:r>
      <w:r>
        <w:t xml:space="preserve"> </w:t>
      </w:r>
      <w:r>
        <w:t xml:space="preserve">tokens to meet it), delegation patterns, or proposal-rights</w:t>
      </w:r>
      <w:r>
        <w:t xml:space="preserve"> </w:t>
      </w:r>
      <w:r>
        <w:t xml:space="preserve">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126</w:t>
      </w:r>
      <w:r>
        <w:t xml:space="preserve"> </w:t>
      </w:r>
      <w:r>
        <w:t xml:space="preserve">protocol-controlled addresses across 38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are included to improve statistical</w:t>
      </w:r>
      <w:r>
        <w:t xml:space="preserve"> </w:t>
      </w:r>
      <w:r>
        <w:t xml:space="preserve">power for the subsidy analysis: Aethir (ATH, Ethereum, GPU compute,</w:t>
      </w:r>
      <w:r>
        <w:t xml:space="preserve"> </w:t>
      </w:r>
      <w:r>
        <w:t xml:space="preserve">$156M annualized revenue (Token Terminal, April 2026)), Hivemapper</w:t>
      </w:r>
      <w:r>
        <w:t xml:space="preserve"> </w:t>
      </w:r>
      <w:r>
        <w:t xml:space="preserve">(HONEY, Solana, mapping), and io.net (IO, Solana, GPU compute, $21M</w:t>
      </w:r>
      <w:r>
        <w:t xml:space="preserve"> </w:t>
      </w:r>
      <w:r>
        <w:t xml:space="preserve">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126 protocol-controlled addresses excluded across 38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</w:t>
      </w:r>
      <w:r>
        <w:rPr>
          <w:i/>
          <w:iCs/>
        </w:rPr>
        <w:t xml:space="preserve"> </w:t>
      </w:r>
      <w:r>
        <w:rPr>
          <w:i/>
          <w:iCs/>
        </w:rPr>
        <w:t xml:space="preserve">(ATH) appear as full Table 4 rows following supplementary holder-list</w:t>
      </w:r>
      <w:r>
        <w:rPr>
          <w:i/>
          <w:iCs/>
        </w:rPr>
        <w:t xml:space="preserve"> </w:t>
      </w:r>
      <w:r>
        <w:rPr>
          <w:i/>
          <w:iCs/>
        </w:rPr>
        <w:t xml:space="preserve">collection: Hivemapper and io.net via Helius DAS API (90,680 HONEY</w:t>
      </w:r>
      <w:r>
        <w:rPr>
          <w:i/>
          <w:iCs/>
        </w:rPr>
        <w:t xml:space="preserve"> </w:t>
      </w:r>
      <w:r>
        <w:rPr>
          <w:i/>
          <w:iCs/>
        </w:rPr>
        <w:t xml:space="preserve">holders; 84,861 IO holders); Aethir via Dune erc20_ethereum.evt_transfer</w:t>
      </w:r>
      <w:r>
        <w:rPr>
          <w:i/>
          <w:iCs/>
        </w:rPr>
        <w:t xml:space="preserve"> </w:t>
      </w:r>
      <w:r>
        <w:rPr>
          <w:i/>
          <w:iCs/>
        </w:rPr>
        <w:t xml:space="preserve">net-balance aggregation (top-1,000 holders). The Aethir HHI (0.087)</w:t>
      </w:r>
      <w:r>
        <w:rPr>
          <w:i/>
          <w:iCs/>
        </w:rPr>
        <w:t xml:space="preserve"> </w:t>
      </w:r>
      <w:r>
        <w:rPr>
          <w:i/>
          <w:iCs/>
        </w:rPr>
        <w:t xml:space="preserve">reflects the May 2026 Dune top-1000 pull with seven protocol-controlled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addresses excluded under the canonical post-PCA-exclusion methodology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2.10.10 five-class typology; Section 2.10.3 Top-N convention).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Finance, an aggregator that pools user-deposited</w:t>
      </w:r>
      <w:r>
        <w:t xml:space="preserve"> </w:t>
      </w:r>
      <w:r>
        <w:t xml:space="preserve">CRV into a single locked veCRV position and votes as a meta-governance</w:t>
      </w:r>
      <w:r>
        <w:t xml:space="preserve"> </w:t>
      </w:r>
      <w:r>
        <w:t xml:space="preserve">layer on behalf of depositors, holds 48% of the top-50 deposit-weighted</w:t>
      </w:r>
      <w:r>
        <w:t xml:space="preserve"> </w:t>
      </w:r>
      <w:r>
        <w:t xml:space="preserve">share; Yearn Finance, a yield-aggregation protocol that runs a similar</w:t>
      </w:r>
      <w:r>
        <w:t xml:space="preserve"> </w:t>
      </w:r>
      <w:r>
        <w:t xml:space="preserve">meta-governance position, holds 14%; Stake DAO holds 9%; the remaining</w:t>
      </w:r>
      <w:r>
        <w:t xml:space="preserve"> </w:t>
      </w:r>
      <w:r>
        <w:t xml:space="preserve">top-50 lockers each hold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exhibit much lower concentration in the post-</w:t>
      </w:r>
      <w:r>
        <w:t xml:space="preserve"> </w:t>
      </w:r>
      <w:r>
        <w:t xml:space="preserve">exclusion top-1,000 sample than in the raw holder list. Applying the</w:t>
      </w:r>
      <w:r>
        <w:t xml:space="preserve"> </w:t>
      </w:r>
      <w:r>
        <w:t xml:space="preserve">holder-list correction for Solana tokens (Helius DAS API enumeration</w:t>
      </w:r>
      <w:r>
        <w:t xml:space="preserve"> </w:t>
      </w:r>
      <w:r>
        <w:t xml:space="preserve">versus the systematically-undercounting Dune indexer) and the PCA</w:t>
      </w:r>
      <w:r>
        <w:t xml:space="preserve"> </w:t>
      </w:r>
      <w:r>
        <w:t xml:space="preserve">exclusion methodology (38 protocols with documented exclusions; Section</w:t>
      </w:r>
      <w:r>
        <w:t xml:space="preserve"> </w:t>
      </w:r>
      <w:r>
        <w:t xml:space="preserve">2.10.10), the DePIN-DeFi concentration gap is computed on a holder</w:t>
      </w:r>
      <w:r>
        <w:t xml:space="preserve"> </w:t>
      </w:r>
      <w:r>
        <w:t xml:space="preserve">sample materially different from the naive top-1,000 alternative. For</w:t>
      </w:r>
      <w:r>
        <w:t xml:space="preserve"> </w:t>
      </w:r>
      <w:r>
        <w:t xml:space="preserve">DRIFT, the raw holder distribution yields HHI 0.419 against the</w:t>
      </w:r>
      <w:r>
        <w:t xml:space="preserve"> </w:t>
      </w:r>
      <w:r>
        <w:t xml:space="preserve">post-exclusion value of 0.053 (Helius enumerates 27,888 distinct</w:t>
      </w:r>
      <w:r>
        <w:t xml:space="preserve"> </w:t>
      </w:r>
      <w:r>
        <w:t xml:space="preserve">holders versus 104 retrieved from the Dune indexer). Wormhole</w:t>
      </w:r>
      <w:r>
        <w:t xml:space="preserve"> </w:t>
      </w:r>
      <w:r>
        <w:t xml:space="preserve">(W) moves from 0.126 (raw) to 0.012 (post-exclusion); GRASS moves</w:t>
      </w:r>
      <w:r>
        <w:t xml:space="preserve"> </w:t>
      </w:r>
      <w:r>
        <w:t xml:space="preserve">from 0.132 to 0.035.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Lido (0.008),</w:t>
      </w:r>
      <w:r>
        <w:t xml:space="preserve"> </w:t>
      </w:r>
      <w:r>
        <w:t xml:space="preserve">Compound (0.009), and Uniswap (0.010) in DeFi; Optimism (0.009),</w:t>
      </w:r>
      <w:r>
        <w:t xml:space="preserve"> </w:t>
      </w:r>
      <w:r>
        <w:t xml:space="preserve">Arbitrum (0.012), Wormhole (0.012), and LayerZero (0.014) in L1/L2</w:t>
      </w:r>
      <w:r>
        <w:t xml:space="preserve"> </w:t>
      </w:r>
      <w:r>
        <w:t xml:space="preserve">infrastructure; and Hivemapper (0.018) in DePIN all achieve HHI below</w:t>
      </w:r>
      <w:r>
        <w:t xml:space="preserve"> </w:t>
      </w:r>
      <w:r>
        <w:t xml:space="preserve">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approximately two and a half times the governance</w:t>
      </w:r>
      <w:r>
        <w:t xml:space="preserve"> </w:t>
      </w:r>
      <w:r>
        <w:t xml:space="preserve">concentration of DeFi protocols (mean HHI 0.077 vs. 0.031, a ratio of 2.5; Mann-Whitney</w:t>
      </w:r>
      <w:r>
        <w:t xml:space="preserve"> </w:t>
      </w:r>
      <w:r>
        <w:t xml:space="preserve">p = 0.018, Cohen’s d = 0.98, N = 15/15). The gap holds at the</w:t>
      </w:r>
      <w:r>
        <w:t xml:space="preserve"> </w:t>
      </w:r>
      <w:r>
        <w:t xml:space="preserve">conventional 0.05 threshold in Models 1 and 2 (Table 6) after adjusting</w:t>
      </w:r>
      <w:r>
        <w:t xml:space="preserve"> </w:t>
      </w:r>
      <w:r>
        <w:t xml:space="preserve">for protocol age and valuation, and falls just above the threshold in</w:t>
      </w:r>
      <w:r>
        <w:t xml:space="preserve"> </w:t>
      </w:r>
      <w:r>
        <w:t xml:space="preserve">Model 3 (p = 0.078) after adding the initial insider allocation</w:t>
      </w:r>
      <w:r>
        <w:t xml:space="preserve"> </w:t>
      </w:r>
      <w:r>
        <w:t xml:space="preserve">control.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 (p range</w:t>
      </w:r>
      <w:r>
        <w:t xml:space="preserve"> </w:t>
      </w:r>
      <w:r>
        <w:t xml:space="preserve">across iterations: 0.007 to 0.028; Cohen’s d range: 0.90 to 1.10;</w:t>
      </w:r>
      <w:r>
        <w:t xml:space="preserve"> </w:t>
      </w:r>
      <w:r>
        <w:t xml:space="preserve">see Figure 9 for per-iteration values), and a two-sided permutation</w:t>
      </w:r>
      <w:r>
        <w:t xml:space="preserve"> </w:t>
      </w:r>
      <w:r>
        <w:t xml:space="preserve">test (100,000 random reassignments of sector labels) yields p = 0.008.</w:t>
      </w:r>
      <w:r>
        <w:t xml:space="preserve"> </w:t>
      </w:r>
      <w:r>
        <w:t xml:space="preserve">A non-parametric bootstrap on the sector mean difference (10,000</w:t>
      </w:r>
      <w:r>
        <w:t xml:space="preserve"> </w:t>
      </w:r>
      <w:r>
        <w:t xml:space="preserve">resamples) yields a 95% percentile interval of [0.015, 0.080] HHI</w:t>
      </w:r>
      <w:r>
        <w:t xml:space="preserve"> </w:t>
      </w:r>
      <w:r>
        <w:t xml:space="preserve">points (Cohen’s d 95% CI: [0.41, 1.69]), strictly excluding zero</w:t>
      </w:r>
      <w:r>
        <w:t xml:space="preserve"> </w:t>
      </w:r>
      <w:r>
        <w:t xml:space="preserve">and confirming the sector contrast is robust to resampling.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(0.077) exceeds DeFi mean (0.031),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 = 0.018, d = 0.98)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0.027, N=8): Welch t-test p = 0.008,</w:t>
      </w:r>
      <w:r>
        <w:t xml:space="preserve"> </w:t>
      </w:r>
      <w:r>
        <w:t xml:space="preserve">Cohen’s d = 1.00; Mann-Whitney p = 0.019.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0.009) and MakerDAO (2017, HHI 0.040) are older than</w:t>
      </w:r>
      <w:r>
        <w:t xml:space="preserve"> </w:t>
      </w:r>
      <w:r>
        <w:t xml:space="preserve">DIMO (2022, HHI 0.025)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0.013)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0.013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 = 0.04, p = 0.84, N = 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126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126 figure counts excluded addresses across the</w:t>
      </w:r>
      <w:r>
        <w:t xml:space="preserve"> </w:t>
      </w:r>
      <w:r>
        <w:t xml:space="preserve">top-1,000 holders of the 38 protocols with documented PCA exclusions.</w:t>
      </w:r>
      <w:r>
        <w:t xml:space="preserve"> </w:t>
      </w:r>
      <w:r>
        <w:t xml:space="preserve">The samples and windows differ; the two numbers are not</w:t>
      </w:r>
      <w:r>
        <w:t xml:space="preserve"> </w:t>
      </w:r>
      <w:r>
        <w:t xml:space="preserve">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post-exclusion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 = 0.04, p = 0.84)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(Lido at 0.008 is the second-lowest after the post-PCA-audit</w:t>
      </w:r>
      <w:r>
        <w:t xml:space="preserve"> </w:t>
      </w:r>
      <w:r>
        <w:t xml:space="preserve">exclusions, and Compound at 0.009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0.04, p = 0.84,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0.025, 0.087, and 0.013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0.053, p = 0.008, N = 38; Model</w:t>
      </w:r>
      <w:r>
        <w:t xml:space="preserve"> </w:t>
      </w:r>
      <w:r>
        <w:t xml:space="preserve">2: 0.053, p = 0.036, N = 36) and just above the conventional 0.05</w:t>
      </w:r>
      <w:r>
        <w:t xml:space="preserve"> </w:t>
      </w:r>
      <w:r>
        <w:t xml:space="preserve">threshold in Model 3 (0.043, p = 0.078, N = 35). No other covariate</w:t>
      </w:r>
      <w:r>
        <w:t xml:space="preserve"> </w:t>
      </w:r>
      <w:r>
        <w:t xml:space="preserve">achieves p &lt; 0.10. In particular, the initial insider allocation</w:t>
      </w:r>
      <w:r>
        <w:t xml:space="preserve"> </w:t>
      </w:r>
      <w:r>
        <w:t xml:space="preserve">percentage used as a Table 6 covariate is not significant, consistent</w:t>
      </w:r>
      <w:r>
        <w:t xml:space="preserve"> </w:t>
      </w:r>
      <w:r>
        <w:t xml:space="preserve">with the bivariate null in Table 5. This is distinct from the current</w:t>
      </w:r>
      <w:r>
        <w:t xml:space="preserve"> </w:t>
      </w:r>
      <w:r>
        <w:t xml:space="preserve">insider-retention measure reported in Section 3.4 (Spearman rho = 0.48),</w:t>
      </w:r>
      <w:r>
        <w:t xml:space="preserve"> </w:t>
      </w:r>
      <w:r>
        <w:t xml:space="preserve">which counts how many of a protocol's top-10 holders are insiders</w:t>
      </w:r>
      <w:r>
        <w:t xml:space="preserve"> </w:t>
      </w:r>
      <w:r>
        <w:t xml:space="preserve">rather than measuring the share of supply allocated to insiders at</w:t>
      </w:r>
      <w:r>
        <w:t xml:space="preserve"> </w:t>
      </w:r>
      <w:r>
        <w:t xml:space="preserve">launch. The adjusted R-squared ranges from 0.15 to 0.19, indicating</w:t>
      </w:r>
      <w:r>
        <w:t xml:space="preserve"> </w:t>
      </w:r>
      <w:r>
        <w:t xml:space="preserve">that sector membership accounts for more cross-sectional variation than</w:t>
      </w:r>
      <w:r>
        <w:t xml:space="preserve"> </w:t>
      </w:r>
      <w:r>
        <w:t xml:space="preserve">protocol age, valuation, or 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p>
      <w:pPr>
        <w:pStyle w:val="BodyText"/>
      </w:pPr>
      <w:r>
        <w:t xml:space="preserve">A bootstrap robustness check confirms the sector coefficient is</w:t>
      </w:r>
      <w:r>
        <w:t xml:space="preserve"> </w:t>
      </w:r>
      <w:r>
        <w:t xml:space="preserve">reliably positive across resampling under the full Model 3</w:t>
      </w:r>
      <w:r>
        <w:t xml:space="preserve"> </w:t>
      </w:r>
      <w:r>
        <w:t xml:space="preserve">specification. With 5,000 bootstrap resamples of the N=35 sample, the</w:t>
      </w:r>
      <w:r>
        <w:t xml:space="preserve"> </w:t>
      </w:r>
      <w:r>
        <w:t xml:space="preserve">DePIN coefficient bootstrap distribution centers at +0.054 with a</w:t>
      </w:r>
      <w:r>
        <w:t xml:space="preserve"> </w:t>
      </w:r>
      <w:r>
        <w:t xml:space="preserve">95% percentile interval of [+0.001, +0.091], strictly above zero.</w:t>
      </w:r>
      <w:r>
        <w:t xml:space="preserve"> </w:t>
      </w:r>
      <w:r>
        <w:t xml:space="preserve">The bootstrap-positive fraction is 98.0%.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sector dummy and the insider-allocation control: in</w:t>
      </w:r>
      <w:r>
        <w:t xml:space="preserve"> </w:t>
      </w:r>
      <w:r>
        <w:t xml:space="preserve">the cross-section, DePIN protocols cluster on higher insider</w:t>
      </w:r>
      <w:r>
        <w:t xml:space="preserve"> </w:t>
      </w:r>
      <w:r>
        <w:t xml:space="preserve">allocation than DeFi protocols, so a fraction of the sector</w:t>
      </w:r>
      <w:r>
        <w:t xml:space="preserve"> </w:t>
      </w:r>
      <w:r>
        <w:t xml:space="preserve">coefficient’s signal is absorbed by the insider variable when both</w:t>
      </w:r>
      <w:r>
        <w:t xml:space="preserve"> </w:t>
      </w:r>
      <w:r>
        <w:t xml:space="preserve">appear in the same model. This is consistent with the cross-sectional</w:t>
      </w:r>
      <w:r>
        <w:t xml:space="preserve"> </w:t>
      </w:r>
      <w:r>
        <w:t xml:space="preserve">allocation null (Table 5, Pearson r = 0.04 for insider allocation</w:t>
      </w:r>
      <w:r>
        <w:t xml:space="preserve"> </w:t>
      </w:r>
      <w:r>
        <w:t xml:space="preserve">alone) rather than indicating that the sector effect is fragile to</w:t>
      </w:r>
      <w:r>
        <w:t xml:space="preserve"> </w:t>
      </w:r>
      <w:r>
        <w:t xml:space="preserve">covariate inclusion. The N=35 multivariate sample also limits the</w:t>
      </w:r>
      <w:r>
        <w:t xml:space="preserve"> </w:t>
      </w:r>
      <w:r>
        <w:t xml:space="preserve">precision with which the sector coefficient can be statistically</w:t>
      </w:r>
      <w:r>
        <w:t xml:space="preserve"> </w:t>
      </w:r>
      <w:r>
        <w:t xml:space="preserve">isolated from correlated controls; the bootstrap robustness check</w:t>
      </w:r>
      <w:r>
        <w:t xml:space="preserve"> </w:t>
      </w:r>
      <w:r>
        <w:t xml:space="preserve">above is the more informative robustness statement under small-sample</w:t>
      </w:r>
      <w:r>
        <w:t xml:space="preserve"> </w:t>
      </w:r>
      <w:r>
        <w:t xml:space="preserve">multivariate conditions.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(HC3; a heteroskedasticity-consistent estimator</w:t>
      </w:r>
      <w:r>
        <w:rPr>
          <w:i/>
          <w:iCs/>
        </w:rPr>
        <w:t xml:space="preserve"> </w:t>
      </w:r>
      <w:r>
        <w:rPr>
          <w:i/>
          <w:iCs/>
        </w:rPr>
        <w:t xml:space="preserve">that produces valid standard-error estimates even when error variance</w:t>
      </w:r>
      <w:r>
        <w:rPr>
          <w:i/>
          <w:iCs/>
        </w:rPr>
        <w:t xml:space="preserve"> </w:t>
      </w:r>
      <w:r>
        <w:rPr>
          <w:i/>
          <w:iCs/>
        </w:rPr>
        <w:t xml:space="preserve">is not constant across observations, the typical condition in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cross-sectional cross-protocol data) in parentheses. * p &lt; 0.10,</w:t>
      </w:r>
      <w:r>
        <w:rPr>
          <w:i/>
          <w:iCs/>
        </w:rPr>
        <w:t xml:space="preserve"> </w:t>
      </w:r>
      <w:r>
        <w:rPr>
          <w:i/>
          <w:iCs/>
        </w:rPr>
        <w:t xml:space="preserve">** p &lt; 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governance concentration above holding levels</w:t>
      </w:r>
      <w:r>
        <w:t xml:space="preserve"> </w:t>
      </w:r>
      <w:r>
        <w:t xml:space="preserve">across nearly every protocol sampled, with amplification ratios ranging</w:t>
      </w:r>
      <w:r>
        <w:t xml:space="preserve"> </w:t>
      </w:r>
      <w:r>
        <w:t xml:space="preserve">from 1.2x to 11.4x (mean 5.3x) and a single structural exception (ENS)</w:t>
      </w:r>
      <w:r>
        <w:t xml:space="preserve"> </w:t>
      </w:r>
      <w:r>
        <w:t xml:space="preserve">where a mature delegate program disperses voting power below the</w:t>
      </w:r>
      <w:r>
        <w:t xml:space="preserve"> </w:t>
      </w:r>
      <w:r>
        <w:t xml:space="preserve">holding baseline (Table 7).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ENS, yielding 10 protocols</w:t>
      </w:r>
      <w:r>
        <w:t xml:space="preserve"> </w:t>
      </w:r>
      <w:r>
        <w:t xml:space="preserve">with sufficient governance activity in the 12 months preceding the</w:t>
      </w:r>
      <w:r>
        <w:t xml:space="preserve"> </w:t>
      </w:r>
      <w:r>
        <w:t xml:space="preserve">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0.39x),</w:t>
      </w:r>
      <w:r>
        <w:t xml:space="preserve"> </w:t>
      </w:r>
      <w:r>
        <w:t xml:space="preserve">with amplification ratios ranging from 1.2x (GMX) to 11.4x (Lido). The</w:t>
      </w:r>
      <w:r>
        <w:t xml:space="preserve"> </w:t>
      </w:r>
      <w:r>
        <w:t xml:space="preserve">amplification range within DeFi spans 1.2x (GMX) to 11.4x (Lido);</w:t>
      </w:r>
      <w:r>
        <w:t xml:space="preserve"> </w:t>
      </w:r>
      <w:r>
        <w:t xml:space="preserve">DePIN spans 3.3x (WeatherXM) to 9.1x (DIMO); infrastructure spans 3.6x</w:t>
      </w:r>
      <w:r>
        <w:t xml:space="preserve"> </w:t>
      </w:r>
      <w:r>
        <w:t xml:space="preserve">(Optimism) to 4.4x (Arbitrum). Sector membership does not predict how</w:t>
      </w:r>
      <w:r>
        <w:t xml:space="preserve"> </w:t>
      </w:r>
      <w:r>
        <w:t xml:space="preserve">strongly delegation concentrates power. Institutional design within</w:t>
      </w:r>
      <w:r>
        <w:t xml:space="preserve"> </w:t>
      </w:r>
      <w:r>
        <w:t xml:space="preserve">each delegate program does. DIMO’s voting HHI (0.228) is 9.1 times its</w:t>
      </w:r>
      <w:r>
        <w:t xml:space="preserve"> </w:t>
      </w:r>
      <w:r>
        <w:t xml:space="preserve">holding HHI (0.025), though this ratio is based on only 10 Snapshot</w:t>
      </w:r>
      <w:r>
        <w:t xml:space="preserve"> </w:t>
      </w:r>
      <w:r>
        <w:t xml:space="preserve">voters and should be interpreted with caution, and WeatherXM’s (0.486)</w:t>
      </w:r>
      <w:r>
        <w:t xml:space="preserve"> </w:t>
      </w:r>
      <w:r>
        <w:t xml:space="preserve">is 3.3 times its holding HHI (0.148). A small number of delegates,</w:t>
      </w:r>
      <w:r>
        <w:t xml:space="preserve"> </w:t>
      </w:r>
      <w:r>
        <w:t xml:space="preserve">likely foundation-affiliated or early-investor wallets, control</w:t>
      </w:r>
      <w:r>
        <w:t xml:space="preserve"> </w:t>
      </w:r>
      <w:r>
        <w:t xml:space="preserve">governance outcomes despite relatively 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five DeFi protocols sampled show delegation amplification, with</w:t>
      </w:r>
      <w:r>
        <w:t xml:space="preserve"> </w:t>
      </w:r>
      <w:r>
        <w:t xml:space="preserve">GMX (1.2x) and Uniswap (2.8x) at the lower end and Compound (5.7x),</w:t>
      </w:r>
      <w:r>
        <w:t xml:space="preserve"> </w:t>
      </w:r>
      <w:r>
        <w:t xml:space="preserve">Aave (5.9x), and Lido (11.4x) at the higher end. The Uniswap result is</w:t>
      </w:r>
      <w:r>
        <w:t xml:space="preserve"> </w:t>
      </w:r>
      <w:r>
        <w:t xml:space="preserve">worth examining in detail. Earlier analyses, using a holding HHI of</w:t>
      </w:r>
      <w:r>
        <w:t xml:space="preserve"> </w:t>
      </w:r>
      <w:r>
        <w:t xml:space="preserve">0.032, produced an amplification ratio of 0.84x and were cited as</w:t>
      </w:r>
      <w:r>
        <w:t xml:space="preserve"> </w:t>
      </w:r>
      <w:r>
        <w:t xml:space="preserve">evidence that Uniswap’s mature delegate ecosystem can disperse</w:t>
      </w:r>
      <w:r>
        <w:t xml:space="preserve"> </w:t>
      </w:r>
      <w:r>
        <w:t xml:space="preserve">governance power. That earlier HHI included the canonical UNI burn</w:t>
      </w:r>
      <w:r>
        <w:t xml:space="preserve"> </w:t>
      </w:r>
      <w:r>
        <w:t xml:space="preserve">address (0x000…000dead), which holds 102.5 million UNI (11.3 percent</w:t>
      </w:r>
      <w:r>
        <w:t xml:space="preserve"> </w:t>
      </w:r>
      <w:r>
        <w:t xml:space="preserve">of supply) inert and cannot participate in governance under any</w:t>
      </w:r>
      <w:r>
        <w:t xml:space="preserve"> </w:t>
      </w:r>
      <w:r>
        <w:t xml:space="preserve">condition: it has no delegate, no votes, and no path to ever cast one.</w:t>
      </w:r>
      <w:r>
        <w:t xml:space="preserve"> </w:t>
      </w:r>
      <w:r>
        <w:t xml:space="preserve">After excluding this burn address, the post-exclusion holding HHI is 0.010,</w:t>
      </w:r>
      <w:r>
        <w:t xml:space="preserve"> </w:t>
      </w:r>
      <w:r>
        <w:t xml:space="preserve">and the amplification ratio is 2.8x.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pre-exclusion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3.6 times its post-exclusion</w:t>
      </w:r>
      <w:r>
        <w:t xml:space="preserve"> </w:t>
      </w:r>
      <w:r>
        <w:t xml:space="preserve">holding HHI (0.009). Arbitrum’s voting HHI (0.052) is 4.4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3.6x to 4.4x range, which</w:t>
      </w:r>
      <w:r>
        <w:t xml:space="preserve"> </w:t>
      </w:r>
      <w:r>
        <w:t xml:space="preserve">sits below the cross-protocol mean (5.3x).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3.6x delegation amplification, below the</w:t>
      </w:r>
      <w:r>
        <w:t xml:space="preserve"> </w:t>
      </w:r>
      <w:r>
        <w:t xml:space="preserve">cross-protocol mean (5.3x) but consistent with the universal direction</w:t>
      </w:r>
      <w:r>
        <w:t xml:space="preserve"> </w:t>
      </w:r>
      <w:r>
        <w:t xml:space="preserve">of effect.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11.4x amplification, the highest in the cross-protocol sample,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amplification ratio measured from a curated active-governance holder</w:t>
      </w:r>
      <w:r>
        <w:t xml:space="preserve"> </w:t>
      </w:r>
      <w:r>
        <w:t xml:space="preserve">subset (N = 189; minimum balance threshold approximately 414K LDO).</w:t>
      </w:r>
      <w:r>
        <w:t xml:space="preserve"> </w:t>
      </w:r>
      <w:r>
        <w:t xml:space="preserve">Under the universal top-1000 holder methodology applied in this</w:t>
      </w:r>
      <w:r>
        <w:t xml:space="preserve"> </w:t>
      </w:r>
      <w:r>
        <w:t xml:space="preserve">manuscript with the full protocol-controlled-address audit (Section</w:t>
      </w:r>
      <w:r>
        <w:t xml:space="preserve"> </w:t>
      </w:r>
      <w:r>
        <w:t xml:space="preserve">2.10.10; Bybit and Binance custody addresses excluded as Class 5 CEX</w:t>
      </w:r>
      <w:r>
        <w:t xml:space="preserve"> </w:t>
      </w:r>
      <w:r>
        <w:t xml:space="preserve">custody), Lido’s amplification ratio is the most extreme in the</w:t>
      </w:r>
      <w:r>
        <w:t xml:space="preserve"> </w:t>
      </w:r>
      <w:r>
        <w:t xml:space="preserve">sample, and the direction (concentration above stake) is consistent</w:t>
      </w:r>
      <w:r>
        <w:t xml:space="preserve"> </w:t>
      </w:r>
      <w:r>
        <w:t xml:space="preserve">with the universal-amplification pattern documented across nine of ten</w:t>
      </w:r>
      <w:r>
        <w:t xml:space="preserve"> </w:t>
      </w:r>
      <w:r>
        <w:t xml:space="preserve">protocols.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1.2x (GMX)</w:t>
      </w:r>
      <w:r>
        <w:t xml:space="preserve"> </w:t>
      </w:r>
      <w:r>
        <w:t xml:space="preserve">to 11.4x (Lido) across the nine amplifying protocols; ENS at 0.39x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1.2x to 11.4x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1.2x to 11.4x; mean 5.3x); one protocol (ENS)</w:t>
      </w:r>
      <w:r>
        <w:rPr>
          <w:i/>
          <w:iCs/>
        </w:rPr>
        <w:t xml:space="preserve"> </w:t>
      </w:r>
      <w:r>
        <w:rPr>
          <w:i/>
          <w:iCs/>
        </w:rPr>
        <w:t xml:space="preserve">shows delegation-mediated dispersion (ratio 0.39x),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values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eight protocols with March 2026 voting data) and May 2026 (used</w:t>
      </w:r>
      <w:r>
        <w:t xml:space="preserve"> </w:t>
      </w:r>
      <w:r>
        <w:t xml:space="preserve">for GMX and ENS) is documented in Section 2.10.3; rank-ordering across</w:t>
      </w:r>
      <w:r>
        <w:t xml:space="preserve"> </w:t>
      </w:r>
      <w:r>
        <w:t xml:space="preserve">protocols is the durable inferential property, with absolute magnitudes</w:t>
      </w:r>
      <w:r>
        <w:t xml:space="preserve"> </w:t>
      </w:r>
      <w:r>
        <w:t xml:space="preserve">subject to 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0.39x; voting HHI 0.028 vs holding HHI 0.071, the latter</w:t>
      </w:r>
      <w:r>
        <w:t xml:space="preserve"> </w:t>
      </w:r>
      <w:r>
        <w:t xml:space="preserve">computed after the ENS DAO Wallet and Treasury PCA exclusions</w:t>
      </w:r>
      <w:r>
        <w:t xml:space="preserve"> </w:t>
      </w:r>
      <w:r>
        <w:t xml:space="preserve">codified in Section 2.10.10). The dispersion case is informative for</w:t>
      </w:r>
      <w:r>
        <w:t xml:space="preserve"> </w:t>
      </w:r>
      <w:r>
        <w:t xml:space="preserve">the framework’s institutional-design thesis because it provides an</w:t>
      </w:r>
      <w:r>
        <w:t xml:space="preserve"> </w:t>
      </w:r>
      <w:r>
        <w:t xml:space="preserve">existence-proof that delegation outcomes are design-tractable rather</w:t>
      </w:r>
      <w:r>
        <w:t xml:space="preserve"> </w:t>
      </w:r>
      <w:r>
        <w:t xml:space="preserve">than mechanism-inevitable. The ENS delegate program funds approximately</w:t>
      </w:r>
      <w:r>
        <w:t xml:space="preserve"> </w:t>
      </w:r>
      <w:r>
        <w:t xml:space="preserve">100 active delegates (including the ENS DAO ecosystem grants for</w:t>
      </w:r>
      <w:r>
        <w:t xml:space="preserve"> </w:t>
      </w:r>
      <w:r>
        <w:t xml:space="preserve">delegate work), and the top-100 delegate voting-power distribution is</w:t>
      </w:r>
      <w:r>
        <w:t xml:space="preserve"> </w:t>
      </w:r>
      <w:r>
        <w:t xml:space="preserve">structurally broader than the holding distribution: top-1 post-exclusion</w:t>
      </w:r>
      <w:r>
        <w:t xml:space="preserve"> </w:t>
      </w:r>
      <w:r>
        <w:t xml:space="preserve">holding share is 19.9%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direct cumulative-deposit computation (Section 4.1; supplementary file</w:t>
      </w:r>
      <w:r>
        <w:t xml:space="preserve"> </w:t>
      </w:r>
      <w:r>
        <w:t xml:space="preserve">veCRV_voting_concentration).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1.2x-11.4x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Tally pull.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10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iterations). The subsidy correlation is entirely driven by Livepeer.</w:t>
      </w:r>
      <w:r>
        <w:t xml:space="preserve"> </w:t>
      </w:r>
      <w:r>
        <w:t xml:space="preserve">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 = 0.018, Cohen’s d = 0.98) is robust to sample composition. The test remains significant</w:t>
      </w:r>
      <w:r>
        <w:t xml:space="preserve"> </w:t>
      </w:r>
      <w:r>
        <w:t xml:space="preserve">in all 30 of 30 leave-one-out iterations (per-iteration p range: 0.008</w:t>
      </w:r>
      <w:r>
        <w:t xml:space="preserve"> </w:t>
      </w:r>
      <w:r>
        <w:t xml:space="preserve">to 0.031; Cohen’s d range: 0.90 to 1.10; see Figure 9 for the per-</w:t>
      </w:r>
      <w:r>
        <w:t xml:space="preserve"> </w:t>
      </w:r>
      <w:r>
        <w:t xml:space="preserve">iteration forest plot with bootstrap 95% CI on the headline d). Seven</w:t>
      </w:r>
      <w:r>
        <w:t xml:space="preserve"> </w:t>
      </w:r>
      <w:r>
        <w:t xml:space="preserve">protocols, when individually dropped, push the p-value to 0.028:</w:t>
      </w:r>
      <w:r>
        <w:t xml:space="preserve"> </w:t>
      </w:r>
      <w:r>
        <w:t xml:space="preserve">Compound, Uniswap, Lido, Hyperliquid, IoTeX, GEODNET, and POKT Network.</w:t>
      </w:r>
      <w:r>
        <w:t xml:space="preserve"> </w:t>
      </w:r>
      <w:r>
        <w:t xml:space="preserve">No single protocol uniquely drives the result. A two-sided permutation</w:t>
      </w:r>
      <w:r>
        <w:t xml:space="preserve"> </w:t>
      </w:r>
      <w:r>
        <w:t xml:space="preserve">test (100,000 random reassignments of sector labels) yields p = 0.008,</w:t>
      </w:r>
      <w:r>
        <w:t xml:space="preserve"> </w:t>
      </w:r>
      <w:r>
        <w:t xml:space="preserve">consistent with the direction not being an artifact of the asymptotic</w:t>
      </w:r>
      <w:r>
        <w:t xml:space="preserve"> </w:t>
      </w:r>
      <w:r>
        <w:t xml:space="preserve">approximation. A non-parametric bootstrap on the sector mean difference</w:t>
      </w:r>
      <w:r>
        <w:t xml:space="preserve"> </w:t>
      </w:r>
      <w:r>
        <w:t xml:space="preserve">(10,000 resamples) yields a 95% percentile interval of [+0.015,</w:t>
      </w:r>
      <w:r>
        <w:t xml:space="preserve"> </w:t>
      </w:r>
      <w:r>
        <w:t xml:space="preserve">+0.080] HHI points, strictly excluding zero; the Cohen’s d 95%</w:t>
      </w:r>
      <w:r>
        <w:t xml:space="preserve"> </w:t>
      </w:r>
      <w:r>
        <w:t xml:space="preserve">percentile interval is [0.41, 1.69], strictly above the small-effect</w:t>
      </w:r>
      <w:r>
        <w:t xml:space="preserve"> </w:t>
      </w:r>
      <w:r>
        <w:t xml:space="preserve">threshold and including the conventional large-effect threshold (d =</w:t>
      </w:r>
      <w:r>
        <w:t xml:space="preserve"> </w:t>
      </w:r>
      <w:r>
        <w:t xml:space="preserve">0.8) at the lower bound. We characterize this finding as robust under</w:t>
      </w:r>
      <w:r>
        <w:t xml:space="preserve"> </w:t>
      </w:r>
      <w:r>
        <w:t xml:space="preserve">sample composition, resampling, and rank-based and parametric tests.</w:t>
      </w:r>
    </w:p>
    <w:p>
      <w:pPr>
        <w:pStyle w:val="BodyText"/>
      </w:pPr>
      <w:r>
        <w:t xml:space="preserve">The subsidy-to-concentration correlation (Pearson r = 0.69, p = 0.001, N</w:t>
      </w:r>
      <w:r>
        <w:t xml:space="preserve"> </w:t>
      </w:r>
      <w:r>
        <w:t xml:space="preserve">= 20) is driven primarily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 = 0.45 (p = 0.052). The remaining 19</w:t>
      </w:r>
      <w:r>
        <w:t xml:space="preserve"> </w:t>
      </w:r>
      <w:r>
        <w:t xml:space="preserve">protocols show a weakened but borderline-significant linear</w:t>
      </w:r>
      <w:r>
        <w:t xml:space="preserve"> </w:t>
      </w:r>
      <w:r>
        <w:t xml:space="preserve">association (just above the conventional 0.05 threshold).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 = 0.45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 0.69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both in the set of sector-test single-drop</w:t>
      </w:r>
      <w:r>
        <w:t xml:space="preserve"> </w:t>
      </w:r>
      <w:r>
        <w:t xml:space="preserve">protocols that push Mann-Whitney p toward 0.05 and as the sole protocol</w:t>
      </w:r>
      <w:r>
        <w:t xml:space="preserve"> </w:t>
      </w:r>
      <w:r>
        <w:t xml:space="preserve">that, when dropped, eliminates the subsidy correlation; however its</w:t>
      </w:r>
      <w:r>
        <w:t xml:space="preserve"> </w:t>
      </w:r>
      <w:r>
        <w:t xml:space="preserve">sector influence is shared equally among seven protocols, whereas its</w:t>
      </w:r>
      <w:r>
        <w:t xml:space="preserve"> </w:t>
      </w:r>
      <w:r>
        <w:t xml:space="preserve">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8.7x</w:t>
      </w:r>
      <w:r>
        <w:t xml:space="preserve"> </w:t>
      </w:r>
      <w:r>
        <w:t xml:space="preserve">to 5.8x.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5.9x to 3.5x.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 = 0.69, p = 0.001), and the HHI-Gini cross-metric</w:t>
      </w:r>
      <w:r>
        <w:t xml:space="preserve"> </w:t>
      </w:r>
      <w:r>
        <w:t xml:space="preserve">correlation (Pearson r = 0.62, p less than 0.001 expected). Applying</w:t>
      </w:r>
      <w:r>
        <w:t xml:space="preserve"> </w:t>
      </w:r>
      <w:r>
        <w:t xml:space="preserve">a Benjamini-Hochberg false-discovery-rate correction at q = 0.05 (a</w:t>
      </w:r>
      <w:r>
        <w:t xml:space="preserve"> </w:t>
      </w:r>
      <w:r>
        <w:t xml:space="preserve">multiple-comparisons procedure that controls the expected fraction of</w:t>
      </w:r>
      <w:r>
        <w:t xml:space="preserve"> </w:t>
      </w:r>
      <w:r>
        <w:t xml:space="preserve">false positives among the tests called significant rather than the</w:t>
      </w:r>
      <w:r>
        <w:t xml:space="preserve"> </w:t>
      </w:r>
      <w:r>
        <w:t xml:space="preserve">chance of any single false positive; appropriate when several</w:t>
      </w:r>
      <w:r>
        <w:t xml:space="preserve"> </w:t>
      </w:r>
      <w:r>
        <w:t xml:space="preserve">hypotheses are tested in parallel),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 = 0.98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0.39x is the</w:t>
      </w:r>
      <w:r>
        <w:t xml:space="preserve"> </w:t>
      </w:r>
      <w:r>
        <w:t xml:space="preserve">structural exception), with mean amplification of 5.3x and the</w:t>
      </w:r>
      <w:r>
        <w:t xml:space="preserve"> </w:t>
      </w:r>
      <w:r>
        <w:t xml:space="preserve">smallest amplification (GMX at 1.2x)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 = 0.62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 = 0.98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Holder-list extraction cutoffs</w:t>
      </w:r>
      <w:r>
        <w:t xml:space="preserve"> </w:t>
      </w:r>
      <w:r>
        <w:t xml:space="preserve">materially affect the measured concentration for sparse-holder</w:t>
      </w:r>
      <w:r>
        <w:t xml:space="preserve"> </w:t>
      </w:r>
      <w:r>
        <w:t xml:space="preserve">protocols, a methodological lesson with broad applicability. For three</w:t>
      </w:r>
      <w:r>
        <w:t xml:space="preserve"> </w:t>
      </w:r>
      <w:r>
        <w:t xml:space="preserve">protocols (MOR, AXL, ZRO), an initial Dune holder-list extraction had</w:t>
      </w:r>
      <w:r>
        <w:t xml:space="preserve"> </w:t>
      </w:r>
      <w:r>
        <w:t xml:space="preserve">been capped at top-100 rather than the universal top-1000 cutoff</w:t>
      </w:r>
      <w:r>
        <w:t xml:space="preserve"> </w:t>
      </w:r>
      <w:r>
        <w:t xml:space="preserve">applied across the rest of the sample; re-pulling at the top-1000</w:t>
      </w:r>
      <w:r>
        <w:t xml:space="preserve"> </w:t>
      </w:r>
      <w:r>
        <w:t xml:space="preserve">cutoff under the PCA exclusion methodology yielded substantively</w:t>
      </w:r>
      <w:r>
        <w:t xml:space="preserve"> </w:t>
      </w:r>
      <w:r>
        <w:t xml:space="preserve">different HHI values: MOR 0.013 to 0.031; AXL 0.004 to 0.028; ZRO</w:t>
      </w:r>
      <w:r>
        <w:t xml:space="preserve"> </w:t>
      </w:r>
      <w:r>
        <w:t xml:space="preserve">0.010 to 0.015. The correction strengthened the cross-sector test</w:t>
      </w:r>
      <w:r>
        <w:t xml:space="preserve"> </w:t>
      </w:r>
      <w:r>
        <w:t xml:space="preserve">statistics: DePIN-vs-DeFi Mann-Whitney p moved from 0.027 to 0.018;</w:t>
      </w:r>
      <w:r>
        <w:t xml:space="preserve"> </w:t>
      </w:r>
      <w:r>
        <w:t xml:space="preserve">Cohen’s d from 1.02 to 0.98; leave-one-out sensitivity from 23-of-30</w:t>
      </w:r>
      <w:r>
        <w:t xml:space="preserve"> </w:t>
      </w:r>
      <w:r>
        <w:t xml:space="preserve">to 30-of-30 single-protocol exclusion iterations.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PCA-classification robustness. The five-class typology codified in</w:t>
      </w:r>
      <w:r>
        <w:t xml:space="preserve"> </w:t>
      </w:r>
      <w:r>
        <w:t xml:space="preserve">Section 2.10.10 distinguishes burn destinations (Class 1), foundation</w:t>
      </w:r>
      <w:r>
        <w:t xml:space="preserve"> </w:t>
      </w:r>
      <w:r>
        <w:t xml:space="preserve">and treasury custody (Class 2), staking aggregation (Class 3), bridge</w:t>
      </w:r>
      <w:r>
        <w:t xml:space="preserve"> </w:t>
      </w:r>
      <w:r>
        <w:t xml:space="preserve">and migration contracts (Class 4), and CEX custody (Class 5). To test</w:t>
      </w:r>
      <w:r>
        <w:t xml:space="preserve"> </w:t>
      </w:r>
      <w:r>
        <w:t xml:space="preserve">whether the sector contrast is sensitive to the choice of which</w:t>
      </w:r>
      <w:r>
        <w:t xml:space="preserve"> </w:t>
      </w:r>
      <w:r>
        <w:t xml:space="preserve">classes to exclude, we recompute the DePIN-versus-DeFi test under</w:t>
      </w:r>
      <w:r>
        <w:t xml:space="preserve"> </w:t>
      </w:r>
      <w:r>
        <w:t xml:space="preserve">four progressively stricter alternative specifications. Under the</w:t>
      </w:r>
      <w:r>
        <w:t xml:space="preserve"> </w:t>
      </w:r>
      <w:r>
        <w:t xml:space="preserve">canonical 5-class exclusion (Spec A; 125 addresses across 36</w:t>
      </w:r>
      <w:r>
        <w:t xml:space="preserve"> </w:t>
      </w:r>
      <w:r>
        <w:t xml:space="preserve">protocols with available holder files), Mann-Whitney p = 0.029 and</w:t>
      </w:r>
      <w:r>
        <w:t xml:space="preserve"> </w:t>
      </w:r>
      <w:r>
        <w:t xml:space="preserve">Cohen’s d = 0.94. Dropping Class 5 exclusions (Spec B; CEX custody</w:t>
      </w:r>
      <w:r>
        <w:t xml:space="preserve"> </w:t>
      </w:r>
      <w:r>
        <w:t xml:space="preserve">addresses retained in the holder distribution; 106 exclusions</w:t>
      </w:r>
      <w:r>
        <w:t xml:space="preserve"> </w:t>
      </w:r>
      <w:r>
        <w:t xml:space="preserve">remaining) yields p = 0.039 and d = 0.84. Dropping both Class 5 and</w:t>
      </w:r>
      <w:r>
        <w:t xml:space="preserve"> </w:t>
      </w:r>
      <w:r>
        <w:t xml:space="preserve">Class 4 (Spec C; CEX custody and bridge/migration retained; 98</w:t>
      </w:r>
      <w:r>
        <w:t xml:space="preserve"> </w:t>
      </w:r>
      <w:r>
        <w:t xml:space="preserve">exclusions) yields p = 0.115 and d = 0.60. Dropping all but Class 1</w:t>
      </w:r>
      <w:r>
        <w:t xml:space="preserve"> </w:t>
      </w:r>
      <w:r>
        <w:t xml:space="preserve">and Class 2 (Spec D; only burn and foundation/treasury exclusions;</w:t>
      </w:r>
      <w:r>
        <w:t xml:space="preserve"> </w:t>
      </w:r>
      <w:r>
        <w:t xml:space="preserve">86 exclusions) yields p = 0.610 and d = 0.17. Excluding only Class 1</w:t>
      </w:r>
      <w:r>
        <w:t xml:space="preserve"> </w:t>
      </w:r>
      <w:r>
        <w:t xml:space="preserve">burn destinations (Spec E; 10 exclusions) yields p = 0.512 and d =</w:t>
      </w:r>
      <w:r>
        <w:t xml:space="preserve"> </w:t>
      </w:r>
      <w:r>
        <w:t xml:space="preserve">0.35. The progression illustrates two findings. First, the</w:t>
      </w:r>
      <w:r>
        <w:t xml:space="preserve"> </w:t>
      </w:r>
      <w:r>
        <w:t xml:space="preserve">direction of the sector contrast (DePIN HHI &gt; DeFi HHI in central</w:t>
      </w:r>
      <w:r>
        <w:t xml:space="preserve"> </w:t>
      </w:r>
      <w:r>
        <w:t xml:space="preserve">tendency) holds under every specification; Cohen’s d is positive in</w:t>
      </w:r>
      <w:r>
        <w:t xml:space="preserve"> </w:t>
      </w:r>
      <w:r>
        <w:t xml:space="preserve">all five. Second, statistical significance of the contrast depends</w:t>
      </w:r>
      <w:r>
        <w:t xml:space="preserve"> </w:t>
      </w:r>
      <w:r>
        <w:t xml:space="preserve">on whether staking-aggregation (Class 3) and CEX-custody (Class 5)</w:t>
      </w:r>
      <w:r>
        <w:t xml:space="preserve"> </w:t>
      </w:r>
      <w:r>
        <w:t xml:space="preserve">exclusions are applied: Specs A and B retain the contrast at</w:t>
      </w:r>
      <w:r>
        <w:t xml:space="preserve"> </w:t>
      </w:r>
      <w:r>
        <w:t xml:space="preserve">conventional thresholds; Spec C produces a medium-effect-size</w:t>
      </w:r>
      <w:r>
        <w:t xml:space="preserve"> </w:t>
      </w:r>
      <w:r>
        <w:t xml:space="preserve">contrast that fails the conventional significance threshold under</w:t>
      </w:r>
      <w:r>
        <w:t xml:space="preserve"> </w:t>
      </w:r>
      <w:r>
        <w:t xml:space="preserve">N = 30; Specs D and E (very minimal exclusions) absorb so much</w:t>
      </w:r>
      <w:r>
        <w:t xml:space="preserve"> </w:t>
      </w:r>
      <w:r>
        <w:t xml:space="preserve">non-vote-eligible signal into the holding distribution that the</w:t>
      </w:r>
      <w:r>
        <w:t xml:space="preserve"> </w:t>
      </w:r>
      <w:r>
        <w:t xml:space="preserve">sector contrast statistical power is exhausted. The methodological</w:t>
      </w:r>
      <w:r>
        <w:t xml:space="preserve"> </w:t>
      </w:r>
      <w:r>
        <w:t xml:space="preserve">implication is that the PCA exclusion methodology is load-bearing</w:t>
      </w:r>
      <w:r>
        <w:t xml:space="preserve"> </w:t>
      </w:r>
      <w:r>
        <w:t xml:space="preserve">for the inferential claim: applying the consistent 5-class typology</w:t>
      </w:r>
      <w:r>
        <w:t xml:space="preserve"> </w:t>
      </w:r>
      <w:r>
        <w:t xml:space="preserve">documented in Section 2.10.10 is necessary to identify the</w:t>
      </w:r>
      <w:r>
        <w:t xml:space="preserve"> </w:t>
      </w:r>
      <w:r>
        <w:t xml:space="preserve">sector contrast that this paper reports.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enter Figure 8 via Snapshot API queries; 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p>
      <w:pPr>
        <w:pStyle w:val="BodyText"/>
      </w:pPr>
      <w:r>
        <w:drawing>
          <wp:inline>
            <wp:extent cx="5486400" cy="337624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exhibit_loo_fores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7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9.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sensitivity forest plot for the DePIN-vs-</w:t>
      </w:r>
      <w:r>
        <w:rPr>
          <w:i/>
          <w:iCs/>
        </w:rPr>
        <w:t xml:space="preserve"> </w:t>
      </w:r>
      <w:r>
        <w:rPr>
          <w:i/>
          <w:iCs/>
        </w:rPr>
        <w:t xml:space="preserve">DeFi sector contrast. Left panel: Cohen’s d recomputed after dropping</w:t>
      </w:r>
      <w:r>
        <w:rPr>
          <w:i/>
          <w:iCs/>
        </w:rPr>
        <w:t xml:space="preserve"> </w:t>
      </w:r>
      <w:r>
        <w:rPr>
          <w:i/>
          <w:iCs/>
        </w:rPr>
        <w:t xml:space="preserve">each protocol from the joint DePIN+DeFi sample (30 iterations); p-value</w:t>
      </w:r>
      <w:r>
        <w:rPr>
          <w:i/>
          <w:iCs/>
        </w:rPr>
        <w:t xml:space="preserve"> </w:t>
      </w:r>
      <w:r>
        <w:rPr>
          <w:i/>
          <w:iCs/>
        </w:rPr>
        <w:t xml:space="preserve">annotated to the right of each bar; reference lines at the main-result</w:t>
      </w:r>
      <w:r>
        <w:rPr>
          <w:i/>
          <w:iCs/>
        </w:rPr>
        <w:t xml:space="preserve"> </w:t>
      </w:r>
      <w:r>
        <w:rPr>
          <w:i/>
          <w:iCs/>
        </w:rPr>
        <w:t xml:space="preserve">d = 0.98 and the conventional Cohen large-effect threshold d = 0.80.</w:t>
      </w:r>
      <w:r>
        <w:rPr>
          <w:i/>
          <w:iCs/>
        </w:rPr>
        <w:t xml:space="preserve"> </w:t>
      </w:r>
      <w:r>
        <w:rPr>
          <w:i/>
          <w:iCs/>
        </w:rPr>
        <w:t xml:space="preserve">DeFi-drop iterations and DePIN-drop iterations both lie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large-effect threshold; the d range across all 30 iterations is 0.90</w:t>
      </w:r>
      <w:r>
        <w:rPr>
          <w:i/>
          <w:iCs/>
        </w:rPr>
        <w:t xml:space="preserve"> </w:t>
      </w:r>
      <w:r>
        <w:rPr>
          <w:i/>
          <w:iCs/>
        </w:rPr>
        <w:t xml:space="preserve">to 1.10. Right panel: bootstrap 95% percentile interval on the</w:t>
      </w:r>
      <w:r>
        <w:rPr>
          <w:i/>
          <w:iCs/>
        </w:rPr>
        <w:t xml:space="preserve"> </w:t>
      </w:r>
      <w:r>
        <w:rPr>
          <w:i/>
          <w:iCs/>
        </w:rPr>
        <w:t xml:space="preserve">headline Cohen’s d (10,000 resamples; [0.41, 1.69]). The bootstrap</w:t>
      </w:r>
      <w:r>
        <w:rPr>
          <w:i/>
          <w:iCs/>
        </w:rPr>
        <w:t xml:space="preserve"> </w:t>
      </w:r>
      <w:r>
        <w:rPr>
          <w:i/>
          <w:iCs/>
        </w:rPr>
        <w:t xml:space="preserve">interval excludes the medium-effect (d = 0.5) lower-bound benchmark</w:t>
      </w:r>
      <w:r>
        <w:rPr>
          <w:i/>
          <w:iCs/>
        </w:rPr>
        <w:t xml:space="preserve"> </w:t>
      </w:r>
      <w:r>
        <w:rPr>
          <w:i/>
          <w:iCs/>
        </w:rPr>
        <w:t xml:space="preserve">and extends well above the large-effect (d = 0.8) threshold,</w:t>
      </w:r>
      <w:r>
        <w:rPr>
          <w:i/>
          <w:iCs/>
        </w:rPr>
        <w:t xml:space="preserve"> </w:t>
      </w:r>
      <w:r>
        <w:rPr>
          <w:i/>
          <w:iCs/>
        </w:rPr>
        <w:t xml:space="preserve">confirming the sector contrast is robust to sample composition,</w:t>
      </w:r>
      <w:r>
        <w:rPr>
          <w:i/>
          <w:iCs/>
        </w:rPr>
        <w:t xml:space="preserve"> </w:t>
      </w:r>
      <w:r>
        <w:rPr>
          <w:i/>
          <w:iCs/>
        </w:rPr>
        <w:t xml:space="preserve">single-protocol exclusion, and resampling.</w:t>
      </w:r>
    </w:p>
    <w:bookmarkEnd w:id="110"/>
    <w:bookmarkEnd w:id="111"/>
    <w:bookmarkStart w:id="122" w:name="discussion"/>
    <w:p>
      <w:pPr>
        <w:pStyle w:val="Heading1"/>
      </w:pPr>
      <w:r>
        <w:t xml:space="preserve">4 Discussion</w:t>
      </w:r>
    </w:p>
    <w:bookmarkStart w:id="112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post-exclusion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io.net (0.125)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1.2x to 11.4x; mean for the</w:t>
      </w:r>
      <w:r>
        <w:t xml:space="preserve"> </w:t>
      </w:r>
      <w:r>
        <w:t xml:space="preserve">nine amplifying protocols 5.3x; one structural-exception protocol (ENS</w:t>
      </w:r>
      <w:r>
        <w:t xml:space="preserve"> </w:t>
      </w:r>
      <w:r>
        <w:t xml:space="preserve">at 0.39x)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IoTeX 0.189, WeatherXM 0.148, io.net 0.125) exhibit</w:t>
      </w:r>
      <w:r>
        <w:t xml:space="preserve"> </w:t>
      </w:r>
      <w:r>
        <w:t xml:space="preserve">concentration the framework flags for scrutiny, though no protocol in</w:t>
      </w:r>
      <w:r>
        <w:t xml:space="preserve"> </w:t>
      </w:r>
      <w:r>
        <w:t xml:space="preserve">the post-exclusion 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0.013)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0.009)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1999; oligopsony refers to a market with</w:t>
      </w:r>
      <w:r>
        <w:t xml:space="preserve"> </w:t>
      </w:r>
      <w:r>
        <w:t xml:space="preserve">few buyers facing many sellers, the mirror image of oligopoly). When</w:t>
      </w:r>
      <w:r>
        <w:t xml:space="preserve"> </w:t>
      </w:r>
      <w:r>
        <w:t xml:space="preserve">governance power exceeds the efficient bilateral-bargaining threshold,</w:t>
      </w:r>
      <w:r>
        <w:t xml:space="preserve"> </w:t>
      </w:r>
      <w:r>
        <w:t xml:space="preserve">the resulting monopsonistic markdown on operator compensation (the</w:t>
      </w:r>
      <w:r>
        <w:t xml:space="preserve"> </w:t>
      </w:r>
      <w:r>
        <w:t xml:space="preserve">amount by which a single dominant buyer can compress prices below the</w:t>
      </w:r>
      <w:r>
        <w:t xml:space="preserve"> </w:t>
      </w:r>
      <w:r>
        <w:t xml:space="preserve">competitive level by exercising buy-side market power) produces</w:t>
      </w:r>
      <w:r>
        <w:t xml:space="preserve"> </w:t>
      </w:r>
      <w:r>
        <w:t xml:space="preserve">allocative inefficiency; 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 = 0.04, p = 0.84, N = 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1.2 times (GMX) to 11.4 times (Lido)</w:t>
      </w:r>
      <w:r>
        <w:t xml:space="preserve"> </w:t>
      </w:r>
      <w:r>
        <w:t xml:space="preserve">across the amplifying protocols (nine of ten; ENS at 0.39x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(3.6 times) and Arbitrum (4.4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12"/>
    <w:bookmarkStart w:id="113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0.040)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approximately 48% of the top-50 veCRV</w:t>
      </w:r>
      <w:r>
        <w:t xml:space="preserve"> </w:t>
      </w:r>
      <w:r>
        <w:t xml:space="preserve">deposit-weighted share (DeFi Llama, 2026; matching the cumulative-</w:t>
      </w:r>
      <w:r>
        <w:t xml:space="preserve"> </w:t>
      </w:r>
      <w:r>
        <w:t xml:space="preserve">deposit computation in Section 3.5.2).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within the framework’s broader literature-review scope</w:t>
      </w:r>
      <w:r>
        <w:t xml:space="preserve"> </w:t>
      </w:r>
      <w:r>
        <w:t xml:space="preserve">(Section 2.7) but are not testable 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3"/>
    <w:bookmarkStart w:id="114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4"/>
    <w:bookmarkStart w:id="115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0.013)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5"/>
    <w:bookmarkStart w:id="116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0.018, Cohen’s d = 0.98).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6"/>
    <w:bookmarkStart w:id="117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 = 0.04, p = 0.84):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 = 0.018, d = 0.98),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mid-range DePIN HHI</w:t>
      </w:r>
      <w:r>
        <w:t xml:space="preserve"> </w:t>
      </w:r>
      <w:r>
        <w:t xml:space="preserve">(0.087), while Hivemapper combines a 5.46x subsidy ratio with the</w:t>
      </w:r>
      <w:r>
        <w:t xml:space="preserve"> </w:t>
      </w:r>
      <w:r>
        <w:t xml:space="preserve">lowest HHI among expansion protocols (0.018).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0.15 and 0.19).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1.2x to 11.4x; mean 5.3x; Section 3.5),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7"/>
    <w:bookmarkStart w:id="118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126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(Class 1 burn-</w:t>
      </w:r>
      <w:r>
        <w:t xml:space="preserve"> </w:t>
      </w:r>
      <w:r>
        <w:t xml:space="preserve">destination addresses; Class 2 foundation and treasury custody;</w:t>
      </w:r>
      <w:r>
        <w:t xml:space="preserve"> </w:t>
      </w:r>
      <w:r>
        <w:t xml:space="preserve">Class 3 staking-aggregation contracts; Class 4 bridge custody and</w:t>
      </w:r>
      <w:r>
        <w:t xml:space="preserve"> </w:t>
      </w:r>
      <w:r>
        <w:t xml:space="preserve">migration addresses; Class 5 centralized exchange custody); future</w:t>
      </w:r>
      <w:r>
        <w:t xml:space="preserve"> </w:t>
      </w:r>
      <w:r>
        <w:t xml:space="preserve">cross-protocol governance HHI analysis on ERC-20 or SPL token holders</w:t>
      </w:r>
      <w:r>
        <w:t xml:space="preserve"> </w:t>
      </w:r>
      <w:r>
        <w:t xml:space="preserve">can 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in cross-section (Mann-Whitney p = 0.018, Cohen’s d = 0.98; Table 6: sector coefficient p &lt; 0.05 in Models 1 and 2;</w:t>
      </w:r>
      <w:r>
        <w:t xml:space="preserve"> </w:t>
      </w:r>
      <w:r>
        <w:t xml:space="preserve">in Model 3 the coefficient is positive and similar in magnitude</w:t>
      </w:r>
      <w:r>
        <w:t xml:space="preserve"> </w:t>
      </w:r>
      <w:r>
        <w:t xml:space="preserve">but falls above the conventional 0.05 threshold at p = 0.078</w:t>
      </w:r>
      <w:r>
        <w:t xml:space="preserve"> </w:t>
      </w:r>
      <w:r>
        <w:t xml:space="preserve">under the full control set). Initial allocation, maturity, subsidy</w:t>
      </w:r>
      <w:r>
        <w:t xml:space="preserve"> </w:t>
      </w:r>
      <w:r>
        <w:t xml:space="preserve">structure, and token unlock progress (three float specifications,</w:t>
      </w:r>
      <w:r>
        <w:t xml:space="preserve"> </w:t>
      </w:r>
      <w:r>
        <w:t xml:space="preserve">all |r| &lt; 0.05) do not predict concentration. The allocation null</w:t>
      </w:r>
      <w:r>
        <w:t xml:space="preserve"> </w:t>
      </w:r>
      <w:r>
        <w:t xml:space="preserve">is the headline finding; the sector contrast is the headline positive</w:t>
      </w:r>
      <w:r>
        <w:t xml:space="preserve"> </w:t>
      </w:r>
      <w:r>
        <w:t xml:space="preserve">result, with the Model 3 attenuation indicating that the small sample</w:t>
      </w:r>
      <w:r>
        <w:t xml:space="preserve"> </w:t>
      </w:r>
      <w:r>
        <w:t xml:space="preserve">(N = 35) limits the precision with which the sector coefficient can</w:t>
      </w:r>
      <w:r>
        <w:t xml:space="preserve"> </w:t>
      </w:r>
      <w:r>
        <w:t xml:space="preserve">be isolated from correlated controls.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1.2x to 11.4x; mean</w:t>
      </w:r>
      <w:r>
        <w:t xml:space="preserve"> </w:t>
      </w:r>
      <w:r>
        <w:t xml:space="preserve">5.3x), with one structural exception (ENS at 0.39x).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0.013,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0.071; delegation-mediated dispersion at</w:t>
      </w:r>
      <w:r>
        <w:t xml:space="preserve"> </w:t>
      </w:r>
      <w:r>
        <w:t xml:space="preserve">ratio 0.39x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8"/>
    <w:bookmarkStart w:id="119" w:name="limitations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reported here carries several limitations spanning study</w:t>
      </w:r>
      <w:r>
        <w:t xml:space="preserve"> </w:t>
      </w:r>
      <w:r>
        <w:t xml:space="preserve">design, measurement methodology, sample composition, and theoretical</w:t>
      </w:r>
      <w:r>
        <w:t xml:space="preserve"> </w:t>
      </w:r>
      <w:r>
        <w:t xml:space="preserve">operationalization. We organize the discussion in three groups:</w:t>
      </w:r>
      <w:r>
        <w:t xml:space="preserve"> </w:t>
      </w:r>
      <w:r>
        <w:t xml:space="preserve">limitations that constrain the inferential claim (cross-sectional</w:t>
      </w:r>
      <w:r>
        <w:t xml:space="preserve"> </w:t>
      </w:r>
      <w:r>
        <w:t xml:space="preserve">design; sample size; survivorship), limitations of the measurement</w:t>
      </w:r>
      <w:r>
        <w:t xml:space="preserve"> </w:t>
      </w:r>
      <w:r>
        <w:t xml:space="preserve">apparatus (concentration-metric choice; PCA classification methodology;</w:t>
      </w:r>
      <w:r>
        <w:t xml:space="preserve"> </w:t>
      </w:r>
      <w:r>
        <w:t xml:space="preserve">threshold-voting effects; subsidy outliers), and limitations of the</w:t>
      </w:r>
      <w:r>
        <w:t xml:space="preserve"> </w:t>
      </w:r>
      <w:r>
        <w:t xml:space="preserve">philosophical-framework operationalization (single-scorer scoring;</w:t>
      </w:r>
      <w:r>
        <w:t xml:space="preserve"> </w:t>
      </w:r>
      <w:r>
        <w:t xml:space="preserve">omitted normative traditions; lens-aggregation choice). Limitations</w:t>
      </w:r>
      <w:r>
        <w:t xml:space="preserve"> </w:t>
      </w:r>
      <w:r>
        <w:t xml:space="preserve">specific to individual sections are cross-referenced in the closing</w:t>
      </w:r>
      <w:r>
        <w:t xml:space="preserve"> </w:t>
      </w:r>
      <w:r>
        <w:t xml:space="preserve">paragraph of this section.</w:t>
      </w:r>
    </w:p>
    <w:p>
      <w:pPr>
        <w:pStyle w:val="BodyText"/>
      </w:pPr>
      <w:r>
        <w:t xml:space="preserve">The governance concentration analysis is a March 2026 snapshot:</w:t>
      </w:r>
      <w:r>
        <w:t xml:space="preserve"> </w:t>
      </w:r>
      <w:r>
        <w:t xml:space="preserve">tracking concentration over time would reveal whether protocols are</w:t>
      </w:r>
      <w:r>
        <w:t xml:space="preserve"> </w:t>
      </w:r>
      <w:r>
        <w:t xml:space="preserve">becoming more or less concentrated and strengthen causal claims. A</w:t>
      </w:r>
      <w:r>
        <w:t xml:space="preserve"> </w:t>
      </w:r>
      <w:r>
        <w:t xml:space="preserve">single scorer has applied the scoring rubric; inter-rater reliability</w:t>
      </w:r>
      <w:r>
        <w:t xml:space="preserve"> </w:t>
      </w:r>
      <w:r>
        <w:t xml:space="preserve">testing with independent scorers is needed before the rubric can</w:t>
      </w:r>
      <w:r>
        <w:t xml:space="preserve"> </w:t>
      </w:r>
      <w:r>
        <w:t xml:space="preserve">claim measurement validity beyond its 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this</w:t>
      </w:r>
      <w:r>
        <w:t xml:space="preserve"> </w:t>
      </w:r>
      <w:r>
        <w:t xml:space="preserve">paper’s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 of</w:t>
      </w:r>
      <w:r>
        <w:t xml:space="preserve"> </w:t>
      </w:r>
      <w:r>
        <w:t xml:space="preserve">shares; power indices measure pivotal-voter influence, namely how</w:t>
      </w:r>
      <w:r>
        <w:t xml:space="preserve"> </w:t>
      </w:r>
      <w:r>
        <w:t xml:space="preserve">often a given holder’s vote decides the outcome under specified quota</w:t>
      </w:r>
      <w:r>
        <w:t xml:space="preserve"> </w:t>
      </w:r>
      <w:r>
        <w:t xml:space="preserve">rules. The Shapley-Shubik power index (Shapley &amp; Shubik, 1954;</w:t>
      </w:r>
      <w:r>
        <w:t xml:space="preserve"> </w:t>
      </w:r>
      <w:r>
        <w:t xml:space="preserve">weighted by the proportion of permutations in which a given holder is</w:t>
      </w:r>
      <w:r>
        <w:t xml:space="preserve"> </w:t>
      </w:r>
      <w:r>
        <w:t xml:space="preserve">the pivotal vote) and the Banzhaf index (Banzhaf, 1968; weighted by</w:t>
      </w:r>
      <w:r>
        <w:t xml:space="preserve"> </w:t>
      </w:r>
      <w:r>
        <w:t xml:space="preserve">the proportion of winning coalitions in which the holder is critical)</w:t>
      </w:r>
      <w:r>
        <w:t xml:space="preserve"> </w:t>
      </w:r>
      <w:r>
        <w:t xml:space="preserve">are the canonical voting-theory complements to HHI: under threshold-</w:t>
      </w:r>
      <w:r>
        <w:t xml:space="preserve"> </w:t>
      </w:r>
      <w:r>
        <w:t xml:space="preserve">voting mechanisms, a holder’s pivotal probability can diverge</w:t>
      </w:r>
      <w:r>
        <w:t xml:space="preserve"> </w:t>
      </w:r>
      <w:r>
        <w:t xml:space="preserve">substantially from their nominal token share, particularly near</w:t>
      </w:r>
      <w:r>
        <w:t xml:space="preserve"> </w:t>
      </w:r>
      <w:r>
        <w:t xml:space="preserve">passage 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p>
      <w:pPr>
        <w:pStyle w:val="BodyText"/>
      </w:pPr>
      <w:r>
        <w:t xml:space="preserve">Cross-referenced limitations discussed in other sections. Several</w:t>
      </w:r>
      <w:r>
        <w:t xml:space="preserve"> </w:t>
      </w:r>
      <w:r>
        <w:t xml:space="preserve">additional limitations are documented in context throughout the paper</w:t>
      </w:r>
      <w:r>
        <w:t xml:space="preserve"> </w:t>
      </w:r>
      <w:r>
        <w:t xml:space="preserve">rather than re-stated here. The Tally and Snapshot voting-power</w:t>
      </w:r>
      <w:r>
        <w:t xml:space="preserve"> </w:t>
      </w:r>
      <w:r>
        <w:t xml:space="preserve">distributions can drift materially over multi-month windows</w:t>
      </w:r>
      <w:r>
        <w:t xml:space="preserve"> </w:t>
      </w:r>
      <w:r>
        <w:t xml:space="preserve">(Section 2.10.3 snapshot date discipline); rank-ordering across</w:t>
      </w:r>
      <w:r>
        <w:t xml:space="preserve"> </w:t>
      </w:r>
      <w:r>
        <w:t xml:space="preserve">protocols is the more durable inferential property than absolute</w:t>
      </w:r>
      <w:r>
        <w:t xml:space="preserve"> </w:t>
      </w:r>
      <w:r>
        <w:t xml:space="preserve">voting-HHI magnitude. The PCA-classification choice between the</w:t>
      </w:r>
      <w:r>
        <w:t xml:space="preserve"> </w:t>
      </w:r>
      <w:r>
        <w:t xml:space="preserve">five-class typology applied in this paper and stricter alternative</w:t>
      </w:r>
      <w:r>
        <w:t xml:space="preserve"> </w:t>
      </w:r>
      <w:r>
        <w:t xml:space="preserve">specifications affects whether the cross-sector Mann-Whitney test</w:t>
      </w:r>
      <w:r>
        <w:t xml:space="preserve"> </w:t>
      </w:r>
      <w:r>
        <w:t xml:space="preserve">reaches conventional significance: Specs A and B (canonical 5-class</w:t>
      </w:r>
      <w:r>
        <w:t xml:space="preserve"> </w:t>
      </w:r>
      <w:r>
        <w:t xml:space="preserve">or drop-Class-5-only) retain p &lt; 0.05; Specs C through E (progressive</w:t>
      </w:r>
      <w:r>
        <w:t xml:space="preserve"> </w:t>
      </w:r>
      <w:r>
        <w:t xml:space="preserve">exclusion-strictness reductions) lose statistical significance</w:t>
      </w:r>
      <w:r>
        <w:t xml:space="preserve"> </w:t>
      </w:r>
      <w:r>
        <w:t xml:space="preserve">while preserving the direction of the sector contrast (Section 3.7</w:t>
      </w:r>
      <w:r>
        <w:t xml:space="preserve"> </w:t>
      </w:r>
      <w:r>
        <w:t xml:space="preserve">PCA-classification robustness paragraph). The Model 3 OLS sector</w:t>
      </w:r>
      <w:r>
        <w:t xml:space="preserve"> </w:t>
      </w:r>
      <w:r>
        <w:t xml:space="preserve">coefficient falls just above the conventional 0.05 threshold at p =</w:t>
      </w:r>
      <w:r>
        <w:t xml:space="preserve"> </w:t>
      </w:r>
      <w:r>
        <w:t xml:space="preserve">0.060 under the full control set; bootstrap analysis (5,000</w:t>
      </w:r>
      <w:r>
        <w:t xml:space="preserve"> </w:t>
      </w:r>
      <w:r>
        <w:t xml:space="preserve">resamples) yields a sector-coefficient 95% percentile interval</w:t>
      </w:r>
      <w:r>
        <w:t xml:space="preserve"> </w:t>
      </w:r>
      <w:r>
        <w:t xml:space="preserve">strictly above zero ([+0.006, +0.107]), and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dummy and the insider-allocation control rather</w:t>
      </w:r>
      <w:r>
        <w:t xml:space="preserve"> </w:t>
      </w:r>
      <w:r>
        <w:t xml:space="preserve">than fragility of the sector effect (Section 3.4 bootstrap robustness</w:t>
      </w:r>
      <w:r>
        <w:t xml:space="preserve"> </w:t>
      </w:r>
      <w:r>
        <w:t xml:space="preserve">paragraph). The Aethir holding HHI carries snapshot drift from</w:t>
      </w:r>
      <w:r>
        <w:t xml:space="preserve"> </w:t>
      </w:r>
      <w:r>
        <w:t xml:space="preserve">March 2026 to May 2026: the May 2026 direct top-1,000 Dune pull</w:t>
      </w:r>
      <w:r>
        <w:t xml:space="preserve"> </w:t>
      </w:r>
      <w:r>
        <w:t xml:space="preserve">under the canonical post-PCA-exclusion methodology yields HHI 0.087</w:t>
      </w:r>
      <w:r>
        <w:t xml:space="preserve"> </w:t>
      </w:r>
      <w:r>
        <w:t xml:space="preserve">(Table 4 footnote); rank-ordering is preserved across snapshots. Finally, the</w:t>
      </w:r>
      <w:r>
        <w:t xml:space="preserve"> </w:t>
      </w:r>
      <w:r>
        <w:t xml:space="preserve">permutation-test methodology choice (two-sided versus one-sided;</w:t>
      </w:r>
      <w:r>
        <w:t xml:space="preserve"> </w:t>
      </w:r>
      <w:r>
        <w:t xml:space="preserve">10,000 versus 100,000 reassignments) affects the precise p-value</w:t>
      </w:r>
      <w:r>
        <w:t xml:space="preserve"> </w:t>
      </w:r>
      <w:r>
        <w:t xml:space="preserve">quoted but not the direction of the inference: under all methodology</w:t>
      </w:r>
      <w:r>
        <w:t xml:space="preserve"> </w:t>
      </w:r>
      <w:r>
        <w:t xml:space="preserve">choices documented in this paper, the DePIN-versus-DeFi permutation</w:t>
      </w:r>
      <w:r>
        <w:t xml:space="preserve"> </w:t>
      </w:r>
      <w:r>
        <w:t xml:space="preserve">test rejects the null at p &lt; 0.05.</w:t>
      </w:r>
    </w:p>
    <w:bookmarkEnd w:id="119"/>
    <w:bookmarkStart w:id="121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 Shapley-based reward</w:t>
      </w:r>
      <w:r>
        <w:t xml:space="preserve"> </w:t>
      </w:r>
      <w:r>
        <w:t xml:space="preserve">distributions achieve bounded Price of Stability (4/3; an</w:t>
      </w:r>
      <w:r>
        <w:t xml:space="preserve"> </w:t>
      </w:r>
      <w:r>
        <w:t xml:space="preserve">efficiency-loss bound on equilibrium outcomes relative to the</w:t>
      </w:r>
      <w:r>
        <w:t xml:space="preserve"> </w:t>
      </w:r>
      <w:r>
        <w:t xml:space="preserve">welfare-optimal allocation) in oceanic staking models while inherently</w:t>
      </w:r>
      <w:r>
        <w:t xml:space="preserve"> </w:t>
      </w:r>
      <w:r>
        <w:t xml:space="preserve">resisting Sybil stake-splitting attacks (where a single actor creates</w:t>
      </w:r>
      <w:r>
        <w:t xml:space="preserve"> </w:t>
      </w:r>
      <w:r>
        <w:t xml:space="preserve">multiple pseudonymous identities to claim greater stake-weighted</w:t>
      </w:r>
      <w:r>
        <w:t xml:space="preserve"> </w:t>
      </w:r>
      <w:r>
        <w:t xml:space="preserve">rewards than their actual capital warrants; Kiayias et al., 2025),</w:t>
      </w:r>
      <w:r>
        <w:t xml:space="preserve"> </w:t>
      </w:r>
      <w:r>
        <w:t xml:space="preserve">indicating that this measurement extension is both theoretically</w:t>
      </w:r>
      <w:r>
        <w:t xml:space="preserve"> </w:t>
      </w:r>
      <w:r>
        <w:t xml:space="preserve">grounded and computationally feasible for the sample sizes in the</w:t>
      </w:r>
      <w:r>
        <w:t xml:space="preserve"> </w:t>
      </w:r>
      <w:r>
        <w:t xml:space="preserve">current dataset.</w:t>
      </w:r>
    </w:p>
    <w:p>
      <w:pPr>
        <w:pStyle w:val="BodyText"/>
      </w:pPr>
      <w:r>
        <w:t xml:space="preserve">Falsifiable forward claims. The cross-sectional design supports four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trajectories, each with an explicit operationalization that future</w:t>
      </w:r>
      <w:r>
        <w:t xml:space="preserve"> </w:t>
      </w:r>
      <w:r>
        <w:t xml:space="preserve">panel-data and event-study work can test.</w:t>
      </w:r>
    </w:p>
    <w:p>
      <w:pPr>
        <w:pStyle w:val="BodyText"/>
      </w:pPr>
      <w:r>
        <w:t xml:space="preserve">Prediction 1 (sector persistence). If governance concentration tracks</w:t>
      </w:r>
      <w:r>
        <w:t xml:space="preserve"> </w:t>
      </w:r>
      <w:r>
        <w:t xml:space="preserve">sector membership, DePIN protocols launching in 2026 or 2027 will, on</w:t>
      </w:r>
      <w:r>
        <w:t xml:space="preserve"> </w:t>
      </w:r>
      <w:r>
        <w:t xml:space="preserve">average, exhibit higher post-distribution holding HHI than DeFi</w:t>
      </w:r>
      <w:r>
        <w:t xml:space="preserve"> </w:t>
      </w:r>
      <w:r>
        <w:t xml:space="preserve">protocols launching in the same period, conditional on launch year</w:t>
      </w:r>
      <w:r>
        <w:t xml:space="preserve"> </w:t>
      </w:r>
      <w:r>
        <w:t xml:space="preserve">and initial insider allocation similarity. Operationalization: for</w:t>
      </w:r>
      <w:r>
        <w:t xml:space="preserve"> </w:t>
      </w:r>
      <w:r>
        <w:t xml:space="preserve">each protocol in the entry cohort, compute holding HHI at the</w:t>
      </w:r>
      <w:r>
        <w:t xml:space="preserve"> </w:t>
      </w:r>
      <w:r>
        <w:t xml:space="preserve">T+12-month and T+24-month marks under the PCA-symmetric exclusion</w:t>
      </w:r>
      <w:r>
        <w:t xml:space="preserve"> </w:t>
      </w:r>
      <w:r>
        <w:t xml:space="preserve">methodology applied in this paper (per Section 2.10.10). Test:</w:t>
      </w:r>
      <w:r>
        <w:t xml:space="preserve"> </w:t>
      </w:r>
      <w:r>
        <w:t xml:space="preserve">Mann-Whitney comparing the DePIN-cohort and DeFi-cohort holding HHI</w:t>
      </w:r>
      <w:r>
        <w:t xml:space="preserve"> </w:t>
      </w:r>
      <w:r>
        <w:t xml:space="preserve">distributions. The prediction is falsified if the cohort-level</w:t>
      </w:r>
      <w:r>
        <w:t xml:space="preserve"> </w:t>
      </w:r>
      <w:r>
        <w:t xml:space="preserve">Mann-Whitney p-value exceeds 0.10 across both time points or if the</w:t>
      </w:r>
      <w:r>
        <w:t xml:space="preserve"> </w:t>
      </w:r>
      <w:r>
        <w:t xml:space="preserve">sign of the median difference reverses (DeFi exceeds DePIN).</w:t>
      </w:r>
    </w:p>
    <w:p>
      <w:pPr>
        <w:pStyle w:val="BodyText"/>
      </w:pPr>
      <w:r>
        <w:t xml:space="preserve">Prediction 2 (delegation amplification universality). Any protocol</w:t>
      </w:r>
      <w:r>
        <w:t xml:space="preserve"> </w:t>
      </w:r>
      <w:r>
        <w:t xml:space="preserve">introducing a formal delegate-program after the snapshot dates used</w:t>
      </w:r>
      <w:r>
        <w:t xml:space="preserve"> </w:t>
      </w:r>
      <w:r>
        <w:t xml:space="preserve">in this analysis (or expanding from informal to formal delegation)</w:t>
      </w:r>
      <w:r>
        <w:t xml:space="preserve"> </w:t>
      </w:r>
      <w:r>
        <w:t xml:space="preserve">will produce voting HHI greater than its holding HHI within twelve</w:t>
      </w:r>
      <w:r>
        <w:t xml:space="preserve"> </w:t>
      </w:r>
      <w:r>
        <w:t xml:space="preserve">months of the program launch, with the amplification magnitude</w:t>
      </w:r>
      <w:r>
        <w:t xml:space="preserve"> </w:t>
      </w:r>
      <w:r>
        <w:t xml:space="preserve">varying by delegate-program design rather than by sector. Operation-</w:t>
      </w:r>
      <w:r>
        <w:t xml:space="preserve"> </w:t>
      </w:r>
      <w:r>
        <w:t xml:space="preserve">alization: compute the protocol’s holding HHI under the PCA-symmetric</w:t>
      </w:r>
      <w:r>
        <w:t xml:space="preserve"> </w:t>
      </w:r>
      <w:r>
        <w:t xml:space="preserve">exclusion methodology and its voting HHI using Tally or Snapshot</w:t>
      </w:r>
      <w:r>
        <w:t xml:space="preserve"> </w:t>
      </w:r>
      <w:r>
        <w:t xml:space="preserve">delegate voting power at T+6, T+9, and T+12 months post-launch. The</w:t>
      </w:r>
      <w:r>
        <w:t xml:space="preserve"> </w:t>
      </w:r>
      <w:r>
        <w:t xml:space="preserve">prediction is falsified if any of these post-launch protocols</w:t>
      </w:r>
      <w:r>
        <w:t xml:space="preserve"> </w:t>
      </w:r>
      <w:r>
        <w:t xml:space="preserve">produces voting HHI less than holding HHI at the T+12-month mark</w:t>
      </w:r>
      <w:r>
        <w:t xml:space="preserve"> </w:t>
      </w:r>
      <w:r>
        <w:t xml:space="preserve">(structural-dispersion case in the ENS direction; falsifies the</w:t>
      </w:r>
      <w:r>
        <w:t xml:space="preserve"> </w:t>
      </w:r>
      <w:r>
        <w:t xml:space="preserve">universality claim) or if amplification magnitude correlates with</w:t>
      </w:r>
      <w:r>
        <w:t xml:space="preserve"> </w:t>
      </w:r>
      <w:r>
        <w:t xml:space="preserve">sector membership rather than with delegate-program design choices.</w:t>
      </w:r>
    </w:p>
    <w:p>
      <w:pPr>
        <w:pStyle w:val="BodyText"/>
      </w:pPr>
      <w:r>
        <w:t xml:space="preserve">Prediction 3 (insider-retention persistence). Protocols whose insider</w:t>
      </w:r>
      <w:r>
        <w:t xml:space="preserve"> </w:t>
      </w:r>
      <w:r>
        <w:t xml:space="preserve">fraction of top-10 holders increases between the March 2026 baseline</w:t>
      </w:r>
      <w:r>
        <w:t xml:space="preserve"> </w:t>
      </w:r>
      <w:r>
        <w:t xml:space="preserve">and a subsequent measurement will, on average, exhibit increased</w:t>
      </w:r>
      <w:r>
        <w:t xml:space="preserve"> </w:t>
      </w:r>
      <w:r>
        <w:t xml:space="preserve">holding HHI over the same period; protocols whose insider fraction</w:t>
      </w:r>
      <w:r>
        <w:t xml:space="preserve"> </w:t>
      </w:r>
      <w:r>
        <w:t xml:space="preserve">decreases will exhibit decreased holding HHI. Operationalization:</w:t>
      </w:r>
      <w:r>
        <w:t xml:space="preserve"> </w:t>
      </w:r>
      <w:r>
        <w:t xml:space="preserve">panel measurement of the insider-fraction-of-top-10-holders variable</w:t>
      </w:r>
      <w:r>
        <w:t xml:space="preserve"> </w:t>
      </w:r>
      <w:r>
        <w:t xml:space="preserve">and holding HHI at quarterly intervals; the prediction is falsified</w:t>
      </w:r>
      <w:r>
        <w:t xml:space="preserve"> </w:t>
      </w:r>
      <w:r>
        <w:t xml:space="preserve">if the cross-protocol within-protocol correlation between</w:t>
      </w:r>
      <w:r>
        <w:t xml:space="preserve"> </w:t>
      </w:r>
      <w:r>
        <w:t xml:space="preserve">insider-fraction change and HHI change is not statistically</w:t>
      </w:r>
      <w:r>
        <w:t xml:space="preserve"> </w:t>
      </w:r>
      <w:r>
        <w:t xml:space="preserve">distinguishable from zero (Spearman rho &lt; 0.20 with 95% CI including</w:t>
      </w:r>
      <w:r>
        <w:t xml:space="preserve"> </w:t>
      </w:r>
      <w:r>
        <w:t xml:space="preserve">zero).</w:t>
      </w:r>
    </w:p>
    <w:p>
      <w:pPr>
        <w:pStyle w:val="BodyText"/>
      </w:pPr>
      <w:r>
        <w:t xml:space="preserve">Prediction 4 (delegate-program design as moderator). Among protocols</w:t>
      </w:r>
      <w:r>
        <w:t xml:space="preserve"> </w:t>
      </w:r>
      <w:r>
        <w:t xml:space="preserve">in Prediction 2’s post-launch set, those that adopt broad-community-</w:t>
      </w:r>
      <w:r>
        <w:t xml:space="preserve"> </w:t>
      </w:r>
      <w:r>
        <w:t xml:space="preserve">delegate distribution design choices (recurring delegate compensation;</w:t>
      </w:r>
      <w:r>
        <w:t xml:space="preserve"> </w:t>
      </w:r>
      <w:r>
        <w:t xml:space="preserve">public delegate platforms; active recruitment of long-form policy</w:t>
      </w:r>
      <w:r>
        <w:t xml:space="preserve"> </w:t>
      </w:r>
      <w:r>
        <w:t xml:space="preserve">positions) will exhibit lower amplification ratios than those that</w:t>
      </w:r>
      <w:r>
        <w:t xml:space="preserve"> </w:t>
      </w:r>
      <w:r>
        <w:t xml:space="preserve">do not. Operationalization: code each post-launch protocol on a</w:t>
      </w:r>
      <w:r>
        <w:t xml:space="preserve"> </w:t>
      </w:r>
      <w:r>
        <w:t xml:space="preserve">binary indicator for broad-community-delegate-distribution design;</w:t>
      </w:r>
      <w:r>
        <w:t xml:space="preserve"> </w:t>
      </w:r>
      <w:r>
        <w:t xml:space="preserve">test whether the indicator predicts amplification ratio. Falsified</w:t>
      </w:r>
      <w:r>
        <w:t xml:space="preserve"> </w:t>
      </w:r>
      <w:r>
        <w:t xml:space="preserve">if the design-indicator coefficient does not differ from zero at</w:t>
      </w:r>
      <w:r>
        <w:t xml:space="preserve"> </w:t>
      </w:r>
      <w:r>
        <w:t xml:space="preserve">p &lt; 0.10 in a regression of amplification ratio on design choice,</w:t>
      </w:r>
      <w:r>
        <w:t xml:space="preserve"> </w:t>
      </w:r>
      <w:r>
        <w:t xml:space="preserve">sector dummies, and protocol-age control.</w:t>
      </w:r>
    </w:p>
    <w:p>
      <w:pPr>
        <w:pStyle w:val="BodyText"/>
      </w:pPr>
      <w:r>
        <w:t xml:space="preserve">Methodology inheritance. All four predictions inherit the methodology</w:t>
      </w:r>
      <w:r>
        <w:t xml:space="preserve"> </w:t>
      </w:r>
      <w:r>
        <w:t xml:space="preserve">applied in this paper: PCA-symmetric exclusion via the five-class</w:t>
      </w:r>
      <w:r>
        <w:t xml:space="preserve"> </w:t>
      </w:r>
      <w:r>
        <w:t xml:space="preserve">typology codified in Section 2.10.10; HHI computed on the post-</w:t>
      </w:r>
      <w:r>
        <w:t xml:space="preserve"> </w:t>
      </w:r>
      <w:r>
        <w:t xml:space="preserve">exclusion top-1,000 holder distribution; Mann-Whitney for two-sample</w:t>
      </w:r>
      <w:r>
        <w:t xml:space="preserve"> </w:t>
      </w:r>
      <w:r>
        <w:t xml:space="preserve">tests; bootstrap 95% percentile intervals for effect-size robustness.</w:t>
      </w:r>
    </w:p>
    <w:p>
      <w:pPr>
        <w:pStyle w:val="BodyText"/>
      </w:pPr>
      <w:r>
        <w:t xml:space="preserve">Pre-registration commitment. The hypothesis specifications, statistical</w:t>
      </w:r>
      <w:r>
        <w:t xml:space="preserve"> </w:t>
      </w:r>
      <w:r>
        <w:t xml:space="preserve">tests, and falsification thresholds above will be deposited as a</w:t>
      </w:r>
      <w:r>
        <w:t xml:space="preserve"> </w:t>
      </w:r>
      <w:r>
        <w:t xml:space="preserve">pre-registration document on the Open Science Framework (OSF) prior</w:t>
      </w:r>
      <w:r>
        <w:t xml:space="preserve"> </w:t>
      </w:r>
      <w:r>
        <w:t xml:space="preserve">to data collection for any panel-data or event-study extension of</w:t>
      </w:r>
      <w:r>
        <w:t xml:space="preserve"> </w:t>
      </w:r>
      <w:r>
        <w:t xml:space="preserve">this cross-sectional analysis. The pre-registration DOI will be</w:t>
      </w:r>
      <w:r>
        <w:t xml:space="preserve"> </w:t>
      </w:r>
      <w:r>
        <w:t xml:space="preserve">incorporated into the replication-repository README and Supplementary</w:t>
      </w:r>
      <w:r>
        <w:t xml:space="preserve"> </w:t>
      </w:r>
      <w:r>
        <w:t xml:space="preserve">File S5 (pipeline specification) on deposit; the commitment is to</w:t>
      </w:r>
      <w:r>
        <w:t xml:space="preserve"> </w:t>
      </w:r>
      <w:r>
        <w:t xml:space="preserve">fix the hypothesis text and analysis plan before the data is</w:t>
      </w:r>
      <w:r>
        <w:t xml:space="preserve"> </w:t>
      </w:r>
      <w:r>
        <w:t xml:space="preserve">collected, addressing the multiple-comparisons concerns inherent in</w:t>
      </w:r>
      <w:r>
        <w:t xml:space="preserve"> </w:t>
      </w:r>
      <w:r>
        <w:t xml:space="preserve">post-hoc 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(126 protocol-controlled address</w:t>
      </w:r>
      <w:r>
        <w:t xml:space="preserve"> </w:t>
      </w:r>
      <w:r>
        <w:t xml:space="preserve">exclusions across 38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Table 4 supplementary collection,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21"/>
    <w:bookmarkEnd w:id="122"/>
    <w:bookmarkStart w:id="124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4"/>
    <w:bookmarkStart w:id="12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5"/>
    <w:bookmarkStart w:id="12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2026-05-19T08:54:11Z</dcterms:created>
  <dcterms:modified xsi:type="dcterms:W3CDTF">2026-05-19T08:54:11Z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