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 = 0.04, p = 0.84, N = 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 = 0.018, Cohen’s d = 0.98,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threshold at p = 0.078;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 = 0.69, p = 0.001, N = 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the correlation weakens</w:t>
        </w:r>
        <w:r>
          <w:t xml:space="preserve"> </w:t>
        </w:r>
        <w:r>
          <w:t xml:space="preserve">substantially to r = 0.45, p = 0.052 (borderline significance).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 = 0.62)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0.087: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 = 0.018, Cohen’s d = 0.98),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1.2 to 11.4 times delegation</w:t>
        </w:r>
        <w:r>
          <w:t xml:space="preserve"> </w:t>
        </w:r>
        <w:r>
          <w:t xml:space="preserve">amplification ratios documented in Section 3.5 are consistent with</w:t>
        </w:r>
        <w:r>
          <w:t xml:space="preserve"> </w:t>
        </w:r>
        <w:r>
          <w:t xml:space="preserve">this clumping 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These are the five traditions operationalized in Table 1</w:t>
        </w:r>
        <w:r>
          <w:t xml:space="preserve"> </w:t>
        </w:r>
        <w:r>
          <w:t xml:space="preserve">and aggregated into the Synergy Index introduced in Section 2.10.6.</w:t>
        </w:r>
      </w:ins>
    </w:p>
    <w:p>
      <w:ins w:id="10100" w:author="R2 Revision" w:date="2026-05-19T00:00:00Z">
        <w:pPr>
          <w:pStyle w:val="BodyText"/>
        </w:pPr>
        <w:r>
          <w:t xml:space="preserve">Kant’s (1785/1997) publicity principle holds that political maxims must</w:t>
        </w:r>
        <w:r>
          <w:t xml:space="preserve"> </w:t>
        </w:r>
        <w:r>
          <w:t xml:space="preserve">be capable of public avowal, meaning the rules a system operates under</w:t>
        </w:r>
        <w:r>
          <w:t xml:space="preserve"> </w:t>
        </w:r>
        <w:r>
          <w:t xml:space="preserve">must be statable in a form that everyone subject to them could in</w:t>
        </w:r>
        <w:r>
          <w:t xml:space="preserve"> </w:t>
        </w:r>
        <w:r>
          <w:t xml:space="preserve">principle accept, and that coercion (slashing, bans, parameter changes)</w:t>
        </w:r>
        <w:r>
          <w:t xml:space="preserve"> </w:t>
        </w:r>
        <w:r>
          <w:t xml:space="preserve">is legitimate only when grounded in transparent and non-arbitrary rules.</w:t>
        </w:r>
      </w:ins>
    </w:p>
    <w:p>
      <w:ins w:id="10101" w:author="R2 Revision" w:date="2026-05-19T00:00:00Z">
        <w:pPr>
          <w:pStyle w:val="BodyText"/>
        </w:pPr>
        <w:r>
          <w:t xml:space="preserve">Rawls’s (1971; 1993) theory of justice supplies the second lens</w:t>
        </w:r>
        <w:r>
          <w:t xml:space="preserve"> </w:t>
        </w:r>
        <w:r>
          <w:t xml:space="preserve">through the difference principle (inequalities must improve the</w:t>
        </w:r>
        <w:r>
          <w:t xml:space="preserve"> </w:t>
        </w:r>
        <w:r>
          <w:t xml:space="preserve">position of the least advantaged) and the liberal principle of</w:t>
        </w:r>
        <w:r>
          <w:t xml:space="preserve"> </w:t>
        </w:r>
        <w:r>
          <w:t xml:space="preserve">legitimacy (rules should be defensible under public reason); in</w:t>
        </w:r>
        <w:r>
          <w:t xml:space="preserve"> </w:t>
        </w:r>
        <w:r>
          <w:t xml:space="preserve">tokenized systems this lens scores floor-raising mechanisms that</w:t>
        </w:r>
        <w:r>
          <w:t xml:space="preserve"> </w:t>
        </w:r>
        <w:r>
          <w:t xml:space="preserve">protect smaller participants from being structurally disadvantaged by</w:t>
        </w:r>
        <w:r>
          <w:t xml:space="preserve"> </w:t>
        </w:r>
        <w:r>
          <w:t xml:space="preserve">allocation, distribution, or governance designs.</w:t>
        </w:r>
      </w:ins>
    </w:p>
    <w:p>
      <w:ins w:id="10102" w:author="R2 Revision" w:date="2026-05-19T00:00:00Z">
        <w:pPr>
          <w:pStyle w:val="BodyText"/>
        </w:pPr>
        <w:r>
          <w:t xml:space="preserve">Republican freedom as non-domination (Pettit 1997, building on</w:t>
        </w:r>
        <w:r>
          <w:t xml:space="preserve"> </w:t>
        </w:r>
        <w:r>
          <w:t xml:space="preserve">Skinner’s 1998 historical recovery of the neo-Roman tradition of</w:t>
        </w:r>
        <w:r>
          <w:t xml:space="preserve"> </w:t>
        </w:r>
        <w:r>
          <w:t xml:space="preserve">civic-republican political thought; Stanford Encyclopedia of Philosophy</w:t>
        </w:r>
        <w:r>
          <w:t xml:space="preserve"> </w:t>
        </w:r>
        <w:r>
          <w:t xml:space="preserve">2025) reframes legitimacy as protection against arbitrary power rather</w:t>
        </w:r>
        <w:r>
          <w:t xml:space="preserve"> </w:t>
        </w:r>
        <w:r>
          <w:t xml:space="preserve">than mere non-interference: a person is free to the extent that no</w:t>
        </w:r>
        <w:r>
          <w:t xml:space="preserve"> </w:t>
        </w:r>
        <w:r>
          <w:t xml:space="preserve">other agent (the state, an employer, a protocol foundation) has the</w:t>
        </w:r>
        <w:r>
          <w:t xml:space="preserve"> </w:t>
        </w:r>
        <w:r>
          <w:t xml:space="preserve">capacity to interfere with them arbitrarily, even if such interference</w:t>
        </w:r>
        <w:r>
          <w:t xml:space="preserve"> </w:t>
        </w:r>
        <w:r>
          <w:t xml:space="preserve">is not currently being exercised. Pettit positions non-domination as</w:t>
        </w:r>
        <w:r>
          <w:t xml:space="preserve"> </w:t>
        </w:r>
        <w:r>
          <w:t xml:space="preserve">orthogonal to Berlin’s (1958) negative and positive liberty: it is</w:t>
        </w:r>
        <w:r>
          <w:t xml:space="preserve"> </w:t>
        </w:r>
        <w:r>
          <w:t xml:space="preserve">neither pure non-interference (Berlin’s negative liberty, which fails</w:t>
        </w:r>
        <w:r>
          <w:t xml:space="preserve"> </w:t>
        </w:r>
        <w:r>
          <w:t xml:space="preserve">to capture the freedom-cost of being subject to arbitrary power even</w:t>
        </w:r>
        <w:r>
          <w:t xml:space="preserve"> </w:t>
        </w:r>
        <w:r>
          <w:t xml:space="preserve">when 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</w:t>
        </w:r>
      </w:ins>
    </w:p>
    <w:p>
      <w:ins w:id="10103" w:author="R2 Revision" w:date="2026-05-19T00:00:00Z">
        <w:pPr>
          <w:pStyle w:val="BodyText"/>
        </w:pPr>
        <w:r>
          <w:t xml:space="preserve">Ostrom’s (1990) polycentric governance framework supplies the fourth</w:t>
        </w:r>
        <w:r>
          <w:t xml:space="preserve"> </w:t>
        </w:r>
        <w:r>
          <w:t xml:space="preserve">lens: complex coordination problems are best addressed by multiple</w:t>
        </w:r>
        <w:r>
          <w:t xml:space="preserve"> </w:t>
        </w:r>
        <w:r>
          <w:t xml:space="preserve">overlapping decision-centers with local autonomy rather than by a</w:t>
        </w:r>
        <w:r>
          <w:t xml:space="preserve"> </w:t>
        </w:r>
        <w:r>
          <w:t xml:space="preserve">single central authority. Section 2.6.2 develops this tradition; the</w:t>
        </w:r>
        <w:r>
          <w:t xml:space="preserve"> </w:t>
        </w:r>
        <w:r>
          <w:t xml:space="preserve">operational scoring in Table 1 rewards protocols with nested</w:t>
        </w:r>
        <w:r>
          <w:t xml:space="preserve"> </w:t>
        </w:r>
        <w:r>
          <w:t xml:space="preserve">decision-centers (e.g., sub-DAOs, councils, region-specific working</w:t>
        </w:r>
        <w:r>
          <w:t xml:space="preserve"> </w:t>
        </w:r>
        <w:r>
          <w:t xml:space="preserve">groups) that exercise meaningful local authority.</w:t>
        </w:r>
      </w:ins>
    </w:p>
    <w:p>
      <w:ins w:id="10104" w:author="R2 Revision" w:date="2026-05-19T00:00:00Z">
        <w:pPr>
          <w:pStyle w:val="BodyText"/>
        </w:pPr>
        <w:r>
          <w:t xml:space="preserve">Hayek’s (1945)</w:t>
        </w:r>
        <w:r>
          <w:t xml:space="preserve"> </w:t>
        </w:r>
        <w:r>
          <w:t xml:space="preserve">“Use of Knowledge in Society”</w:t>
        </w:r>
        <w:r>
          <w:t xml:space="preserve"> </w:t>
        </w:r>
        <w:r>
          <w:t xml:space="preserve">argues that dispersed</w:t>
        </w:r>
        <w:r>
          <w:t xml:space="preserve"> </w:t>
        </w:r>
        <w:r>
          <w:t xml:space="preserve">local information cannot be replicated by centralized planning,</w:t>
        </w:r>
        <w:r>
          <w:t xml:space="preserve"> </w:t>
        </w:r>
        <w:r>
          <w:t xml:space="preserve">providing both a critique of static parameter-setting and a positive</w:t>
        </w:r>
        <w:r>
          <w:t xml:space="preserve"> </w:t>
        </w:r>
        <w:r>
          <w:t xml:space="preserve">case for governance designs that incorporate edge-level signals (e.g.,</w:t>
        </w:r>
        <w:r>
          <w:t xml:space="preserve"> </w:t>
        </w:r>
        <w:r>
          <w:t xml:space="preserve">demand-coupled emission mechanisms, price-signal-driven parameter</w:t>
        </w:r>
        <w:r>
          <w:t xml:space="preserve"> </w:t>
        </w:r>
        <w:r>
          <w:t xml:space="preserve">updates).</w:t>
        </w:r>
      </w:ins>
    </w:p>
    <w:p>
      <w:ins w:id="10105" w:author="R2 Revision" w:date="2026-05-19T00:00:00Z">
        <w:pPr>
          <w:pStyle w:val="BodyText"/>
        </w:pPr>
        <w:r>
          <w:t xml:space="preserve">These five traditions are not isolated lenses but complementary</w:t>
        </w:r>
        <w:r>
          <w:t xml:space="preserve"> </w:t>
        </w:r>
        <w:r>
          <w:t xml:space="preserve">specifications of legitimacy, jointly defining the design constraints</w:t>
        </w:r>
        <w:r>
          <w:t xml:space="preserve"> </w:t>
        </w:r>
        <w:r>
          <w:t xml:space="preserve">the framework operationalizes in Section 2.9 and the scoring rubric</w:t>
        </w:r>
        <w:r>
          <w:t xml:space="preserve"> </w:t>
        </w:r>
        <w:r>
          <w:t xml:space="preserve">in Table 1. Section 2.9.6 documents the inter-lens dependencies (e.g.,</w:t>
        </w:r>
        <w:r>
          <w:t xml:space="preserve"> </w:t>
        </w:r>
        <w:r>
          <w:t xml:space="preserve">publicity enables contestability; polycentricity enables knowledge-use)</w:t>
        </w:r>
        <w:r>
          <w:t xml:space="preserve"> </w:t>
        </w:r>
        <w:r>
          <w:t xml:space="preserve">that make joint satisfaction load-bearing for the framework’s</w:t>
        </w:r>
        <w:r>
          <w:t xml:space="preserve"> </w:t>
        </w:r>
        <w:r>
          <w:t xml:space="preserve">legitimacy claims.</w:t>
        </w:r>
      </w:ins>
    </w:p>
    <w:p>
      <w:ins w:id="10106" w:author="R2 Revision" w:date="2026-05-19T00:00:00Z">
        <w:pPr>
          <w:pStyle w:val="BodyText"/>
        </w:pPr>
        <w:r>
          <w:t xml:space="preserve">Three additional philosophical traditions inform the framework but are</w:t>
        </w:r>
        <w:r>
          <w:t xml:space="preserve"> </w:t>
        </w:r>
        <w:r>
          <w:t xml:space="preserve">reserved for future operationalization (Section 2.10.6; Section 4.8</w:t>
        </w:r>
        <w:r>
          <w:t xml:space="preserve"> </w:t>
        </w:r>
        <w:r>
          <w:t xml:space="preserve">limitations) due to non-comparable cross-protocol measurement</w:t>
        </w:r>
        <w:r>
          <w:t xml:space="preserve"> </w:t>
        </w:r>
        <w:r>
          <w:t xml:space="preserve">requirements at the current sample size. The capability approach (Sen,</w:t>
        </w:r>
        <w:r>
          <w:t xml:space="preserve"> </w:t>
        </w:r>
        <w:r>
          <w:t xml:space="preserve">1999; Nussbaum, 2011) evaluates social arrangements not by aggregate</w:t>
        </w:r>
        <w:r>
          <w:t xml:space="preserve"> </w:t>
        </w:r>
        <w:r>
          <w:t xml:space="preserve">output but by the substantive opportunities individuals have to</w:t>
        </w:r>
        <w:r>
          <w:t xml:space="preserve"> </w:t>
        </w:r>
        <w:r>
          <w:t xml:space="preserve">achieve valued doings and beings, a frame Yanaka and Heeks (2023)</w:t>
        </w:r>
        <w:r>
          <w:t xml:space="preserve"> </w:t>
        </w:r>
        <w:r>
          <w:t xml:space="preserve">extend to digital platform labor and which applies directly to DePIN</w:t>
        </w:r>
        <w:r>
          <w:t xml:space="preserve"> </w:t>
        </w:r>
        <w:r>
          <w:t xml:space="preserve">operators whose hardware lock-in constrains exit options. The</w:t>
        </w:r>
        <w:r>
          <w:t xml:space="preserve"> </w:t>
        </w:r>
        <w:r>
          <w:t xml:space="preserve">contextual-integrity framing (Nissenbaum, 2010) treats appropriate</w:t>
        </w:r>
        <w:r>
          <w:t xml:space="preserve"> </w:t>
        </w:r>
        <w:r>
          <w:t xml:space="preserve">information flow as governed by context-specific norms, extended by</w:t>
        </w:r>
        <w:r>
          <w:t xml:space="preserve"> </w:t>
        </w:r>
        <w:r>
          <w:t xml:space="preserve">Floridi (2013) into a broader information ethics; together with the</w:t>
        </w:r>
        <w:r>
          <w:t xml:space="preserve"> </w:t>
        </w:r>
        <w:r>
          <w:t xml:space="preserve">capability approach these underwrite the design claim that token</w:t>
        </w:r>
        <w:r>
          <w:t xml:space="preserve"> </w:t>
        </w:r>
        <w:r>
          <w:t xml:space="preserve">systems relying on ever-expanding telemetry risk becoming disciplinary</w:t>
        </w:r>
        <w:r>
          <w:t xml:space="preserve"> </w:t>
        </w:r>
        <w:r>
          <w:t xml:space="preserve">infrastructures unless constrained by contextual integrity and</w:t>
        </w:r>
        <w:r>
          <w:t xml:space="preserve"> </w:t>
        </w:r>
        <w:r>
          <w:t xml:space="preserve">proportionality. Cosmopolitan justice (Beitz, 1979; Pogge, 2002)</w:t>
        </w:r>
        <w:r>
          <w:t xml:space="preserve"> </w:t>
        </w:r>
        <w:r>
          <w:t xml:space="preserve">extends fairness reasoning to transnational scope, salient for</w:t>
        </w:r>
        <w:r>
          <w:t xml:space="preserve"> </w:t>
        </w:r>
        <w:r>
          <w:t xml:space="preserve">borderless tokenized institutions but requiring jurisdiction-aware</w:t>
        </w:r>
        <w:r>
          <w:t xml:space="preserve"> </w:t>
        </w:r>
        <w:r>
          <w:t xml:space="preserve">measurement infrastructure that the present cross-section does not</w:t>
        </w:r>
        <w:r>
          <w:t xml:space="preserve"> </w:t>
        </w:r>
        <w:r>
          <w:t xml:space="preserve">support.</w:t>
        </w:r>
      </w:ins>
    </w:p>
    <w:bookmarkEnd w:id="47"/>
    <w:bookmarkStart w:id="48" w:name="synthesis-and-research-gap"/>
    <w:p>
      <w:ins w:id="10107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8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9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10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11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12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13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14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15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7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8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9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20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21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22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23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24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25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6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7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8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9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30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31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32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34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35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6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7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9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41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43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45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7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8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9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50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51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52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53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54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55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6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81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82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83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4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5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6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8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90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91" w:author="R2 Revision" w:date="2026-05-19T00:00:00Z">
        <w:pPr>
          <w:pStyle w:val="Heading3"/>
        </w:pPr>
        <w:r>
          <w:t xml:space="preserve">2.10.1 Approach</w:t>
        </w:r>
      </w:ins>
    </w:p>
    <w:p>
      <w:ins w:id="10192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93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94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95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6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7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8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9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2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201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202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203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204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205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6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7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8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9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10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11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12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13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14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15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0.010;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0.074;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0.060;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5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7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9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60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61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62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63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64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65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6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7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8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9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75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6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7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8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9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80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81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82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83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84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85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6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93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94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95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6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300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301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302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303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304" w:author="R2 Revision" w:date="2026-05-19T00:00:00Z">
        <w:pPr>
          <w:pStyle w:val="BodyText"/>
        </w:pPr>
        <w:r>
          <w:t xml:space="preserve">Three additional DePIN protocols are included to improve statistical</w:t>
        </w:r>
        <w:r>
          <w:t xml:space="preserve"> </w:t>
        </w:r>
        <w:r>
          <w:t xml:space="preserve">power for the subsidy analysis: Aethir (ATH, Ethereum, GPU compute,</w:t>
        </w:r>
        <w:r>
          <w:t xml:space="preserve"> </w:t>
        </w:r>
        <w:r>
          <w:t xml:space="preserve">$156M annualized revenue (Token Terminal, April 2026)), Hivemapper</w:t>
        </w:r>
        <w:r>
          <w:t xml:space="preserve"> </w:t>
        </w:r>
        <w:r>
          <w:t xml:space="preserve">(HONEY, Solana, mapping), and io.net (IO, Solana, GPU compute, $21M</w:t>
        </w:r>
        <w:r>
          <w:t xml:space="preserve"> </w:t>
        </w:r>
        <w:r>
          <w:t xml:space="preserve">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0.0868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0.95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18.3%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68.7%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993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7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8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30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31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32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(0.087)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with seven protocol-controlled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addresses excluded under the canonical post-PCA-exclusion methodology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2.10.10 five-class typology; Section 2.10.3 Top-N convention).</w:t>
        </w:r>
      </w:ins>
    </w:p>
    <w:p>
      <w:ins w:id="10634" w:author="R2 Revision" w:date="2026-05-19T00:00:00Z">
        <w:pPr>
          <w:pStyle w:val="BodyText"/>
        </w:pPr>
        <w:r>
          <w:t xml:space="preserve">Table 4 notes:</w:t>
        </w:r>
      </w:ins>
    </w:p>
    <w:p>
      <w:ins w:id="10635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6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7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8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9" w:author="R2 Revision" w:date="2026-05-19T00:00:00Z">
        <w:pPr>
          <w:pStyle w:val="BodyText"/>
        </w:pPr>
        <w:r>
          <w:t xml:space="preserve">Several protocols exhibit much lower concentration in the post-</w:t>
        </w:r>
        <w:r>
          <w:t xml:space="preserve"> </w:t>
        </w:r>
        <w:r>
          <w:t xml:space="preserve">exclusion top-1,000 sample than in the raw holder list. Applying the</w:t>
        </w:r>
        <w:r>
          <w:t xml:space="preserve"> </w:t>
        </w:r>
        <w:r>
          <w:t xml:space="preserve">holder-list correction for Solana tokens (Helius DAS API enumeration</w:t>
        </w:r>
        <w:r>
          <w:t xml:space="preserve"> </w:t>
        </w:r>
        <w:r>
          <w:t xml:space="preserve">versus the systematically-undercounting Dune indexer) and the PCA</w:t>
        </w:r>
        <w:r>
          <w:t xml:space="preserve"> </w:t>
        </w:r>
        <w:r>
          <w:t xml:space="preserve">exclusion methodology (38 protocols with documented exclusions; Section</w:t>
        </w:r>
        <w:r>
          <w:t xml:space="preserve"> </w:t>
        </w:r>
        <w:r>
          <w:t xml:space="preserve">2.10.10), the DePIN-DeFi concentration gap is computed on a holder</w:t>
        </w:r>
        <w:r>
          <w:t xml:space="preserve"> </w:t>
        </w:r>
        <w:r>
          <w:t xml:space="preserve">sample materially different from the naive top-1,000 alternative. For</w:t>
        </w:r>
        <w:r>
          <w:t xml:space="preserve"> </w:t>
        </w:r>
        <w:r>
          <w:t xml:space="preserve">DRIFT, the raw holder distribution yields HHI 0.419 against the</w:t>
        </w:r>
        <w:r>
          <w:t xml:space="preserve"> </w:t>
        </w:r>
        <w:r>
          <w:t xml:space="preserve">post-exclusion value of 0.053 (Helius enumerates 27,888 distinct</w:t>
        </w:r>
        <w:r>
          <w:t xml:space="preserve"> </w:t>
        </w:r>
        <w:r>
          <w:t xml:space="preserve">holders versus 104 retrieved from the Dune indexer). Wormhole</w:t>
        </w:r>
        <w:r>
          <w:t xml:space="preserve"> </w:t>
        </w:r>
        <w:r>
          <w:t xml:space="preserve">(W) moves from 0.126 (raw) to 0.012 (post-exclusion); GRASS moves</w:t>
        </w:r>
        <w:r>
          <w:t xml:space="preserve"> </w:t>
        </w:r>
        <w:r>
          <w:t xml:space="preserve">from 0.132 to 0.035.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40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Lido (0.008),</w:t>
        </w:r>
        <w:r>
          <w:t xml:space="preserve"> </w:t>
        </w:r>
        <w:r>
          <w:t xml:space="preserve">Compound (0.009), and Uniswap (0.010) in DeFi; Optimism (0.009),</w:t>
        </w:r>
        <w:r>
          <w:t xml:space="preserve"> </w:t>
        </w:r>
        <w:r>
          <w:t xml:space="preserve">Arbitrum (0.012), Wormhole (0.012), and LayerZero (0.014) in L1/L2</w:t>
        </w:r>
        <w:r>
          <w:t xml:space="preserve"> </w:t>
        </w:r>
        <w:r>
          <w:t xml:space="preserve">infrastructure; and Hivemapper (0.018) in DePIN all achieve HHI below</w:t>
        </w:r>
        <w:r>
          <w:t xml:space="preserve"> </w:t>
        </w:r>
        <w:r>
          <w:t xml:space="preserve">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41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42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43" w:author="R2 Revision" w:date="2026-05-19T00:00:00Z">
        <w:pPr>
          <w:pStyle w:val="FirstParagraph"/>
        </w:pPr>
        <w:r>
          <w:t xml:space="preserve">DePIN protocols have approximately two and a half times the governance</w:t>
        </w:r>
        <w:r>
          <w:t xml:space="preserve"> </w:t>
        </w:r>
        <w:r>
          <w:t xml:space="preserve">concentration of DeFi protocols (mean HHI 0.077 vs. 0.031, a ratio of 2.5; Mann-Whitney</w:t>
        </w:r>
        <w:r>
          <w:t xml:space="preserve"> </w:t>
        </w:r>
        <w:r>
          <w:t xml:space="preserve">p = 0.018, Cohen’s d = 0.98, N = 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 = 0.078)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44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0.90 to 1.10;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[0.015, 0.080] HHI</w:t>
        </w:r>
        <w:r>
          <w:t xml:space="preserve"> </w:t>
        </w:r>
        <w:r>
          <w:t xml:space="preserve">points (Cohen’s d 95% CI: [0.41, 1.69]),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45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(0.077)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 = 0.018, d = 0.98)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7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8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9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0.013)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50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51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52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53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 = 0.04, p = 0.84, N = 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0.04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-0.08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0.62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0.14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0.39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0.11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0.21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33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0.69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0.45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0.05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44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4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6" w:author="R2 Revision" w:date="2026-05-19T00:00:00Z">
              <w:pPr>
                <w:pStyle w:val="Compact"/>
                <w:jc w:val="left"/>
              </w:pPr>
              <w:r>
                <w:t xml:space="preserve">0.62</w:t>
              </w:r>
            </w:ins>
          </w:p>
        </w:tc>
        <w:tc>
          <w:tcPr/>
          <w:p>
            <w:ins w:id="10747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8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749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51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52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53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54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5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post-exclusion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 = 0.04, p = 0.84)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6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0.04, p = 0.84,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7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8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0.087,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9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(0.043, p = 0.078, N = 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60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[+0.001, +0.091], strictly above zero.</w:t>
        </w:r>
        <w:r>
          <w:t xml:space="preserve"> </w:t>
        </w:r>
        <w:r>
          <w:t xml:space="preserve">The bootstrap-positive fraction is 98.0%.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 = 0.04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0.045**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0.043**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0.043*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</w:pPr>
            </w:ins>
          </w:p>
        </w:tc>
        <w:tc>
          <w:tcPr/>
          <w:p>
            <w:ins w:id="10807" w:author="R2 Revision" w:date="2026-05-19T00:00:00Z">
              <w:pPr>
                <w:pStyle w:val="Compact"/>
              </w:pP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21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23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24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25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6" w:author="R2 Revision" w:date="2026-05-19T00:00:00Z">
              <w:pPr>
                <w:pStyle w:val="Compact"/>
                <w:jc w:val="left"/>
              </w:pPr>
              <w:r>
                <w:t xml:space="preserve">0.173</w:t>
              </w:r>
            </w:ins>
          </w:p>
        </w:tc>
        <w:tc>
          <w:tcPr/>
          <w:p>
            <w:ins w:id="10827" w:author="R2 Revision" w:date="2026-05-19T00:00:00Z">
              <w:pPr>
                <w:pStyle w:val="Compact"/>
                <w:jc w:val="left"/>
              </w:pPr>
              <w:r>
                <w:t xml:space="preserve">0.190</w:t>
              </w:r>
            </w:ins>
          </w:p>
        </w:tc>
        <w:tc>
          <w:tcPr/>
          <w:p>
            <w:ins w:id="10828" w:author="R2 Revision" w:date="2026-05-19T00:00:00Z">
              <w:pPr>
                <w:pStyle w:val="Compact"/>
                <w:jc w:val="left"/>
              </w:pPr>
              <w:r>
                <w:t xml:space="preserve">0.151</w:t>
              </w:r>
            </w:ins>
          </w:p>
        </w:tc>
      </w:tr>
    </w:tbl>
    <w:p>
      <w:ins w:id="1082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30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31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32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33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35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post-exclusion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pre-exclusion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6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post-exclusion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7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8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9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40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9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90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903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904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905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6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8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9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10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11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12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13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14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15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6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7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8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9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20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21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22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23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24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25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6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7" w:author="R2 Revision" w:date="2026-05-19T00:00:00Z">
        <w:pPr>
          <w:pStyle w:val="BodyText"/>
        </w:pPr>
        <w:r>
          <w:t xml:space="preserve">The DePIN-versus-DeFi sector difference (Mann-Whitney p = 0.018, Cohen’s d = 0.98) is robust to sample composition. The test remains significant</w:t>
        </w:r>
        <w:r>
          <w:t xml:space="preserve"> </w:t>
        </w:r>
        <w:r>
          <w:t xml:space="preserve">in all 30 of 30 leave-one-out iterations (per-iteration p range: 0.008</w:t>
        </w:r>
        <w:r>
          <w:t xml:space="preserve"> </w:t>
        </w:r>
        <w:r>
          <w:t xml:space="preserve">to 0.031; Cohen’s d range: 0.90 to 1.10;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[+0.015,</w:t>
        </w:r>
        <w:r>
          <w:t xml:space="preserve"> </w:t>
        </w:r>
        <w:r>
          <w:t xml:space="preserve">+0.080] HHI points, strictly excluding zero; the Cohen’s d 95%</w:t>
        </w:r>
        <w:r>
          <w:t xml:space="preserve"> </w:t>
        </w:r>
        <w:r>
          <w:t xml:space="preserve">percentile interval is [0.41, 1.69],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8" w:author="R2 Revision" w:date="2026-05-19T00:00:00Z">
        <w:pPr>
          <w:pStyle w:val="BodyText"/>
        </w:pPr>
        <w:r>
          <w:t xml:space="preserve">The subsidy-to-concentration correlation (Pearson r = 0.69, p = 0.001, N</w:t>
        </w:r>
        <w:r>
          <w:t xml:space="preserve"> </w:t>
        </w:r>
        <w:r>
          <w:t xml:space="preserve">= 20) is driven primarily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 = 0.45 (p = 0.052). The remaining 19</w:t>
        </w:r>
        <w:r>
          <w:t xml:space="preserve"> </w:t>
        </w:r>
        <w:r>
          <w:t xml:space="preserve">protocols show a weakened but borderline-significant linear</w:t>
        </w:r>
        <w:r>
          <w:t xml:space="preserve"> </w:t>
        </w:r>
        <w:r>
          <w:t xml:space="preserve">association (just above the conventional 0.05 threshold).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9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 = 0.45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 0.69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31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both in the set of sector-test single-drop</w:t>
        </w:r>
        <w:r>
          <w:t xml:space="preserve"> </w:t>
        </w:r>
        <w:r>
          <w:t xml:space="preserve">protocols that push Mann-Whitney p toward 0.05 and as the sole protocol</w:t>
        </w:r>
        <w:r>
          <w:t xml:space="preserve"> </w:t>
        </w:r>
        <w:r>
          <w:t xml:space="preserve">that, when dropped, eliminates the subsidy correlation; however its</w:t>
        </w:r>
        <w:r>
          <w:t xml:space="preserve"> </w:t>
        </w:r>
        <w:r>
          <w:t xml:space="preserve">sector influence is shared equally among seven protocols, whereas its</w:t>
        </w:r>
        <w:r>
          <w:t xml:space="preserve"> </w:t>
        </w:r>
        <w:r>
          <w:t xml:space="preserve">subsidy influence is singular.</w:t>
        </w:r>
      </w:ins>
    </w:p>
    <w:p>
      <w:ins w:id="10932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33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34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 = 0.69, p = 0.001), and the HHI-Gini cross-metric</w:t>
        </w:r>
        <w:r>
          <w:t xml:space="preserve"> </w:t>
        </w:r>
        <w:r>
          <w:t xml:space="preserve">correlation (Pearson r = 0.62,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35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 = 0.98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6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 = 0.62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 = 0.98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7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0.018;</w:t>
        </w:r>
        <w:r>
          <w:t xml:space="preserve"> </w:t>
        </w:r>
        <w:r>
          <w:t xml:space="preserve">Cohen’s d from 1.02 to 0.98;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8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 = 0.029 and</w:t>
        </w:r>
        <w:r>
          <w:t xml:space="preserve"> </w:t>
        </w:r>
        <w:r>
          <w:t xml:space="preserve">Cohen’s d = 0.94.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4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enter Figure 8 via Snapshot API queries; 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42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 = 0.98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1.10.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[0.41, 1.69]).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44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45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6" w:author="R2 Revision" w:date="2026-05-19T00:00:00Z">
        <w:pPr>
          <w:pStyle w:val="FirstParagraph"/>
        </w:pPr>
        <w:r>
          <w:t xml:space="preserve">No protocol in the post-exclusion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io.net (0.125)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7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8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9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51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IoTeX 0.189, WeatherXM 0.148, io.net 0.125) exhibit</w:t>
        </w:r>
        <w:r>
          <w:t xml:space="preserve"> </w:t>
        </w:r>
        <w:r>
          <w:t xml:space="preserve">concentration the framework flags for scrutiny, though no protocol in</w:t>
        </w:r>
        <w:r>
          <w:t xml:space="preserve"> </w:t>
        </w:r>
        <w:r>
          <w:t xml:space="preserve">the post-exclusion 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52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53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54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55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6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 = 0.04, p = 0.84, N = 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7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8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9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60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61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63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approximately 48% of the top-50 veCRV</w:t>
        </w:r>
        <w:r>
          <w:t xml:space="preserve"> </w:t>
        </w:r>
        <w:r>
          <w:t xml:space="preserve">deposit-weighted share (DeFi Llama, 2026; matching the cumulative-</w:t>
        </w:r>
        <w:r>
          <w:t xml:space="preserve"> </w:t>
        </w:r>
        <w:r>
          <w:t xml:space="preserve">deposit computation in Section 3.5.2).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64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65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within the framework’s broader literature-review scope</w:t>
        </w:r>
        <w:r>
          <w:t xml:space="preserve"> </w:t>
        </w:r>
        <w:r>
          <w:t xml:space="preserve">(Section 2.7) but are not testable 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7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8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9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70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71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9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80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81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82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0.018, Cohen’s d = 0.98).</w:t>
        </w:r>
      </w:ins>
    </w:p>
    <w:p>
      <w:ins w:id="10983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8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9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 = 0.04, p = 0.84):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 = 0.018, d = 0.98),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90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mid-range DePIN HHI</w:t>
        </w:r>
        <w:r>
          <w:t xml:space="preserve"> </w:t>
        </w:r>
        <w:r>
          <w:t xml:space="preserve">(0.087), while Hivemapper combines a 5.46x subsidy ratio with the</w:t>
        </w:r>
        <w:r>
          <w:t xml:space="preserve"> </w:t>
        </w:r>
        <w:r>
          <w:t xml:space="preserve">lowest 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91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92" w:author="R2 Revision" w:date="2026-05-19T00:00:00Z">
        <w:pPr>
          <w:pStyle w:val="Heading2"/>
        </w:pPr>
        <w:r>
          <w:t xml:space="preserve">4.7 Contributions</w:t>
        </w:r>
      </w:ins>
    </w:p>
    <w:p>
      <w:ins w:id="10993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94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95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6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 = 0.018, Cohen’s d = 0.98;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above the conventional 0.05 threshold at p = 0.078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7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8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9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1000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1001" w:author="R2 Revision" w:date="2026-05-19T00:00:00Z">
        <w:pPr>
          <w:pStyle w:val="Heading2"/>
        </w:pPr>
        <w:r>
          <w:t xml:space="preserve">4.8 Limitations</w:t>
        </w:r>
      </w:ins>
    </w:p>
    <w:p>
      <w:ins w:id="11002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1003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100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100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this</w:t>
        </w:r>
        <w:r>
          <w:t xml:space="preserve"> </w:t>
        </w:r>
        <w:r>
          <w:t xml:space="preserve">paper’s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10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canonical post-PCA-exclusion methodology yields HHI 0.087</w:t>
        </w:r>
        <w:r>
          <w:t xml:space="preserve"> </w:t>
        </w:r>
        <w:r>
          <w:t xml:space="preserve">(Table 4 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11" w:author="R2 Revision" w:date="2026-05-19T00:00:00Z">
        <w:pPr>
          <w:pStyle w:val="Heading2"/>
        </w:pPr>
        <w:r>
          <w:t xml:space="preserve">4.9 Future Research</w:t>
        </w:r>
      </w:ins>
    </w:p>
    <w:p>
      <w:ins w:id="11012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13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14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15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6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7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8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9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20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21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22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2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2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2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9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3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3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3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33" w:author="R2 Revision" w:date="2026-05-19T00:00:00Z">
        <w:pPr>
          <w:pStyle w:val="Heading1"/>
        </w:pPr>
        <w:r>
          <w:t xml:space="preserve">Acknowledgments</w:t>
        </w:r>
      </w:ins>
    </w:p>
    <w:p>
      <w:ins w:id="1103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35" w:author="R2 Revision" w:date="2026-05-19T00:00:00Z">
        <w:pPr>
          <w:pStyle w:val="Heading1"/>
        </w:pPr>
        <w:r>
          <w:t xml:space="preserve">References</w:t>
        </w:r>
      </w:ins>
    </w:p>
    <w:p>
      <w:ins w:id="1103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4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4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4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4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4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4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5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5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5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5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5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5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6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6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6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6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6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6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7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7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7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7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7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7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8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8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8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8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8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8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9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9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9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9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9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9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10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10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10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10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10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1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1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1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1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1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1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2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2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2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2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2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2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3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3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3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3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3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3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4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4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4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2026-05-19T08:54:11Z</dcterms:created>
  <dcterms:modified xsi:type="dcterms:W3CDTF">2026-05-19T08:54:11Z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