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92.png" ContentType="image/png"/>
  <Override PartName="/word/media/rId88.png" ContentType="image/png"/>
  <Override PartName="/word/media/rId84.png" ContentType="image/png"/>
  <Override PartName="/word/media/rId101.png" ContentType="image/png"/>
  <Override PartName="/word/media/rId64.png" ContentType="image/png"/>
  <Override PartName="/word/media/rId57.png" ContentType="image/png"/>
  <Override PartName="/word/media/rId51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exhibit_initial_allocation.png" ContentType="image/png"/>
  <Override PartName="/word/media/exhibit_delegation_adjusted.png" ContentType="image/png"/>
  <Override PartName="/word/media/exhibit_concentration_participation.png" ContentType="image/png"/>
  <Override PartName="/word/media/exhibit_sector_comparison.png" ContentType="image/png"/>
  <Override PartName="/word/media/exhibit_subsidy_vs_hhi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Governance Concentration Beyond Token Allocation: An Institutional</w:t>
      </w:r>
      <w:r>
        <w:rPr>
          <w:b/>
          <w:bCs/>
        </w:rPr>
        <w:t xml:space="preserve"> </w:t>
      </w:r>
      <w:r>
        <w:rPr>
          <w:b/>
          <w:bCs/>
        </w:rPr>
        <w:t xml:space="preserve">Design Analysis of DePIN and DeFi</w:t>
      </w:r>
    </w:p>
    <w:p>
      <w:pPr>
        <w:pStyle w:val="BodyText"/>
      </w:pPr>
      <w:r>
        <w:t xml:space="preserve">Zach Zukowski</w:t>
      </w:r>
    </w:p>
    <w:p>
      <w:pPr>
        <w:pStyle w:val="BodyText"/>
      </w:pPr>
      <w:r>
        <w:t xml:space="preserve">Tokenization Systems</w:t>
      </w:r>
    </w:p>
    <w:p>
      <w:pPr>
        <w:pStyle w:val="BodyText"/>
      </w:pPr>
      <w:r>
        <w:t xml:space="preserve">zach@tokenization.systems</w:t>
      </w:r>
    </w:p>
    <w:p>
      <w:pPr>
        <w:pStyle w:val="BodyText"/>
      </w:pPr>
      <w:r>
        <w:t xml:space="preserve">ORCID: 0009-0006-3642-2450</w:t>
      </w:r>
    </w:p>
    <w:p>
      <w:pPr>
        <w:pStyle w:val="BodyText"/>
      </w:pPr>
      <w:r>
        <w:t xml:space="preserve">April 2026</w:t>
      </w:r>
    </w:p>
    <w:bookmarkStart w:id="26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Initial token allocation design does not predict governance</w:t>
      </w:r>
      <w:r>
        <w:t xml:space="preserve"> </w:t>
      </w:r>
      <w:r>
        <w:t xml:space="preserve">concentration. A 40-protocol cross-section spanning Decentralized</w:t>
      </w:r>
      <w:r>
        <w:t xml:space="preserve"> </w:t>
      </w:r>
      <w:r>
        <w:t xml:space="preserve">Physical Infrastructure Networks (DePIN), DeFi, infrastructure, and</w:t>
      </w:r>
      <w:r>
        <w:t xml:space="preserve"> </w:t>
      </w:r>
      <w:r>
        <w:t xml:space="preserve">social token categories documents that team and investor allocation at</w:t>
      </w:r>
      <w:r>
        <w:t xml:space="preserve"> </w:t>
      </w:r>
      <w:r>
        <w:t xml:space="preserve">launch is uninformative about post-distribution governance concentration</w:t>
      </w:r>
      <w:r>
        <w:t xml:space="preserve"> </w:t>
      </w:r>
      <w:r>
        <w:t xml:space="preserve">(Pearson r = 0.17, p = 0.32, N = 37): protocols with generous community</w:t>
      </w:r>
      <w:r>
        <w:t xml:space="preserve"> </w:t>
      </w:r>
      <w:r>
        <w:t xml:space="preserve">distributions exhibit concentration patterns similar to those with heavy</w:t>
      </w:r>
      <w:r>
        <w:t xml:space="preserve"> </w:t>
      </w:r>
      <w:r>
        <w:t xml:space="preserve">insider allocations. Hyperliquid (zero venture capital, 31% community</w:t>
      </w:r>
      <w:r>
        <w:t xml:space="preserve"> </w:t>
      </w:r>
      <w:r>
        <w:t xml:space="preserve">airdrop) shows the lowest DeFi-subsample Herfindahl-Hirschman Index</w:t>
      </w:r>
      <w:r>
        <w:t xml:space="preserve"> </w:t>
      </w:r>
      <w:r>
        <w:t xml:space="preserve">(HHI) of 0.005, but the broader null holds across allocation designs.</w:t>
      </w:r>
      <w:r>
        <w:t xml:space="preserve"> </w:t>
      </w:r>
      <w:r>
        <w:t xml:space="preserve">Evidence is consistent with post-distribution market dynamics shaping</w:t>
      </w:r>
      <w:r>
        <w:t xml:space="preserve"> </w:t>
      </w:r>
      <w:r>
        <w:t xml:space="preserve">concentration more than initial structural design.</w:t>
      </w:r>
    </w:p>
    <w:p>
      <w:pPr>
        <w:pStyle w:val="BodyText"/>
      </w:pPr>
      <w:r>
        <w:t xml:space="preserve">Four supporting findings sharpen the picture. First, protocols with more</w:t>
      </w:r>
      <w:r>
        <w:t xml:space="preserve"> </w:t>
      </w:r>
      <w:r>
        <w:t xml:space="preserve">insider wallets in their top-holder sets exhibit higher concentration</w:t>
      </w:r>
      <w:r>
        <w:t xml:space="preserve"> </w:t>
      </w:r>
      <w:r>
        <w:t xml:space="preserve">among non-insider holders (Spearman rho = 0.54, p = 0.001, N = 34):</w:t>
      </w:r>
      <w:r>
        <w:t xml:space="preserve"> </w:t>
      </w:r>
      <w:r>
        <w:t xml:space="preserve">insider-heavy protocols develop concentrated governance ecosystems, not</w:t>
      </w:r>
      <w:r>
        <w:t xml:space="preserve"> </w:t>
      </w:r>
      <w:r>
        <w:t xml:space="preserve">merely concentrated insider positions. Second, sector membership</w:t>
      </w:r>
      <w:r>
        <w:t xml:space="preserve"> </w:t>
      </w:r>
      <w:r>
        <w:t xml:space="preserve">predicts concentration: DePIN exceeds DeFi (Mann-Whitney p = 0.016,</w:t>
      </w:r>
      <w:r>
        <w:t xml:space="preserve"> </w:t>
      </w:r>
      <w:r>
        <w:t xml:space="preserve">Cohen’s d = 1.10), and the effect survives across three nested OLS</w:t>
      </w:r>
      <w:r>
        <w:t xml:space="preserve"> </w:t>
      </w:r>
      <w:r>
        <w:t xml:space="preserve">specifications adding protocol age, log fully diluted valuation (FDV),</w:t>
      </w:r>
      <w:r>
        <w:t xml:space="preserve"> </w:t>
      </w:r>
      <w:r>
        <w:t xml:space="preserve">and initial insider allocation as successive controls (sector</w:t>
      </w:r>
      <w:r>
        <w:t xml:space="preserve"> </w:t>
      </w:r>
      <w:r>
        <w:t xml:space="preserve">coefficient p &lt; 0.05 in Models 1 and 2, borderline at p = 0.050 in</w:t>
      </w:r>
      <w:r>
        <w:t xml:space="preserve"> </w:t>
      </w:r>
      <w:r>
        <w:t xml:space="preserve">Model 3 with the full control set; adjusted R² 0.14 to 0.17; Table 6).</w:t>
      </w:r>
      <w:r>
        <w:t xml:space="preserve"> </w:t>
      </w:r>
      <w:r>
        <w:t xml:space="preserve">Third, on-chain subsidy intensity correlates with concentration in</w:t>
      </w:r>
      <w:r>
        <w:t xml:space="preserve"> </w:t>
      </w:r>
      <w:r>
        <w:t xml:space="preserve">levels (r = 0.57, p = 0.008, N = 20) but entirely through Livepeer</w:t>
      </w:r>
      <w:r>
        <w:t xml:space="preserve"> </w:t>
      </w:r>
      <w:r>
        <w:t xml:space="preserve">(88.5x subsidy); excluding Livepeer yields r = 0.11, p = 0.65. Fourth,</w:t>
      </w:r>
      <w:r>
        <w:t xml:space="preserve"> </w:t>
      </w:r>
      <w:r>
        <w:t xml:space="preserve">delegation concentrates governance power above the level measured from</w:t>
      </w:r>
      <w:r>
        <w:t xml:space="preserve"> </w:t>
      </w:r>
      <w:r>
        <w:t xml:space="preserve">token holdings in nine of ten protocols sampled (voting-power HHI</w:t>
      </w:r>
      <w:r>
        <w:t xml:space="preserve"> </w:t>
      </w:r>
      <w:r>
        <w:t xml:space="preserve">exceeds holding HHI by factors of 1.4x to 6.0x), with one structural</w:t>
      </w:r>
      <w:r>
        <w:t xml:space="preserve"> </w:t>
      </w:r>
      <w:r>
        <w:t xml:space="preserve">exception (ENS at 0.21x reflects a mature delegate program where</w:t>
      </w:r>
      <w:r>
        <w:t xml:space="preserve"> </w:t>
      </w:r>
      <w:r>
        <w:t xml:space="preserve">holders systematically delegate to a broad community-delegate set).</w:t>
      </w:r>
      <w:r>
        <w:t xml:space="preserve"> </w:t>
      </w:r>
      <w:r>
        <w:t xml:space="preserve">Two further vote-escrowed protocols (Curve and Balancer) show extreme</w:t>
      </w:r>
      <w:r>
        <w:t xml:space="preserve"> </w:t>
      </w:r>
      <w:r>
        <w:t xml:space="preserve">amplification (15x and 21x) under ve-token lock-duration weighting,</w:t>
      </w:r>
      <w:r>
        <w:t xml:space="preserve"> </w:t>
      </w:r>
      <w:r>
        <w:t xml:space="preserve">forming a distinct class. Variation in amplification across the</w:t>
      </w:r>
      <w:r>
        <w:t xml:space="preserve"> </w:t>
      </w:r>
      <w:r>
        <w:t xml:space="preserve">non-ve-token sample is not predicted by sector or governance venue</w:t>
      </w:r>
      <w:r>
        <w:t xml:space="preserve"> </w:t>
      </w:r>
      <w:r>
        <w:t xml:space="preserve">(Tally on-chain versus Snapshot off-chain), consistent with</w:t>
      </w:r>
      <w:r>
        <w:t xml:space="preserve"> </w:t>
      </w:r>
      <w:r>
        <w:t xml:space="preserve">institutional design at the delegate-program level governing both the</w:t>
      </w:r>
      <w:r>
        <w:t xml:space="preserve"> </w:t>
      </w:r>
      <w:r>
        <w:t xml:space="preserve">direction and magnitude of delegation’s effect on voting concentration.</w:t>
      </w:r>
    </w:p>
    <w:p>
      <w:pPr>
        <w:pStyle w:val="BodyText"/>
      </w:pPr>
      <w:r>
        <w:t xml:space="preserve">A measurement distinction underlies these findings. Token inequality</w:t>
      </w:r>
      <w:r>
        <w:t xml:space="preserve"> </w:t>
      </w:r>
      <w:r>
        <w:t xml:space="preserve">(Gini, dispersion across all holders) and governance concentration (HHI,</w:t>
      </w:r>
      <w:r>
        <w:t xml:space="preserve"> </w:t>
      </w:r>
      <w:r>
        <w:t xml:space="preserve">sum of squared top-holder shares) capture distinct properties of the</w:t>
      </w:r>
      <w:r>
        <w:t xml:space="preserve"> </w:t>
      </w:r>
      <w:r>
        <w:t xml:space="preserve">same holder set. Inequality is severe in every protocol (Gini 0.52 to</w:t>
      </w:r>
      <w:r>
        <w:t xml:space="preserve"> </w:t>
      </w:r>
      <w:r>
        <w:t xml:space="preserve">0.99), while concentration varies across two orders of magnitude (HHI</w:t>
      </w:r>
      <w:r>
        <w:t xml:space="preserve"> </w:t>
      </w:r>
      <w:r>
        <w:t xml:space="preserve">0.005 to 0.199); the moderate correlation (r = 0.51) confirms that</w:t>
      </w:r>
      <w:r>
        <w:t xml:space="preserve"> </w:t>
      </w:r>
      <w:r>
        <w:t xml:space="preserve">inequality metrics cannot substitute for direct concentration</w:t>
      </w:r>
      <w:r>
        <w:t xml:space="preserve"> </w:t>
      </w:r>
      <w:r>
        <w:t xml:space="preserve">measurement.</w:t>
      </w:r>
    </w:p>
    <w:p>
      <w:pPr>
        <w:pStyle w:val="BodyText"/>
      </w:pPr>
      <w:r>
        <w:rPr>
          <w:b/>
          <w:bCs/>
        </w:rPr>
        <w:t xml:space="preserve">JEL Codes:</w:t>
      </w:r>
      <w:r>
        <w:t xml:space="preserve"> </w:t>
      </w:r>
      <w:r>
        <w:t xml:space="preserve">C21 (Cross-Sectional Models), D02 (Institutions: Design,</w:t>
      </w:r>
      <w:r>
        <w:t xml:space="preserve"> </w:t>
      </w:r>
      <w:r>
        <w:t xml:space="preserve">Formation, Operations), D23 (Organizational Behavior; Transaction Costs;</w:t>
      </w:r>
      <w:r>
        <w:t xml:space="preserve"> </w:t>
      </w:r>
      <w:r>
        <w:t xml:space="preserve">Property Rights), D47 (Market Design), D63 (Equity, Justice,</w:t>
      </w:r>
      <w:r>
        <w:t xml:space="preserve"> </w:t>
      </w:r>
      <w:r>
        <w:t xml:space="preserve">Inequality), D71 (Social Choice; Clubs; Committees), D72 (Political</w:t>
      </w:r>
      <w:r>
        <w:t xml:space="preserve"> </w:t>
      </w:r>
      <w:r>
        <w:t xml:space="preserve">Processes), D74 (Conflict; Conflict Resolution; Alliances; Revolutions),</w:t>
      </w:r>
      <w:r>
        <w:t xml:space="preserve"> </w:t>
      </w:r>
      <w:r>
        <w:t xml:space="preserve">G30 (Corporate Finance and Governance: General), G34 (Mergers;</w:t>
      </w:r>
      <w:r>
        <w:t xml:space="preserve"> </w:t>
      </w:r>
      <w:r>
        <w:t xml:space="preserve">Acquisitions; Restructuring; Corporate Governance), L22 (Firm</w:t>
      </w:r>
      <w:r>
        <w:t xml:space="preserve"> </w:t>
      </w:r>
      <w:r>
        <w:t xml:space="preserve">Organization and Market Structure), O33 (Technological Change: Choices</w:t>
      </w:r>
      <w:r>
        <w:t xml:space="preserve"> </w:t>
      </w:r>
      <w:r>
        <w:t xml:space="preserve">and Consequences; Diffusion Processes), P48 (Political Economy; Legal</w:t>
      </w:r>
      <w:r>
        <w:t xml:space="preserve"> </w:t>
      </w:r>
      <w:r>
        <w:t xml:space="preserve">Institutions; Property Rights)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tokenomics, institutional design, governance</w:t>
      </w:r>
      <w:r>
        <w:t xml:space="preserve"> </w:t>
      </w:r>
      <w:r>
        <w:t xml:space="preserve">concentration, DAO governance, DePIN, delegation amplification,</w:t>
      </w:r>
      <w:r>
        <w:t xml:space="preserve"> </w:t>
      </w:r>
      <w:r>
        <w:t xml:space="preserve">Herfindahl-Hirschman Index, Pettit contestability, Rawlsian fairness,</w:t>
      </w:r>
      <w:r>
        <w:t xml:space="preserve"> </w:t>
      </w:r>
      <w:r>
        <w:t xml:space="preserve">Ostromian polycentricity, Hayekian knowledge-use, Kantian publicity,</w:t>
      </w:r>
      <w:r>
        <w:t xml:space="preserve"> </w:t>
      </w:r>
      <w:r>
        <w:t xml:space="preserve">five-lens framework, political philosophy of tokenomics, principal-agent</w:t>
      </w:r>
      <w:r>
        <w:t xml:space="preserve"> </w:t>
      </w:r>
      <w:r>
        <w:t xml:space="preserve">problem in delegated voting, burn-rule exclusion, protocol-controlled</w:t>
      </w:r>
      <w:r>
        <w:t xml:space="preserve"> </w:t>
      </w:r>
      <w:r>
        <w:t xml:space="preserve">address methodology, polycentric governance, blockchain governance,</w:t>
      </w:r>
      <w:r>
        <w:t xml:space="preserve"> </w:t>
      </w:r>
      <w:r>
        <w:t xml:space="preserve">voting power concentration, veCRV, governance HHI</w:t>
      </w:r>
    </w:p>
    <w:bookmarkEnd w:id="26"/>
    <w:bookmarkStart w:id="35" w:name="introduction"/>
    <w:p>
      <w:pPr>
        <w:pStyle w:val="Heading1"/>
      </w:pPr>
      <w:r>
        <w:t xml:space="preserve">1 Introduction</w:t>
      </w:r>
    </w:p>
    <w:bookmarkStart w:id="27" w:name="motivation"/>
    <w:p>
      <w:pPr>
        <w:pStyle w:val="Heading2"/>
      </w:pPr>
      <w:r>
        <w:t xml:space="preserve">1.1 Motivation</w:t>
      </w:r>
    </w:p>
    <w:p>
      <w:pPr>
        <w:pStyle w:val="FirstParagraph"/>
      </w:pPr>
      <w:r>
        <w:t xml:space="preserve">Three protocols with near-identical subsidy ratios exhibit governance</w:t>
      </w:r>
      <w:r>
        <w:t xml:space="preserve"> </w:t>
      </w:r>
      <w:r>
        <w:t xml:space="preserve">HHI spanning 0.020 to 0.153: financial sustainability is neither</w:t>
      </w:r>
      <w:r>
        <w:t xml:space="preserve"> </w:t>
      </w:r>
      <w:r>
        <w:t xml:space="preserve">necessary nor sufficient for governance decentralization (Section 3.4).</w:t>
      </w:r>
      <w:r>
        <w:t xml:space="preserve"> </w:t>
      </w:r>
      <w:r>
        <w:t xml:space="preserve">Governance concentration is a secondary market outcome, shaped by</w:t>
      </w:r>
      <w:r>
        <w:t xml:space="preserve"> </w:t>
      </w:r>
      <w:r>
        <w:t xml:space="preserve">post-distribution trading and accumulation dynamics that neither</w:t>
      </w:r>
      <w:r>
        <w:t xml:space="preserve"> </w:t>
      </w:r>
      <w:r>
        <w:t xml:space="preserve">allocation design nor protocol financial characteristics predict.</w:t>
      </w:r>
    </w:p>
    <w:p>
      <w:pPr>
        <w:pStyle w:val="BodyText"/>
      </w:pPr>
      <w:r>
        <w:t xml:space="preserve">Token-based governance is the default coordination mechanism for</w:t>
      </w:r>
      <w:r>
        <w:t xml:space="preserve"> </w:t>
      </w:r>
      <w:r>
        <w:t xml:space="preserve">billions of dollars in decentralized physical infrastructure (DePIN) and</w:t>
      </w:r>
      <w:r>
        <w:t xml:space="preserve"> </w:t>
      </w:r>
      <w:r>
        <w:t xml:space="preserve">decentralized finance (DeFi). But what determines whether governance</w:t>
      </w:r>
      <w:r>
        <w:t xml:space="preserve"> </w:t>
      </w:r>
      <w:r>
        <w:t xml:space="preserve">power concentrates or distributes? Three candidate explanations dominate</w:t>
      </w:r>
      <w:r>
        <w:t xml:space="preserve"> </w:t>
      </w:r>
      <w:r>
        <w:t xml:space="preserve">practitioner discourse: insider token allocation concentrates power;</w:t>
      </w:r>
      <w:r>
        <w:t xml:space="preserve"> </w:t>
      </w:r>
      <w:r>
        <w:t xml:space="preserve">subsidy dependence (high token emissions relative to revenue) entrenches</w:t>
      </w:r>
      <w:r>
        <w:t xml:space="preserve"> </w:t>
      </w:r>
      <w:r>
        <w:t xml:space="preserve">early holders; and younger protocols have not yet had time to</w:t>
      </w:r>
      <w:r>
        <w:t xml:space="preserve"> </w:t>
      </w:r>
      <w:r>
        <w:t xml:space="preserve">decentralize. This paper tests all three.</w:t>
      </w:r>
    </w:p>
    <w:p>
      <w:pPr>
        <w:pStyle w:val="BodyText"/>
      </w:pPr>
      <w:r>
        <w:t xml:space="preserve">We construct a 40-protocol governance concentration dataset spanning</w:t>
      </w:r>
      <w:r>
        <w:t xml:space="preserve"> </w:t>
      </w:r>
      <w:r>
        <w:t xml:space="preserve">DePIN and DeFi, develop a Blockscout-verified (a blockchain contract</w:t>
      </w:r>
      <w:r>
        <w:t xml:space="preserve"> </w:t>
      </w:r>
      <w:r>
        <w:t xml:space="preserve">verification tool) exclusion methodology to remove 69</w:t>
      </w:r>
      <w:r>
        <w:t xml:space="preserve"> </w:t>
      </w:r>
      <w:r>
        <w:t xml:space="preserve">protocol-controlled addresses (staking contracts, exchange custodians,</w:t>
      </w:r>
      <w:r>
        <w:t xml:space="preserve"> </w:t>
      </w:r>
      <w:r>
        <w:t xml:space="preserve">vesting locks, and protocol treasuries) from HHI computation, and test</w:t>
      </w:r>
      <w:r>
        <w:t xml:space="preserve"> </w:t>
      </w:r>
      <w:r>
        <w:t xml:space="preserve">every available cross-sectional predictor of concentration using both</w:t>
      </w:r>
      <w:r>
        <w:t xml:space="preserve"> </w:t>
      </w:r>
      <w:r>
        <w:t xml:space="preserve">parametric and rank-based methods.</w:t>
      </w:r>
    </w:p>
    <w:p>
      <w:pPr>
        <w:pStyle w:val="BodyText"/>
      </w:pPr>
      <w:r>
        <w:t xml:space="preserve">Four findings emerge. First, naive token holder lists include addresses</w:t>
      </w:r>
      <w:r>
        <w:t xml:space="preserve"> </w:t>
      </w:r>
      <w:r>
        <w:t xml:space="preserve">that cannot vote: staking contracts, exchange custodians, vesting locks,</w:t>
      </w:r>
      <w:r>
        <w:t xml:space="preserve"> </w:t>
      </w:r>
      <w:r>
        <w:t xml:space="preserve">and protocol treasuries. Across 20 protocols, 69 such addresses were</w:t>
      </w:r>
      <w:r>
        <w:t xml:space="preserve"> </w:t>
      </w:r>
      <w:r>
        <w:t xml:space="preserve">included in prior concentration measurements, inflating affected</w:t>
      </w:r>
      <w:r>
        <w:t xml:space="preserve"> </w:t>
      </w:r>
      <w:r>
        <w:t xml:space="preserve">protocols’ HHI by up to 7x. Second, current insider wallet retention</w:t>
      </w:r>
      <w:r>
        <w:t xml:space="preserve"> </w:t>
      </w:r>
      <w:r>
        <w:t xml:space="preserve">predicts governance concentration (Spearman rho = 0.48, p = 0.003, N =</w:t>
      </w:r>
      <w:r>
        <w:t xml:space="preserve"> </w:t>
      </w:r>
      <w:r>
        <w:t xml:space="preserve">37), while initial allocation design does not (Section 3.4). Third,</w:t>
      </w:r>
      <w:r>
        <w:t xml:space="preserve"> </w:t>
      </w:r>
      <w:r>
        <w:t xml:space="preserve">DePIN governance concentration is higher than DeFi after exclusion</w:t>
      </w:r>
      <w:r>
        <w:t xml:space="preserve"> </w:t>
      </w:r>
      <w:r>
        <w:t xml:space="preserve">correction (Mann-Whitney p = 0.016, Cohen’s d = 1.03), and the finding</w:t>
      </w:r>
      <w:r>
        <w:t xml:space="preserve"> </w:t>
      </w:r>
      <w:r>
        <w:t xml:space="preserve">is robust to single-protocol exclusion (significant in all 30 of 30</w:t>
      </w:r>
      <w:r>
        <w:t xml:space="preserve"> </w:t>
      </w:r>
      <w:r>
        <w:t xml:space="preserve">leave-one-out iterations). Fourth, delegation concentrates governance power in nine of ten</w:t>
      </w:r>
      <w:r>
        <w:t xml:space="preserve"> </w:t>
      </w:r>
      <w:r>
        <w:t xml:space="preserve">protocols sampled, with amplification factors of 1.4x (GMX), 1.9x</w:t>
      </w:r>
      <w:r>
        <w:t xml:space="preserve"> </w:t>
      </w:r>
      <w:r>
        <w:t xml:space="preserve">(Compound), 2.3x (Lido), 2.7x (Uniswap), 3.3x (WeatherXM), 3.7x</w:t>
      </w:r>
      <w:r>
        <w:t xml:space="preserve"> </w:t>
      </w:r>
      <w:r>
        <w:t xml:space="preserve">(Optimism), 3.8x (Aave), 4.3x (Arbitrum), and 6.0x (DIMO). One protocol</w:t>
      </w:r>
      <w:r>
        <w:t xml:space="preserve"> </w:t>
      </w:r>
      <w:r>
        <w:t xml:space="preserve">(ENS) shows delegation-mediated dispersion at ratio 0.21x, reflecting</w:t>
      </w:r>
      <w:r>
        <w:t xml:space="preserve"> </w:t>
      </w:r>
      <w:r>
        <w:t xml:space="preserve">a mature delegate program where holders systematically delegate to a</w:t>
      </w:r>
      <w:r>
        <w:t xml:space="preserve"> </w:t>
      </w:r>
      <w:r>
        <w:t xml:space="preserve">broader community-delegate set. The two protocols previously cited as</w:t>
      </w:r>
      <w:r>
        <w:t xml:space="preserve"> </w:t>
      </w:r>
      <w:r>
        <w:t xml:space="preserve">showing dispersion (Uniswap, Optimism) do so only when holding HHI is</w:t>
      </w:r>
      <w:r>
        <w:t xml:space="preserve"> </w:t>
      </w:r>
      <w:r>
        <w:t xml:space="preserve">measured without excluding addresses that cannot vote, such as burn</w:t>
      </w:r>
      <w:r>
        <w:t xml:space="preserve"> </w:t>
      </w:r>
      <w:r>
        <w:t xml:space="preserve">wallets and foundation treasuries; once those exclusions are applied</w:t>
      </w:r>
      <w:r>
        <w:t xml:space="preserve"> </w:t>
      </w:r>
      <w:r>
        <w:t xml:space="preserve">consistently with Table 4, both protocols join the amplification</w:t>
      </w:r>
      <w:r>
        <w:t xml:space="preserve"> </w:t>
      </w:r>
      <w:r>
        <w:t xml:space="preserve">pattern. Curve and Balancer (vote-escrowed governance via veCRV and</w:t>
      </w:r>
      <w:r>
        <w:t xml:space="preserve"> </w:t>
      </w:r>
      <w:r>
        <w:t xml:space="preserve">veBAL) show extreme amplification (15x and 21x) reflecting lock-duration</w:t>
      </w:r>
      <w:r>
        <w:t xml:space="preserve"> </w:t>
      </w:r>
      <w:r>
        <w:t xml:space="preserve">weighting and form a distinct class discussed in Section 4.1.</w:t>
      </w:r>
      <w:r>
        <w:t xml:space="preserve"> </w:t>
      </w:r>
      <w:r>
        <w:t xml:space="preserve">Institutional design within each delegate program governs both whether</w:t>
      </w:r>
      <w:r>
        <w:t xml:space="preserve"> </w:t>
      </w:r>
      <w:r>
        <w:t xml:space="preserve">delegation concentrates power and how strongly.</w:t>
      </w:r>
    </w:p>
    <w:p>
      <w:pPr>
        <w:pStyle w:val="BodyText"/>
      </w:pPr>
      <w:r>
        <w:t xml:space="preserve">Beyond the four empirical findings, the framework itself contributes a</w:t>
      </w:r>
      <w:r>
        <w:t xml:space="preserve"> </w:t>
      </w:r>
      <w:r>
        <w:t xml:space="preserve">two-layer methodological structure (Section 2.10.1) distinguishing the</w:t>
      </w:r>
      <w:r>
        <w:t xml:space="preserve"> </w:t>
      </w:r>
      <w:r>
        <w:t xml:space="preserve">philosophical goal-state Layer 1 (what the tradition aims to secure)</w:t>
      </w:r>
      <w:r>
        <w:t xml:space="preserve"> </w:t>
      </w:r>
      <w:r>
        <w:t xml:space="preserve">from the operational mechanism Layer 2 (what is observable in protocol</w:t>
      </w:r>
      <w:r>
        <w:t xml:space="preserve"> </w:t>
      </w:r>
      <w:r>
        <w:t xml:space="preserve">design and scored in Table 1). The two-layer structure prevents the</w:t>
      </w:r>
      <w:r>
        <w:t xml:space="preserve"> </w:t>
      </w:r>
      <w:r>
        <w:t xml:space="preserve">common conflation of goal with mechanism that recurs across existing</w:t>
      </w:r>
      <w:r>
        <w:t xml:space="preserve"> </w:t>
      </w:r>
      <w:r>
        <w:t xml:space="preserve">DAO-governance assessment frameworks (Section 4.5). The PCA exclusion</w:t>
      </w:r>
      <w:r>
        <w:t xml:space="preserve"> </w:t>
      </w:r>
      <w:r>
        <w:t xml:space="preserve">methodology applied across the cross-section also generalizes via the</w:t>
      </w:r>
      <w:r>
        <w:t xml:space="preserve"> </w:t>
      </w:r>
      <w:r>
        <w:t xml:space="preserve">five-class typology codified in Section 2.10.10 (burn destinations;</w:t>
      </w:r>
      <w:r>
        <w:t xml:space="preserve"> </w:t>
      </w:r>
      <w:r>
        <w:t xml:space="preserve">foundation and treasury custody; staking-aggregation contracts; bridge</w:t>
      </w:r>
      <w:r>
        <w:t xml:space="preserve"> </w:t>
      </w:r>
      <w:r>
        <w:t xml:space="preserve">custody and migration addresses), supporting uniform replication and</w:t>
      </w:r>
      <w:r>
        <w:t xml:space="preserve"> </w:t>
      </w:r>
      <w:r>
        <w:t xml:space="preserve">extension to other token-governance datasets.</w:t>
      </w:r>
    </w:p>
    <w:p>
      <w:pPr>
        <w:pStyle w:val="BodyText"/>
      </w:pPr>
      <w:r>
        <w:t xml:space="preserve">Recent scoping work by Alshater (2026) systematically maps the DePIN</w:t>
      </w:r>
      <w:r>
        <w:t xml:space="preserve"> </w:t>
      </w:r>
      <w:r>
        <w:t xml:space="preserve">tokenomics design space, identifying the burn-and-mint equilibrium,</w:t>
      </w:r>
      <w:r>
        <w:t xml:space="preserve"> </w:t>
      </w:r>
      <w:r>
        <w:t xml:space="preserve">governance-calibrated issuance, and provider staking as the dominant</w:t>
      </w:r>
      <w:r>
        <w:t xml:space="preserve"> </w:t>
      </w:r>
      <w:r>
        <w:t xml:space="preserve">economic primitives across leading deployments. Alshater explicitly</w:t>
      </w:r>
      <w:r>
        <w:t xml:space="preserve"> </w:t>
      </w:r>
      <w:r>
        <w:t xml:space="preserve">frames decentralization as a spectrum rather than a binary property,</w:t>
      </w:r>
      <w:r>
        <w:t xml:space="preserve"> </w:t>
      </w:r>
      <w:r>
        <w:t xml:space="preserve">echoing analyses of decentralized governance for cyber-physical systems</w:t>
      </w:r>
      <w:r>
        <w:t xml:space="preserve"> </w:t>
      </w:r>
      <w:r>
        <w:t xml:space="preserve">(Nabben et al., 2024), and identifies the lack of rigorous quantitative</w:t>
      </w:r>
      <w:r>
        <w:t xml:space="preserve"> </w:t>
      </w:r>
      <w:r>
        <w:t xml:space="preserve">empirical work on these models as the field’s most pressing research</w:t>
      </w:r>
      <w:r>
        <w:t xml:space="preserve"> </w:t>
      </w:r>
      <w:r>
        <w:t xml:space="preserve">gap. The cross-sectional measurement reported here responds to that gap,</w:t>
      </w:r>
      <w:r>
        <w:t xml:space="preserve"> </w:t>
      </w:r>
      <w:r>
        <w:t xml:space="preserve">applying Herfindahl-Hirschman Index analysis to forty protocols spanning</w:t>
      </w:r>
      <w:r>
        <w:t xml:space="preserve"> </w:t>
      </w:r>
      <w:r>
        <w:t xml:space="preserve">DePIN and adjacent categories.</w:t>
      </w:r>
    </w:p>
    <w:p>
      <w:pPr>
        <w:pStyle w:val="BodyText"/>
      </w:pPr>
      <w:r>
        <w:t xml:space="preserve">These results extend the governance concentration literature (Barbereau</w:t>
      </w:r>
      <w:r>
        <w:t xml:space="preserve"> </w:t>
      </w:r>
      <w:r>
        <w:t xml:space="preserve">et al., 2023; Feichtinger et al., 2023; Cong et al., 2025) in three</w:t>
      </w:r>
      <w:r>
        <w:t xml:space="preserve"> </w:t>
      </w:r>
      <w:r>
        <w:t xml:space="preserve">directions: an exclusion methodology that corrects a systematic</w:t>
      </w:r>
      <w:r>
        <w:t xml:space="preserve"> </w:t>
      </w:r>
      <w:r>
        <w:t xml:space="preserve">measurement artifact in prior work, a cross-sector null documenting that</w:t>
      </w:r>
      <w:r>
        <w:t xml:space="preserve"> </w:t>
      </w:r>
      <w:r>
        <w:t xml:space="preserve">neither revenue, subsidy intensity, token maturity, nor initial</w:t>
      </w:r>
      <w:r>
        <w:t xml:space="preserve"> </w:t>
      </w:r>
      <w:r>
        <w:t xml:space="preserve">allocation predicts governance concentration, and a normative framework</w:t>
      </w:r>
      <w:r>
        <w:t xml:space="preserve"> </w:t>
      </w:r>
      <w:r>
        <w:t xml:space="preserve">translating five political-philosophical traditions into observable</w:t>
      </w:r>
      <w:r>
        <w:t xml:space="preserve"> </w:t>
      </w:r>
      <w:r>
        <w:t xml:space="preserve">design criteria for tokenized institutions. To evaluate what</w:t>
      </w:r>
      <w:r>
        <w:t xml:space="preserve"> </w:t>
      </w:r>
      <w:r>
        <w:t xml:space="preserve">concentration means for institutional legitimacy, the framework</w:t>
      </w:r>
      <w:r>
        <w:t xml:space="preserve"> </w:t>
      </w:r>
      <w:r>
        <w:t xml:space="preserve">operationalizes constraints from Kant (publicity), Rawls (floor</w:t>
      </w:r>
      <w:r>
        <w:t xml:space="preserve"> </w:t>
      </w:r>
      <w:r>
        <w:t xml:space="preserve">protection), Pettit (non-domination), Ostrom (polycentricity), and Hayek</w:t>
      </w:r>
      <w:r>
        <w:t xml:space="preserve"> </w:t>
      </w:r>
      <w:r>
        <w:t xml:space="preserve">(dispersed knowledge) through a scoring rubric that other researchers</w:t>
      </w:r>
      <w:r>
        <w:t xml:space="preserve"> </w:t>
      </w:r>
      <w:r>
        <w:t xml:space="preserve">can apply. This paper is part of a research program examining</w:t>
      </w:r>
      <w:r>
        <w:t xml:space="preserve"> </w:t>
      </w:r>
      <w:r>
        <w:t xml:space="preserve">infrastructure-layer design across stablecoin, tokenized asset, and</w:t>
      </w:r>
      <w:r>
        <w:t xml:space="preserve"> </w:t>
      </w:r>
      <w:r>
        <w:t xml:space="preserve">DePIN domains. The program's unifying thesis: regulation and audit</w:t>
      </w:r>
      <w:r>
        <w:t xml:space="preserve"> </w:t>
      </w:r>
      <w:r>
        <w:t xml:space="preserve">should target the operators and control systems that issue, custody, and</w:t>
      </w:r>
      <w:r>
        <w:t xml:space="preserve"> </w:t>
      </w:r>
      <w:r>
        <w:t xml:space="preserve">route tokens, rather than the tokens themselves.</w:t>
      </w:r>
    </w:p>
    <w:bookmarkEnd w:id="27"/>
    <w:bookmarkStart w:id="28" w:name="X8810652b8a479864976882e1b5c049212e44fd3"/>
    <w:p>
      <w:pPr>
        <w:pStyle w:val="Heading2"/>
      </w:pPr>
      <w:r>
        <w:t xml:space="preserve">1.2 Core Thesis: Tokenomics Is Applied Political Philosophy</w:t>
      </w:r>
    </w:p>
    <w:p>
      <w:pPr>
        <w:pStyle w:val="FirstParagraph"/>
      </w:pPr>
      <w:r>
        <w:t xml:space="preserve">The central claim:</w:t>
      </w:r>
    </w:p>
    <w:p>
      <w:pPr>
        <w:pStyle w:val="BodyText"/>
      </w:pPr>
      <w:r>
        <w:rPr>
          <w:b/>
          <w:bCs/>
        </w:rPr>
        <w:t xml:space="preserve">Tokenomics is applied political philosophy: the encoding of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governance, rights, duties, distributive choices, and legitimacy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constraints into a rule system with economic incentives and automated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enforcement.</w:t>
      </w:r>
    </w:p>
    <w:p>
      <w:pPr>
        <w:pStyle w:val="BodyText"/>
      </w:pPr>
      <w:r>
        <w:t xml:space="preserve">In practical terms: every decision about how tokens are distributed, who</w:t>
      </w:r>
      <w:r>
        <w:t xml:space="preserve"> </w:t>
      </w:r>
      <w:r>
        <w:t xml:space="preserve">can vote, what can be changed, and how violations are punished is</w:t>
      </w:r>
      <w:r>
        <w:t xml:space="preserve"> </w:t>
      </w:r>
      <w:r>
        <w:t xml:space="preserve">simultaneously an economic design choice and a political one.</w:t>
      </w:r>
    </w:p>
    <w:p>
      <w:pPr>
        <w:pStyle w:val="BodyText"/>
      </w:pPr>
      <w:r>
        <w:t xml:space="preserve">Political philosophy asks:</w:t>
      </w:r>
      <w:r>
        <w:rPr>
          <w:i/>
          <w:iCs/>
        </w:rPr>
        <w:t xml:space="preserve">What makes a rule system just, stable, and</w:t>
      </w:r>
      <w:r>
        <w:rPr>
          <w:i/>
          <w:iCs/>
        </w:rPr>
        <w:t xml:space="preserve"> </w:t>
      </w:r>
      <w:r>
        <w:rPr>
          <w:i/>
          <w:iCs/>
        </w:rPr>
        <w:t xml:space="preserve">worth participating in?</w:t>
      </w:r>
      <w:r>
        <w:t xml:space="preserve"> </w:t>
      </w:r>
      <w:r>
        <w:t xml:space="preserve">Tokenomics asks:</w:t>
      </w:r>
      <w:r>
        <w:t xml:space="preserve"> </w:t>
      </w:r>
      <w:r>
        <w:rPr>
          <w:i/>
          <w:iCs/>
        </w:rPr>
        <w:t xml:space="preserve">What rules and incentives</w:t>
      </w:r>
      <w:r>
        <w:rPr>
          <w:i/>
          <w:iCs/>
        </w:rPr>
        <w:t xml:space="preserve"> </w:t>
      </w:r>
      <w:r>
        <w:rPr>
          <w:i/>
          <w:iCs/>
        </w:rPr>
        <w:t xml:space="preserve">produce participation, security, sustainability, and coordination under</w:t>
      </w:r>
      <w:r>
        <w:rPr>
          <w:i/>
          <w:iCs/>
        </w:rPr>
        <w:t xml:space="preserve"> </w:t>
      </w:r>
      <w:r>
        <w:rPr>
          <w:i/>
          <w:iCs/>
        </w:rPr>
        <w:t xml:space="preserve">strategic behavior?</w:t>
      </w:r>
      <w:r>
        <w:t xml:space="preserve"> </w:t>
      </w:r>
      <w:r>
        <w:t xml:space="preserve">In tokenized systems, these questions converge.</w:t>
      </w:r>
      <w:r>
        <w:t xml:space="preserve"> </w:t>
      </w:r>
      <w:r>
        <w:t xml:space="preserve">Economic design choices are simultaneously political choices: they</w:t>
      </w:r>
      <w:r>
        <w:t xml:space="preserve"> </w:t>
      </w:r>
      <w:r>
        <w:t xml:space="preserve">distribute power and resources, shape inclusion or exclusion, and</w:t>
      </w:r>
      <w:r>
        <w:t xml:space="preserve"> </w:t>
      </w:r>
      <w:r>
        <w:t xml:space="preserve">determine whether participants view outcomes as fair and contestable.</w:t>
      </w:r>
    </w:p>
    <w:p>
      <w:pPr>
        <w:pStyle w:val="BodyText"/>
      </w:pPr>
      <w:r>
        <w:t xml:space="preserve">Philosophical principles function here not as commentary but as</w:t>
      </w:r>
      <w:r>
        <w:t xml:space="preserve"> </w:t>
      </w:r>
      <w:r>
        <w:t xml:space="preserve">specification: constraints and requirements that token mechanisms should</w:t>
      </w:r>
      <w:r>
        <w:t xml:space="preserve"> </w:t>
      </w:r>
      <w:r>
        <w:t xml:space="preserve">satisfy. It draws particularly on:</w:t>
      </w:r>
    </w:p>
    <w:p>
      <w:pPr>
        <w:pStyle w:val="BodyText"/>
      </w:pPr>
      <w:r>
        <w:rPr>
          <w:b/>
          <w:bCs/>
        </w:rPr>
        <w:t xml:space="preserve">Kantian publicity and right</w:t>
      </w:r>
      <w:r>
        <w:t xml:space="preserve"> </w:t>
      </w:r>
      <w:r>
        <w:t xml:space="preserve">(rules must be publicly avowable;</w:t>
      </w:r>
      <w:r>
        <w:t xml:space="preserve"> </w:t>
      </w:r>
      <w:r>
        <w:t xml:space="preserve">enforcement must respect due process and non-arbitrary coercion),</w:t>
      </w:r>
    </w:p>
    <w:p>
      <w:pPr>
        <w:pStyle w:val="BodyText"/>
      </w:pPr>
      <w:r>
        <w:rPr>
          <w:b/>
          <w:bCs/>
        </w:rPr>
        <w:t xml:space="preserve">Rawlsian legitimacy and floor protection</w:t>
      </w:r>
      <w:r>
        <w:t xml:space="preserve"> </w:t>
      </w:r>
      <w:r>
        <w:t xml:space="preserve">(rules should be defensible</w:t>
      </w:r>
      <w:r>
        <w:t xml:space="preserve"> </w:t>
      </w:r>
      <w:r>
        <w:t xml:space="preserve">under public reason; distribution should not sacrifice the least</w:t>
      </w:r>
      <w:r>
        <w:t xml:space="preserve"> </w:t>
      </w:r>
      <w:r>
        <w:t xml:space="preserve">advantaged),</w:t>
      </w:r>
    </w:p>
    <w:p>
      <w:pPr>
        <w:pStyle w:val="BodyText"/>
      </w:pPr>
      <w:r>
        <w:rPr>
          <w:b/>
          <w:bCs/>
        </w:rPr>
        <w:t xml:space="preserve">Republican non-domination</w:t>
      </w:r>
      <w:r>
        <w:t xml:space="preserve"> </w:t>
      </w:r>
      <w:r>
        <w:t xml:space="preserve">(participants should not be vulnerable to</w:t>
      </w:r>
      <w:r>
        <w:t xml:space="preserve"> </w:t>
      </w:r>
      <w:r>
        <w:t xml:space="preserve">arbitrary interference; contestability is essential),</w:t>
      </w:r>
    </w:p>
    <w:p>
      <w:pPr>
        <w:pStyle w:val="BodyText"/>
      </w:pPr>
      <w:r>
        <w:rPr>
          <w:b/>
          <w:bCs/>
        </w:rPr>
        <w:t xml:space="preserve">Ostromian polycentric governance</w:t>
      </w:r>
      <w:r>
        <w:t xml:space="preserve"> </w:t>
      </w:r>
      <w:r>
        <w:t xml:space="preserve">(multiple centers of rule-making</w:t>
      </w:r>
      <w:r>
        <w:t xml:space="preserve"> </w:t>
      </w:r>
      <w:r>
        <w:t xml:space="preserve">and monitoring improve robustness in complex commons),</w:t>
      </w:r>
    </w:p>
    <w:p>
      <w:pPr>
        <w:pStyle w:val="BodyText"/>
      </w:pPr>
      <w:r>
        <w:rPr>
          <w:b/>
          <w:bCs/>
        </w:rPr>
        <w:t xml:space="preserve">Hayekian dispersed knowledge</w:t>
      </w:r>
      <w:r>
        <w:t xml:space="preserve"> </w:t>
      </w:r>
      <w:r>
        <w:t xml:space="preserve">(local signals and edge decision-making</w:t>
      </w:r>
      <w:r>
        <w:t xml:space="preserve"> </w:t>
      </w:r>
      <w:r>
        <w:t xml:space="preserve">outperform centralized tuning in heterogeneous environments),</w:t>
      </w:r>
    </w:p>
    <w:p>
      <w:pPr>
        <w:pStyle w:val="BodyText"/>
      </w:pPr>
      <w:r>
        <w:rPr>
          <w:b/>
          <w:bCs/>
        </w:rPr>
        <w:t xml:space="preserve">Capabilities and information ethics</w:t>
      </w:r>
      <w:r>
        <w:t xml:space="preserve"> </w:t>
      </w:r>
      <w:r>
        <w:t xml:space="preserve">(success includes social</w:t>
      </w:r>
      <w:r>
        <w:t xml:space="preserve"> </w:t>
      </w:r>
      <w:r>
        <w:t xml:space="preserve">opportunity and privacy-preserving participation, not only token price</w:t>
      </w:r>
      <w:r>
        <w:t xml:space="preserve"> </w:t>
      </w:r>
      <w:r>
        <w:t xml:space="preserve">and growth).</w:t>
      </w:r>
    </w:p>
    <w:p>
      <w:pPr>
        <w:pStyle w:val="BodyText"/>
      </w:pPr>
      <w:r>
        <w:t xml:space="preserve">The resulting framework is explicitly cross-disciplinary: it aims to</w:t>
      </w:r>
      <w:r>
        <w:t xml:space="preserve"> </w:t>
      </w:r>
      <w:r>
        <w:t xml:space="preserve">speak simultaneously to political philosophy, economics/public policy,</w:t>
      </w:r>
      <w:r>
        <w:t xml:space="preserve"> </w:t>
      </w:r>
      <w:r>
        <w:t xml:space="preserve">computer science/security, law, and Science and Technology Studies</w:t>
      </w:r>
      <w:r>
        <w:t xml:space="preserve"> </w:t>
      </w:r>
      <w:r>
        <w:t xml:space="preserve">(STS).</w:t>
      </w:r>
    </w:p>
    <w:bookmarkEnd w:id="28"/>
    <w:bookmarkStart w:id="29" w:name="research-questions"/>
    <w:p>
      <w:pPr>
        <w:pStyle w:val="Heading2"/>
      </w:pPr>
      <w:r>
        <w:t xml:space="preserve">1.3 Research Questions</w:t>
      </w:r>
    </w:p>
    <w:p>
      <w:pPr>
        <w:pStyle w:val="FirstParagraph"/>
      </w:pPr>
      <w:r>
        <w:t xml:space="preserve">Three research questions guide the analysis:</w:t>
      </w:r>
    </w:p>
    <w:p>
      <w:pPr>
        <w:pStyle w:val="BodyText"/>
      </w:pPr>
      <w:r>
        <w:t xml:space="preserve">RQ1: Can normative political philosophy be systematically translated</w:t>
      </w:r>
      <w:r>
        <w:t xml:space="preserve"> </w:t>
      </w:r>
      <w:r>
        <w:t xml:space="preserve">into evaluable design criteria for tokenized institutions? If so, what</w:t>
      </w:r>
      <w:r>
        <w:t xml:space="preserve"> </w:t>
      </w:r>
      <w:r>
        <w:t xml:space="preserve">does the resulting framework reveal about the legitimacy properties of</w:t>
      </w:r>
      <w:r>
        <w:t xml:space="preserve"> </w:t>
      </w:r>
      <w:r>
        <w:t xml:space="preserve">existing protocols?</w:t>
      </w:r>
    </w:p>
    <w:p>
      <w:pPr>
        <w:pStyle w:val="BodyText"/>
      </w:pPr>
      <w:r>
        <w:t xml:space="preserve">RQ2: What does the distribution of governance tokens reveal about</w:t>
      </w:r>
      <w:r>
        <w:t xml:space="preserve"> </w:t>
      </w:r>
      <w:r>
        <w:t xml:space="preserve">concentration of power in tokenized institutions, and how do DePIN</w:t>
      </w:r>
      <w:r>
        <w:t xml:space="preserve"> </w:t>
      </w:r>
      <w:r>
        <w:t xml:space="preserve">protocols compare to established DeFi governance systems?</w:t>
      </w:r>
    </w:p>
    <w:p>
      <w:pPr>
        <w:pStyle w:val="BodyText"/>
      </w:pPr>
      <w:r>
        <w:t xml:space="preserve">RQ3: What design hypotheses emerge from the normative framework, and</w:t>
      </w:r>
      <w:r>
        <w:t xml:space="preserve"> </w:t>
      </w:r>
      <w:r>
        <w:t xml:space="preserve">which are supported by the governance concentration evidence?</w:t>
      </w:r>
      <w:r>
        <w:t xml:space="preserve"> </w:t>
      </w:r>
      <w:r>
        <w:t xml:space="preserve">Longitudinal case evidence on Helium's fiscal sustainability and demand</w:t>
      </w:r>
      <w:r>
        <w:t xml:space="preserve"> </w:t>
      </w:r>
      <w:r>
        <w:t xml:space="preserve">concentration is developed in a separate study (Zukowski, 2026a).</w:t>
      </w:r>
    </w:p>
    <w:bookmarkEnd w:id="29"/>
    <w:bookmarkStart w:id="33" w:name="scope-assumptions-and-limitations"/>
    <w:p>
      <w:pPr>
        <w:pStyle w:val="Heading2"/>
      </w:pPr>
      <w:r>
        <w:t xml:space="preserve">1.4 Scope, Assumptions, and Limitations</w:t>
      </w:r>
    </w:p>
    <w:bookmarkStart w:id="30" w:name="scope"/>
    <w:p>
      <w:pPr>
        <w:pStyle w:val="Heading3"/>
      </w:pPr>
      <w:r>
        <w:t xml:space="preserve">1.4.1 Scope</w:t>
      </w:r>
    </w:p>
    <w:p>
      <w:pPr>
        <w:pStyle w:val="FirstParagraph"/>
      </w:pPr>
      <w:r>
        <w:t xml:space="preserve">The empirical analysis focuses on tokenized systems between 2017 and</w:t>
      </w:r>
      <w:r>
        <w:t xml:space="preserve"> </w:t>
      </w:r>
      <w:r>
        <w:t xml:space="preserve">2025 across DeFi, infrastructure protocols, DAOs, and DePIN networks.</w:t>
      </w:r>
      <w:r>
        <w:t xml:space="preserve"> </w:t>
      </w:r>
      <w:r>
        <w:t xml:space="preserve">The core analytic target is</w:t>
      </w:r>
      <w:r>
        <w:t xml:space="preserve"> </w:t>
      </w:r>
      <w:r>
        <w:rPr>
          <w:b/>
          <w:bCs/>
        </w:rPr>
        <w:t xml:space="preserve">institutional design quality</w:t>
      </w:r>
      <w:r>
        <w:t xml:space="preserve"> </w:t>
      </w:r>
      <w:r>
        <w:t xml:space="preserve">rather than</w:t>
      </w:r>
      <w:r>
        <w:t xml:space="preserve"> </w:t>
      </w:r>
      <w:r>
        <w:t xml:space="preserve">short-term market performance.</w:t>
      </w:r>
    </w:p>
    <w:bookmarkEnd w:id="30"/>
    <w:bookmarkStart w:id="31" w:name="assumptions"/>
    <w:p>
      <w:pPr>
        <w:pStyle w:val="Heading3"/>
      </w:pPr>
      <w:r>
        <w:t xml:space="preserve">1.4.2 Assumptions</w:t>
      </w:r>
    </w:p>
    <w:p>
      <w:pPr>
        <w:pStyle w:val="FirstParagraph"/>
      </w:pPr>
      <w:r>
        <w:rPr>
          <w:b/>
          <w:bCs/>
        </w:rPr>
        <w:t xml:space="preserve">Participants are strategic</w:t>
      </w:r>
      <w:r>
        <w:t xml:space="preserve">; incentives and governance rules shape</w:t>
      </w:r>
      <w:r>
        <w:t xml:space="preserve"> </w:t>
      </w:r>
      <w:r>
        <w:t xml:space="preserve">behavior.</w:t>
      </w:r>
    </w:p>
    <w:p>
      <w:pPr>
        <w:pStyle w:val="BodyText"/>
      </w:pPr>
      <w:r>
        <w:rPr>
          <w:b/>
          <w:bCs/>
        </w:rPr>
        <w:t xml:space="preserve">Legitimacy affects participation</w:t>
      </w:r>
      <w:r>
        <w:t xml:space="preserve"> </w:t>
      </w:r>
      <w:r>
        <w:t xml:space="preserve">persistence and willingness to</w:t>
      </w:r>
      <w:r>
        <w:t xml:space="preserve"> </w:t>
      </w:r>
      <w:r>
        <w:t xml:space="preserve">invest in long-run cooperation.</w:t>
      </w:r>
    </w:p>
    <w:p>
      <w:pPr>
        <w:pStyle w:val="BodyText"/>
      </w:pPr>
      <w:r>
        <w:rPr>
          <w:b/>
          <w:bCs/>
        </w:rPr>
        <w:t xml:space="preserve">Public rule systems</w:t>
      </w:r>
      <w:r>
        <w:t xml:space="preserve"> </w:t>
      </w:r>
      <w:r>
        <w:t xml:space="preserve">can be observed and scored with acceptable</w:t>
      </w:r>
      <w:r>
        <w:t xml:space="preserve"> </w:t>
      </w:r>
      <w:r>
        <w:t xml:space="preserve">reliability using well-defined rubrics.</w:t>
      </w:r>
    </w:p>
    <w:bookmarkEnd w:id="31"/>
    <w:bookmarkStart w:id="32" w:name="limitations"/>
    <w:p>
      <w:pPr>
        <w:pStyle w:val="Heading3"/>
      </w:pPr>
      <w:r>
        <w:t xml:space="preserve">1.4.3 Limitations</w:t>
      </w:r>
    </w:p>
    <w:p>
      <w:pPr>
        <w:pStyle w:val="FirstParagraph"/>
      </w:pPr>
      <w:r>
        <w:t xml:space="preserve">Construct validity: translating philosophical traditions into observable</w:t>
      </w:r>
      <w:r>
        <w:t xml:space="preserve"> </w:t>
      </w:r>
      <w:r>
        <w:t xml:space="preserve">governance features carries inherent simplification risks.</w:t>
      </w:r>
    </w:p>
    <w:p>
      <w:pPr>
        <w:pStyle w:val="BodyText"/>
      </w:pPr>
      <w:r>
        <w:t xml:space="preserve">Causal inference scope: the analysis is descriptive. A cross-sectional</w:t>
      </w:r>
      <w:r>
        <w:t xml:space="preserve"> </w:t>
      </w:r>
      <w:r>
        <w:t xml:space="preserve">snapshot measures associations between protocol features and governance</w:t>
      </w:r>
      <w:r>
        <w:t xml:space="preserve"> </w:t>
      </w:r>
      <w:r>
        <w:t xml:space="preserve">concentration at one point in time; it cannot isolate which feature</w:t>
      </w:r>
      <w:r>
        <w:t xml:space="preserve"> </w:t>
      </w:r>
      <w:r>
        <w:t xml:space="preserve">causes which outcome. The correlations reported here are interpreted as</w:t>
      </w:r>
      <w:r>
        <w:t xml:space="preserve"> </w:t>
      </w:r>
      <w:r>
        <w:t xml:space="preserve">associations, not as causal mechanisms.</w:t>
      </w:r>
    </w:p>
    <w:p>
      <w:pPr>
        <w:pStyle w:val="BodyText"/>
      </w:pPr>
      <w:r>
        <w:t xml:space="preserve">Data limitations: not all outcomes relevant to institutional legitimacy</w:t>
      </w:r>
      <w:r>
        <w:t xml:space="preserve"> </w:t>
      </w:r>
      <w:r>
        <w:t xml:space="preserve">are observable on-chain; capability and welfare dimensions require</w:t>
      </w:r>
      <w:r>
        <w:t xml:space="preserve"> </w:t>
      </w:r>
      <w:r>
        <w:t xml:space="preserve">complementary data beyond the current analysis.</w:t>
      </w:r>
    </w:p>
    <w:bookmarkEnd w:id="32"/>
    <w:bookmarkEnd w:id="33"/>
    <w:bookmarkStart w:id="34" w:name="paper-outline"/>
    <w:p>
      <w:pPr>
        <w:pStyle w:val="Heading2"/>
      </w:pPr>
      <w:r>
        <w:t xml:space="preserve">1.5 Paper Outline</w:t>
      </w:r>
    </w:p>
    <w:p>
      <w:pPr>
        <w:pStyle w:val="FirstParagraph"/>
      </w:pPr>
      <w:r>
        <w:t xml:space="preserve">Section 2 develops the theoretical framework and design hypotheses and</w:t>
      </w:r>
      <w:r>
        <w:t xml:space="preserve"> </w:t>
      </w:r>
      <w:r>
        <w:t xml:space="preserve">(in Section 2.10) operationalizes the framework through a scoring rubric</w:t>
      </w:r>
      <w:r>
        <w:t xml:space="preserve"> </w:t>
      </w:r>
      <w:r>
        <w:t xml:space="preserve">and governance concentration cross-section design. Section 3 presents</w:t>
      </w:r>
      <w:r>
        <w:t xml:space="preserve"> </w:t>
      </w:r>
      <w:r>
        <w:t xml:space="preserve">the empirical illustration. Section 4 discusses implications,</w:t>
      </w:r>
      <w:r>
        <w:t xml:space="preserve"> </w:t>
      </w:r>
      <w:r>
        <w:t xml:space="preserve">limitations, and future directions. Supplementary materials provide full</w:t>
      </w:r>
      <w:r>
        <w:t xml:space="preserve"> </w:t>
      </w:r>
      <w:r>
        <w:t xml:space="preserve">metric definitions, research instrument templates, and the</w:t>
      </w:r>
      <w:r>
        <w:t xml:space="preserve"> </w:t>
      </w:r>
      <w:r>
        <w:t xml:space="preserve">replication-ready pipeline specification.</w:t>
      </w:r>
    </w:p>
    <w:bookmarkEnd w:id="34"/>
    <w:bookmarkEnd w:id="35"/>
    <w:bookmarkStart w:id="81" w:name="materials-and-methods"/>
    <w:p>
      <w:pPr>
        <w:pStyle w:val="Heading1"/>
      </w:pPr>
      <w:r>
        <w:t xml:space="preserve">2 Materials and Methods</w:t>
      </w:r>
    </w:p>
    <w:bookmarkStart w:id="36" w:name="Xc38d178964dbbea498c0170a191924f9c22a980"/>
    <w:p>
      <w:pPr>
        <w:pStyle w:val="Heading2"/>
      </w:pPr>
      <w:r>
        <w:t xml:space="preserve">2.1 Overview: From</w:t>
      </w:r>
      <w:r>
        <w:t xml:space="preserve"> </w:t>
      </w:r>
      <w:r>
        <w:t xml:space="preserve">“Token Design”</w:t>
      </w:r>
      <w:r>
        <w:t xml:space="preserve"> </w:t>
      </w:r>
      <w:r>
        <w:t xml:space="preserve">to Institutional Design</w:t>
      </w:r>
    </w:p>
    <w:p>
      <w:pPr>
        <w:pStyle w:val="FirstParagraph"/>
      </w:pPr>
      <w:r>
        <w:t xml:space="preserve">The mainstream discourse around tokenomics often treats it as a subset</w:t>
      </w:r>
      <w:r>
        <w:t xml:space="preserve"> </w:t>
      </w:r>
      <w:r>
        <w:t xml:space="preserve">of product pricing or financial engineering (see Voshmgir, 2020, for a</w:t>
      </w:r>
      <w:r>
        <w:t xml:space="preserve"> </w:t>
      </w:r>
      <w:r>
        <w:t xml:space="preserve">representative treatment), supply curves, vesting schedules, inflation,</w:t>
      </w:r>
      <w:r>
        <w:t xml:space="preserve"> </w:t>
      </w:r>
      <w:r>
        <w:t xml:space="preserve">and speculative demand. However, a growing body of scholarship and</w:t>
      </w:r>
      <w:r>
        <w:t xml:space="preserve"> </w:t>
      </w:r>
      <w:r>
        <w:t xml:space="preserve">technical work suggests a broader interpretation: token systems encode</w:t>
      </w:r>
      <w:r>
        <w:t xml:space="preserve"> </w:t>
      </w:r>
      <w:r>
        <w:t xml:space="preserve">rules of participation, allocate rights and duties, and implement</w:t>
      </w:r>
      <w:r>
        <w:t xml:space="preserve"> </w:t>
      </w:r>
      <w:r>
        <w:t xml:space="preserve">enforcement and dispute resolution through mechanisms that are both</w:t>
      </w:r>
      <w:r>
        <w:t xml:space="preserve"> </w:t>
      </w:r>
      <w:r>
        <w:t xml:space="preserve">transparent and automatically executed by software.</w:t>
      </w:r>
      <w:r>
        <w:br/>
      </w:r>
      <w:r>
        <w:t xml:space="preserve">In this view, tokenomics is not merely an economic optimization problem</w:t>
      </w:r>
      <w:r>
        <w:t xml:space="preserve"> </w:t>
      </w:r>
      <w:r>
        <w:t xml:space="preserve">but an instance of institutional design (and therefore a normative</w:t>
      </w:r>
      <w:r>
        <w:t xml:space="preserve"> </w:t>
      </w:r>
      <w:r>
        <w:t xml:space="preserve">problem) in which governance, legitimacy, and distributive consequences</w:t>
      </w:r>
      <w:r>
        <w:t xml:space="preserve"> </w:t>
      </w:r>
      <w:r>
        <w:t xml:space="preserve">are intrinsic rather than externalities.</w:t>
      </w:r>
    </w:p>
    <w:p>
      <w:pPr>
        <w:pStyle w:val="BodyText"/>
      </w:pPr>
      <w:r>
        <w:t xml:space="preserve">Token systems function as institutions: rule-governed systems with</w:t>
      </w:r>
      <w:r>
        <w:t xml:space="preserve"> </w:t>
      </w:r>
      <w:r>
        <w:t xml:space="preserve">constitutional constraints, fiscal policy, property-like rights, and</w:t>
      </w:r>
      <w:r>
        <w:t xml:space="preserve"> </w:t>
      </w:r>
      <w:r>
        <w:t xml:space="preserve">enforcement procedures. This framing parallels classic traditions in</w:t>
      </w:r>
      <w:r>
        <w:t xml:space="preserve"> </w:t>
      </w:r>
      <w:r>
        <w:t xml:space="preserve">constitutional political economy (e.g., Buchanan and Tullock (1962)) and</w:t>
      </w:r>
      <w:r>
        <w:t xml:space="preserve"> </w:t>
      </w:r>
      <w:r>
        <w:t xml:space="preserve">commons governance (Ostrom), while also drawing from political</w:t>
      </w:r>
      <w:r>
        <w:t xml:space="preserve"> </w:t>
      </w:r>
      <w:r>
        <w:t xml:space="preserve">philosophy’s theories of legitimacy, justice, and domination. A key</w:t>
      </w:r>
      <w:r>
        <w:t xml:space="preserve"> </w:t>
      </w:r>
      <w:r>
        <w:t xml:space="preserve">theme is that crypto networks differ from Web2 platforms not because</w:t>
      </w:r>
      <w:r>
        <w:t xml:space="preserve"> </w:t>
      </w:r>
      <w:r>
        <w:t xml:space="preserve">they</w:t>
      </w:r>
      <w:r>
        <w:t xml:space="preserve"> </w:t>
      </w:r>
      <w:r>
        <w:t xml:space="preserve">“lack governance,”</w:t>
      </w:r>
      <w:r>
        <w:t xml:space="preserve"> </w:t>
      </w:r>
      <w:r>
        <w:t xml:space="preserve">but because they encode governance into public,</w:t>
      </w:r>
      <w:r>
        <w:t xml:space="preserve"> </w:t>
      </w:r>
      <w:r>
        <w:t xml:space="preserve">inspectable mechanisms and often bind governance to ownership-like</w:t>
      </w:r>
      <w:r>
        <w:t xml:space="preserve"> </w:t>
      </w:r>
      <w:r>
        <w:t xml:space="preserve">tokens.</w:t>
      </w:r>
    </w:p>
    <w:bookmarkEnd w:id="36"/>
    <w:bookmarkStart w:id="39" w:name="tokenomics-and-cryptoeconomic-design"/>
    <w:p>
      <w:pPr>
        <w:pStyle w:val="Heading2"/>
      </w:pPr>
      <w:r>
        <w:t xml:space="preserve">2.2 Tokenomics and Cryptoeconomic Design</w:t>
      </w:r>
    </w:p>
    <w:bookmarkStart w:id="37" w:name="tokenomics-as-a-mechanism-design-problem"/>
    <w:p>
      <w:pPr>
        <w:pStyle w:val="Heading3"/>
      </w:pPr>
      <w:r>
        <w:t xml:space="preserve">2.2.1 Tokenomics as a Mechanism Design Problem</w:t>
      </w:r>
    </w:p>
    <w:p>
      <w:pPr>
        <w:pStyle w:val="FirstParagraph"/>
      </w:pPr>
      <w:r>
        <w:t xml:space="preserve">Tokenomics can be understood as a form of mechanism design (Hurwicz,</w:t>
      </w:r>
      <w:r>
        <w:t xml:space="preserve"> </w:t>
      </w:r>
      <w:r>
        <w:t xml:space="preserve">1973; Myerson, 1981) and, more broadly, as an exercise in institutional</w:t>
      </w:r>
      <w:r>
        <w:t xml:space="preserve"> </w:t>
      </w:r>
      <w:r>
        <w:t xml:space="preserve">invention (Hurwicz, 1987): the</w:t>
      </w:r>
      <w:r>
        <w:t xml:space="preserve"> </w:t>
      </w:r>
      <w:r>
        <w:t xml:space="preserve">“reverse engineering”</w:t>
      </w:r>
      <w:r>
        <w:t xml:space="preserve"> </w:t>
      </w:r>
      <w:r>
        <w:t xml:space="preserve">of game theory in</w:t>
      </w:r>
      <w:r>
        <w:t xml:space="preserve"> </w:t>
      </w:r>
      <w:r>
        <w:t xml:space="preserve">which a designer specifies rules and incentives to induce desired</w:t>
      </w:r>
      <w:r>
        <w:t xml:space="preserve"> </w:t>
      </w:r>
      <w:r>
        <w:t xml:space="preserve">behavior among strategic agents (users, validators, operators, token</w:t>
      </w:r>
      <w:r>
        <w:t xml:space="preserve"> </w:t>
      </w:r>
      <w:r>
        <w:t xml:space="preserve">holders). Token-governance protocols are explicitly invented</w:t>
      </w:r>
      <w:r>
        <w:t xml:space="preserve"> </w:t>
      </w:r>
      <w:r>
        <w:t xml:space="preserve">institutions, designed from whitepaper plus code rather than evolved</w:t>
      </w:r>
      <w:r>
        <w:t xml:space="preserve"> </w:t>
      </w:r>
      <w:r>
        <w:t xml:space="preserve">from social practice, which sharpens the design question Hurwicz 1987</w:t>
      </w:r>
      <w:r>
        <w:t xml:space="preserve"> </w:t>
      </w:r>
      <w:r>
        <w:t xml:space="preserve">poses for invented institutions generally: any implementable mechanism</w:t>
      </w:r>
      <w:r>
        <w:t xml:space="preserve"> </w:t>
      </w:r>
      <w:r>
        <w:t xml:space="preserve">must satisfy incentive compatibility (participants find truthful</w:t>
      </w:r>
      <w:r>
        <w:t xml:space="preserve"> </w:t>
      </w:r>
      <w:r>
        <w:t xml:space="preserve">participation in their interest) and informational feasibility (the</w:t>
      </w:r>
      <w:r>
        <w:t xml:space="preserve"> </w:t>
      </w:r>
      <w:r>
        <w:t xml:space="preserve">mechanism cannot require information no participant possesses).</w:t>
      </w:r>
      <w:r>
        <w:t xml:space="preserve"> </w:t>
      </w:r>
      <w:r>
        <w:t xml:space="preserve">The mechanism design literature provides foundational formal tools for</w:t>
      </w:r>
      <w:r>
        <w:t xml:space="preserve"> </w:t>
      </w:r>
      <w:r>
        <w:t xml:space="preserve">reasoning about incentive compatibility, equilibrium selection, and</w:t>
      </w:r>
      <w:r>
        <w:t xml:space="preserve"> </w:t>
      </w:r>
      <w:r>
        <w:t xml:space="preserve">adverse selection. These tools remain highly relevant when tokenized</w:t>
      </w:r>
      <w:r>
        <w:t xml:space="preserve"> </w:t>
      </w:r>
      <w:r>
        <w:t xml:space="preserve">systems must function under manipulation pressure and incomplete</w:t>
      </w:r>
      <w:r>
        <w:t xml:space="preserve"> </w:t>
      </w:r>
      <w:r>
        <w:t xml:space="preserve">information. The Nobel Prize’s summary of mechanism design theory</w:t>
      </w:r>
      <w:r>
        <w:t xml:space="preserve"> </w:t>
      </w:r>
      <w:r>
        <w:t xml:space="preserve">emphasizes incentive-compatible direct mechanisms and the revelation</w:t>
      </w:r>
      <w:r>
        <w:t xml:space="preserve"> </w:t>
      </w:r>
      <w:r>
        <w:t xml:space="preserve">principle as foundational concepts, offering a bridge between classical</w:t>
      </w:r>
      <w:r>
        <w:t xml:space="preserve"> </w:t>
      </w:r>
      <w:r>
        <w:t xml:space="preserve">economics and modern crypto-economic system design.</w:t>
      </w:r>
    </w:p>
    <w:p>
      <w:pPr>
        <w:pStyle w:val="BodyText"/>
      </w:pPr>
      <w:r>
        <w:t xml:space="preserve">Token systems, however, often introduce additional constraints absent</w:t>
      </w:r>
      <w:r>
        <w:t xml:space="preserve"> </w:t>
      </w:r>
      <w:r>
        <w:t xml:space="preserve">from classical mechanism design (Roughgarden, 2021) settings: open</w:t>
      </w:r>
      <w:r>
        <w:t xml:space="preserve"> </w:t>
      </w:r>
      <w:r>
        <w:t xml:space="preserve">entry, pseudonymity, composability, and adversarial execution</w:t>
      </w:r>
      <w:r>
        <w:t xml:space="preserve"> </w:t>
      </w:r>
      <w:r>
        <w:t xml:space="preserve">environments. These constraints place a premium on robust incentive</w:t>
      </w:r>
      <w:r>
        <w:t xml:space="preserve"> </w:t>
      </w:r>
      <w:r>
        <w:t xml:space="preserve">design, fraud resistance, and governance structures that can adapt</w:t>
      </w:r>
      <w:r>
        <w:t xml:space="preserve"> </w:t>
      </w:r>
      <w:r>
        <w:t xml:space="preserve">without becoming arbitrary or captured.</w:t>
      </w:r>
    </w:p>
    <w:bookmarkEnd w:id="37"/>
    <w:bookmarkStart w:id="38" w:name="X86f41cb1636573d252e5d078383f8d7bed13f37"/>
    <w:p>
      <w:pPr>
        <w:pStyle w:val="Heading3"/>
      </w:pPr>
      <w:r>
        <w:t xml:space="preserve">2.2.2 Transaction Fee Mechanisms and</w:t>
      </w:r>
      <w:r>
        <w:t xml:space="preserve"> </w:t>
      </w:r>
      <w:r>
        <w:t xml:space="preserve">“Sinks”</w:t>
      </w:r>
      <w:r>
        <w:t xml:space="preserve"> </w:t>
      </w:r>
      <w:r>
        <w:t xml:space="preserve">as Economic Policy</w:t>
      </w:r>
    </w:p>
    <w:p>
      <w:pPr>
        <w:pStyle w:val="FirstParagraph"/>
      </w:pPr>
      <w:r>
        <w:t xml:space="preserve">Some of the clearest illustrations of tokenomics-as-policy appear in fee</w:t>
      </w:r>
      <w:r>
        <w:t xml:space="preserve"> </w:t>
      </w:r>
      <w:r>
        <w:t xml:space="preserve">mechanism design. Ethereum’s EIP-1559 (Buterin et al., 2019), for</w:t>
      </w:r>
      <w:r>
        <w:t xml:space="preserve"> </w:t>
      </w:r>
      <w:r>
        <w:t xml:space="preserve">instance, introduced a base fee adjusted by network demand and burned</w:t>
      </w:r>
      <w:r>
        <w:t xml:space="preserve"> </w:t>
      </w:r>
      <w:r>
        <w:t xml:space="preserve">rather than paid to miners/validators, creating a direct</w:t>
      </w:r>
      <w:r>
        <w:t xml:space="preserve"> </w:t>
      </w:r>
      <w:r>
        <w:t xml:space="preserve">“sink”</w:t>
      </w:r>
      <w:r>
        <w:t xml:space="preserve"> </w:t>
      </w:r>
      <w:r>
        <w:t xml:space="preserve">linked</w:t>
      </w:r>
      <w:r>
        <w:t xml:space="preserve"> </w:t>
      </w:r>
      <w:r>
        <w:t xml:space="preserve">to usage and shaping the economic properties of the asset. Tim</w:t>
      </w:r>
      <w:r>
        <w:t xml:space="preserve"> </w:t>
      </w:r>
      <w:r>
        <w:t xml:space="preserve">Roughgarden’s work on transaction fee mechanism design treats EIP-1559</w:t>
      </w:r>
      <w:r>
        <w:t xml:space="preserve"> </w:t>
      </w:r>
      <w:r>
        <w:t xml:space="preserve">not as marketing but as mechanism engineering: explicitly analyzing</w:t>
      </w:r>
      <w:r>
        <w:t xml:space="preserve"> </w:t>
      </w:r>
      <w:r>
        <w:t xml:space="preserve">goals and trade-offs, including alternative designs such as smoothing</w:t>
      </w:r>
      <w:r>
        <w:t xml:space="preserve"> </w:t>
      </w:r>
      <w:r>
        <w:t xml:space="preserve">and revenue-forwarding.</w:t>
      </w:r>
    </w:p>
    <w:p>
      <w:pPr>
        <w:pStyle w:val="BodyText"/>
      </w:pPr>
      <w:r>
        <w:t xml:space="preserve">Subsequent research (Roughgarden, 2020) highlights that even</w:t>
      </w:r>
      <w:r>
        <w:t xml:space="preserve"> </w:t>
      </w:r>
      <w:r>
        <w:t xml:space="preserve">well-designed sinks can introduce new strategic behaviors (e.g.,</w:t>
      </w:r>
      <w:r>
        <w:t xml:space="preserve"> </w:t>
      </w:r>
      <w:r>
        <w:t xml:space="preserve">manipulation or minority attacks on base fee dynamics), underscoring</w:t>
      </w:r>
      <w:r>
        <w:t xml:space="preserve"> </w:t>
      </w:r>
      <w:r>
        <w:t xml:space="preserve">that tokenomics is not</w:t>
      </w:r>
      <w:r>
        <w:t xml:space="preserve"> </w:t>
      </w:r>
      <w:r>
        <w:t xml:space="preserve">“set-and-forget”</w:t>
      </w:r>
      <w:r>
        <w:t xml:space="preserve"> </w:t>
      </w:r>
      <w:r>
        <w:t xml:space="preserve">but a governance problem</w:t>
      </w:r>
      <w:r>
        <w:t xml:space="preserve"> </w:t>
      </w:r>
      <w:r>
        <w:t xml:space="preserve">requiring transparency and monitoring.</w:t>
      </w:r>
    </w:p>
    <w:p>
      <w:pPr>
        <w:pStyle w:val="BodyText"/>
      </w:pPr>
      <w:r>
        <w:t xml:space="preserve">These studies motivate a broader design intuition central to this paper:</w:t>
      </w:r>
      <w:r>
        <w:t xml:space="preserve"> </w:t>
      </w:r>
      <w:r>
        <w:t xml:space="preserve">token mechanics that tie usage to scarcity (through burns, locks,</w:t>
      </w:r>
      <w:r>
        <w:t xml:space="preserve"> </w:t>
      </w:r>
      <w:r>
        <w:t xml:space="preserve">buybacks, or fee routing) represent a form of fiscal policy embedded in</w:t>
      </w:r>
      <w:r>
        <w:t xml:space="preserve"> </w:t>
      </w:r>
      <w:r>
        <w:t xml:space="preserve">code (cf. Werner et al., 2022).</w:t>
      </w:r>
    </w:p>
    <w:p>
      <w:pPr>
        <w:pStyle w:val="BodyText"/>
      </w:pPr>
      <w:r>
        <w:t xml:space="preserve">The leading formal model of token adoption (Cong, Li, &amp; Wang, 2021)</w:t>
      </w:r>
      <w:r>
        <w:t xml:space="preserve"> </w:t>
      </w:r>
      <w:r>
        <w:t xml:space="preserve">demonstrates that equilibrium token price is determined by aggregating</w:t>
      </w:r>
      <w:r>
        <w:t xml:space="preserve"> </w:t>
      </w:r>
      <w:r>
        <w:t xml:space="preserve">heterogeneous users’ transactional demand rather than by initial supply</w:t>
      </w:r>
      <w:r>
        <w:t xml:space="preserve"> </w:t>
      </w:r>
      <w:r>
        <w:t xml:space="preserve">distribution, implying that post-distribution dynamics dominate</w:t>
      </w:r>
      <w:r>
        <w:t xml:space="preserve"> </w:t>
      </w:r>
      <w:r>
        <w:t xml:space="preserve">design-time allocation choices. This theoretical result anticipates the</w:t>
      </w:r>
      <w:r>
        <w:t xml:space="preserve"> </w:t>
      </w:r>
      <w:r>
        <w:t xml:space="preserve">allocation design null documented in Section 3.4.</w:t>
      </w:r>
    </w:p>
    <w:bookmarkEnd w:id="38"/>
    <w:bookmarkEnd w:id="39"/>
    <w:bookmarkStart w:id="40" w:name="X2488cfaf0b9f15c8107296bac2ff0649c6c13b8"/>
    <w:p>
      <w:pPr>
        <w:pStyle w:val="Heading2"/>
      </w:pPr>
      <w:r>
        <w:t xml:space="preserve">2.3 Incentives, Liquidity Mining, and the</w:t>
      </w:r>
      <w:r>
        <w:t xml:space="preserve"> </w:t>
      </w:r>
      <w:r>
        <w:t xml:space="preserve">“Mercenary Capital”</w:t>
      </w:r>
      <w:r>
        <w:t xml:space="preserve"> </w:t>
      </w:r>
      <w:r>
        <w:t xml:space="preserve">Debate</w:t>
      </w:r>
    </w:p>
    <w:p>
      <w:pPr>
        <w:pStyle w:val="FirstParagraph"/>
      </w:pPr>
      <w:r>
        <w:t xml:space="preserve">A major wave of Web3 growth (notably in DeFi) was catalyzed by token</w:t>
      </w:r>
      <w:r>
        <w:t xml:space="preserve"> </w:t>
      </w:r>
      <w:r>
        <w:t xml:space="preserve">distribution mechanisms: initial coin offerings (Howell, Niessner, &amp;</w:t>
      </w:r>
      <w:r>
        <w:t xml:space="preserve"> </w:t>
      </w:r>
      <w:r>
        <w:t xml:space="preserve">Yermack, 2020), liquidity mining, staking rewards (Schär, 2021), and</w:t>
      </w:r>
      <w:r>
        <w:t xml:space="preserve"> </w:t>
      </w:r>
      <w:r>
        <w:t xml:space="preserve">user rebates, designed to bootstrap two-sided markets. A key controversy</w:t>
      </w:r>
      <w:r>
        <w:t xml:space="preserve"> </w:t>
      </w:r>
      <w:r>
        <w:t xml:space="preserve">is whether these incentives generate durable adoption or merely</w:t>
      </w:r>
      <w:r>
        <w:t xml:space="preserve"> </w:t>
      </w:r>
      <w:r>
        <w:t xml:space="preserve">transient participation driven by extrinsic rewards.</w:t>
      </w:r>
    </w:p>
    <w:p>
      <w:pPr>
        <w:pStyle w:val="BodyText"/>
      </w:pPr>
      <w:r>
        <w:t xml:space="preserve">Empirical and conceptual analyses increasingly emphasize the risk of</w:t>
      </w:r>
      <w:r>
        <w:t xml:space="preserve"> </w:t>
      </w:r>
      <w:r>
        <w:t xml:space="preserve">“mercenary capital”</w:t>
      </w:r>
      <w:r>
        <w:t xml:space="preserve"> </w:t>
      </w:r>
      <w:r>
        <w:t xml:space="preserve">(Schär, 2021): incentives attract liquidity or usage</w:t>
      </w:r>
      <w:r>
        <w:t xml:space="preserve"> </w:t>
      </w:r>
      <w:r>
        <w:t xml:space="preserve">temporarily, but participation exits when emissions decline, leaving</w:t>
      </w:r>
      <w:r>
        <w:t xml:space="preserve"> </w:t>
      </w:r>
      <w:r>
        <w:t xml:space="preserve">weak organic demand. While the quality of evidence varies across</w:t>
      </w:r>
      <w:r>
        <w:t xml:space="preserve"> </w:t>
      </w:r>
      <w:r>
        <w:t xml:space="preserve">sources, the consistent theoretical point is that token incentives can</w:t>
      </w:r>
      <w:r>
        <w:t xml:space="preserve"> </w:t>
      </w:r>
      <w:r>
        <w:t xml:space="preserve">create short-run growth while undermining long-run sustainability unless</w:t>
      </w:r>
      <w:r>
        <w:t xml:space="preserve"> </w:t>
      </w:r>
      <w:r>
        <w:t xml:space="preserve">paired with credible sinks, retention design, and governance discipline.</w:t>
      </w:r>
      <w:r>
        <w:t xml:space="preserve"> </w:t>
      </w:r>
      <w:r>
        <w:t xml:space="preserve">This paper integrates that debate into a more general claim:</w:t>
      </w:r>
      <w:r>
        <w:t xml:space="preserve"> </w:t>
      </w:r>
      <w:r>
        <w:rPr>
          <w:b/>
          <w:bCs/>
        </w:rPr>
        <w:t xml:space="preserve">incentives are political economy</w:t>
      </w:r>
      <w:r>
        <w:t xml:space="preserve">, not simply growth marketing,</w:t>
      </w:r>
      <w:r>
        <w:t xml:space="preserve"> </w:t>
      </w:r>
      <w:r>
        <w:t xml:space="preserve">because they distribute resources, create winners and losers, and can</w:t>
      </w:r>
      <w:r>
        <w:t xml:space="preserve"> </w:t>
      </w:r>
      <w:r>
        <w:t xml:space="preserve">entrench power.</w:t>
      </w:r>
    </w:p>
    <w:p>
      <w:pPr>
        <w:pStyle w:val="BodyText"/>
      </w:pPr>
      <w:r>
        <w:t xml:space="preserve">Academic work on liquidity mining (Schär, 2021; Roughgarden, 2021)</w:t>
      </w:r>
      <w:r>
        <w:t xml:space="preserve"> </w:t>
      </w:r>
      <w:r>
        <w:t xml:space="preserve">explicitly treats it as an innovative mechanism that changes investor</w:t>
      </w:r>
      <w:r>
        <w:t xml:space="preserve"> </w:t>
      </w:r>
      <w:r>
        <w:t xml:space="preserve">behavior and protocol dynamics, suggesting a need for systematic</w:t>
      </w:r>
      <w:r>
        <w:t xml:space="preserve"> </w:t>
      </w:r>
      <w:r>
        <w:t xml:space="preserve">evaluation rather than anecdotal interpretation.</w:t>
      </w:r>
    </w:p>
    <w:bookmarkEnd w:id="40"/>
    <w:bookmarkStart w:id="42" w:name="Xd67550ff6e6accb54c80edbaa0d65262f75fc7d"/>
    <w:p>
      <w:pPr>
        <w:pStyle w:val="Heading2"/>
      </w:pPr>
      <w:r>
        <w:t xml:space="preserve">2.4 DAO Governance: Concentration, Delegation, and the</w:t>
      </w:r>
      <w:r>
        <w:t xml:space="preserve"> </w:t>
      </w:r>
      <w:r>
        <w:t xml:space="preserve">“Decentralization Illusion”</w:t>
      </w:r>
    </w:p>
    <w:p>
      <w:pPr>
        <w:pStyle w:val="FirstParagraph"/>
      </w:pPr>
      <w:r>
        <w:t xml:space="preserve">The legitimacy of tokenized governance depends not only on formal voting</w:t>
      </w:r>
      <w:r>
        <w:t xml:space="preserve"> </w:t>
      </w:r>
      <w:r>
        <w:t xml:space="preserve">rules but also on power distribution and participation (Aramonte et al.,</w:t>
      </w:r>
      <w:r>
        <w:t xml:space="preserve"> </w:t>
      </w:r>
      <w:r>
        <w:t xml:space="preserve">2021; Nadler &amp; Schär, 2020) structure. A major challenge is that</w:t>
      </w:r>
      <w:r>
        <w:t xml:space="preserve"> </w:t>
      </w:r>
      <w:r>
        <w:t xml:space="preserve">token-based governance can produce concentrated influence (Barbereau et</w:t>
      </w:r>
      <w:r>
        <w:t xml:space="preserve"> </w:t>
      </w:r>
      <w:r>
        <w:t xml:space="preserve">al., 2023) -</w:t>
      </w:r>
      <w:r>
        <w:t xml:space="preserve"> </w:t>
      </w:r>
      <w:r>
        <w:t xml:space="preserve">“whales,”</w:t>
      </w:r>
      <w:r>
        <w:t xml:space="preserve"> </w:t>
      </w:r>
      <w:r>
        <w:t xml:space="preserve">delegates, or insiders, leading to outcomes that</w:t>
      </w:r>
      <w:r>
        <w:t xml:space="preserve"> </w:t>
      </w:r>
      <w:r>
        <w:t xml:space="preserve">are formally decentralized but substantively centralized. The</w:t>
      </w:r>
      <w:r>
        <w:t xml:space="preserve"> </w:t>
      </w:r>
      <w:r>
        <w:t xml:space="preserve">political-theory foundations of decentralized autonomous organizations</w:t>
      </w:r>
      <w:r>
        <w:t xml:space="preserve"> </w:t>
      </w:r>
      <w:r>
        <w:t xml:space="preserve">have been developed across two complementary lines of work: an early</w:t>
      </w:r>
      <w:r>
        <w:t xml:space="preserve"> </w:t>
      </w:r>
      <w:r>
        <w:t xml:space="preserve">political-theory line (DuPont, 2014,</w:t>
      </w:r>
      <w:r>
        <w:t xml:space="preserve"> </w:t>
      </w:r>
      <w:r>
        <w:t xml:space="preserve">“The Politics of Cryptography”</w:t>
      </w:r>
      <w:r>
        <w:t xml:space="preserve">;</w:t>
      </w:r>
      <w:r>
        <w:t xml:space="preserve"> </w:t>
      </w:r>
      <w:r>
        <w:t xml:space="preserve">Atzori, 2017) treating DAOs as new constitutional sites, and a more</w:t>
      </w:r>
      <w:r>
        <w:t xml:space="preserve"> </w:t>
      </w:r>
      <w:r>
        <w:t xml:space="preserve">recent commons-governance line (Schneider, 2019,</w:t>
      </w:r>
      <w:r>
        <w:t xml:space="preserve"> </w:t>
      </w:r>
      <w:r>
        <w:t xml:space="preserve">“Governable Spaces”</w:t>
      </w:r>
      <w:r>
        <w:t xml:space="preserve">)</w:t>
      </w:r>
      <w:r>
        <w:t xml:space="preserve"> </w:t>
      </w:r>
      <w:r>
        <w:t xml:space="preserve">that engages Ostromian polycentricity directly and provides a synthesis</w:t>
      </w:r>
      <w:r>
        <w:t xml:space="preserve"> </w:t>
      </w:r>
      <w:r>
        <w:t xml:space="preserve">between DAO design and commons-management scholarship. The five-lens</w:t>
      </w:r>
      <w:r>
        <w:t xml:space="preserve"> </w:t>
      </w:r>
      <w:r>
        <w:t xml:space="preserve">framework operationalized in this paper extends this political-theory</w:t>
      </w:r>
      <w:r>
        <w:t xml:space="preserve"> </w:t>
      </w:r>
      <w:r>
        <w:t xml:space="preserve">work by translating philosophical traditions into measurable scoring</w:t>
      </w:r>
      <w:r>
        <w:t xml:space="preserve"> </w:t>
      </w:r>
      <w:r>
        <w:t xml:space="preserve">criteria; complementary work in corporate-governance theory (Tirole,</w:t>
      </w:r>
      <w:r>
        <w:t xml:space="preserve"> </w:t>
      </w:r>
      <w:r>
        <w:t xml:space="preserve">2001, on managerial accountability and minority protection) provides</w:t>
      </w:r>
      <w:r>
        <w:t xml:space="preserve"> </w:t>
      </w:r>
      <w:r>
        <w:t xml:space="preserve">a structurally-parallel reference for the principal-agent concerns that</w:t>
      </w:r>
      <w:r>
        <w:t xml:space="preserve"> </w:t>
      </w:r>
      <w:r>
        <w:t xml:space="preserve">recur in delegated token governance.</w:t>
      </w:r>
    </w:p>
    <w:p>
      <w:pPr>
        <w:pStyle w:val="BodyText"/>
      </w:pPr>
      <w:r>
        <w:t xml:space="preserve">The Bank for International Settlements (BIS) argues (Aramonte et al.,</w:t>
      </w:r>
      <w:r>
        <w:t xml:space="preserve"> </w:t>
      </w:r>
      <w:r>
        <w:t xml:space="preserve">2021) that DeFi contains a</w:t>
      </w:r>
      <w:r>
        <w:t xml:space="preserve"> </w:t>
      </w:r>
      <w:r>
        <w:t xml:space="preserve">“decentralization illusion,”</w:t>
      </w:r>
      <w:r>
        <w:t xml:space="preserve"> </w:t>
      </w:r>
      <w:r>
        <w:t xml:space="preserve">emphasizing that</w:t>
      </w:r>
      <w:r>
        <w:t xml:space="preserve"> </w:t>
      </w:r>
      <w:r>
        <w:t xml:space="preserve">protocols marketed as decentralized frequently concentrate</w:t>
      </w:r>
      <w:r>
        <w:t xml:space="preserve"> </w:t>
      </w:r>
      <w:r>
        <w:t xml:space="preserve">decision-making power among a small number of token holders, developers,</w:t>
      </w:r>
      <w:r>
        <w:t xml:space="preserve"> </w:t>
      </w:r>
      <w:r>
        <w:t xml:space="preserve">or validators. This critique is significant for this paper because it</w:t>
      </w:r>
      <w:r>
        <w:t xml:space="preserve"> </w:t>
      </w:r>
      <w:r>
        <w:t xml:space="preserve">links governance concentration to systemic risks and questions the</w:t>
      </w:r>
      <w:r>
        <w:t xml:space="preserve"> </w:t>
      </w:r>
      <w:r>
        <w:t xml:space="preserve">legitimacy of</w:t>
      </w:r>
      <w:r>
        <w:t xml:space="preserve"> </w:t>
      </w:r>
      <w:r>
        <w:t xml:space="preserve">“decentralized”</w:t>
      </w:r>
      <w:r>
        <w:t xml:space="preserve"> </w:t>
      </w:r>
      <w:r>
        <w:t xml:space="preserve">claims.</w:t>
      </w:r>
    </w:p>
    <w:p>
      <w:pPr>
        <w:pStyle w:val="BodyText"/>
      </w:pPr>
      <w:r>
        <w:t xml:space="preserve">Gersbach, Schneider, and Shahkar (2024) analyze vote delegation and find</w:t>
      </w:r>
      <w:r>
        <w:t xml:space="preserve"> </w:t>
      </w:r>
      <w:r>
        <w:t xml:space="preserve">it can meaningfully change outcomes under highly unbalanced voting</w:t>
      </w:r>
      <w:r>
        <w:t xml:space="preserve"> </w:t>
      </w:r>
      <w:r>
        <w:t xml:space="preserve">rights but has negligible impact under balanced systems, suggesting</w:t>
      </w:r>
      <w:r>
        <w:t xml:space="preserve"> </w:t>
      </w:r>
      <w:r>
        <w:t xml:space="preserve">delegation is not a universal solution to legitimacy problems. Weidener</w:t>
      </w:r>
      <w:r>
        <w:t xml:space="preserve"> </w:t>
      </w:r>
      <w:r>
        <w:t xml:space="preserve">et al. (2025) similarly maps delegation’s implementation and challenges,</w:t>
      </w:r>
      <w:r>
        <w:t xml:space="preserve"> </w:t>
      </w:r>
      <w:r>
        <w:t xml:space="preserve">reinforcing that delegation can either mitigate or entrench</w:t>
      </w:r>
      <w:r>
        <w:t xml:space="preserve"> </w:t>
      </w:r>
      <w:r>
        <w:t xml:space="preserve">concentration depending on design. Hall and Miyazaki (2024) analyze</w:t>
      </w:r>
      <w:r>
        <w:t xml:space="preserve"> </w:t>
      </w:r>
      <w:r>
        <w:t xml:space="preserve">liquid democracy across 18 DAOs, finding that only 17% of tokens are</w:t>
      </w:r>
      <w:r>
        <w:t xml:space="preserve"> </w:t>
      </w:r>
      <w:r>
        <w:t xml:space="preserve">delegated yet the top five delegates routinely capture over 50% of</w:t>
      </w:r>
      <w:r>
        <w:t xml:space="preserve"> </w:t>
      </w:r>
      <w:r>
        <w:t xml:space="preserve">effectively voted weight, with high-SSPI delegates more likely to signal</w:t>
      </w:r>
      <w:r>
        <w:t xml:space="preserve"> </w:t>
      </w:r>
      <w:r>
        <w:t xml:space="preserve">early and cascade alignment; the 3 to 6 times delegation amplification</w:t>
      </w:r>
      <w:r>
        <w:t xml:space="preserve"> </w:t>
      </w:r>
      <w:r>
        <w:t xml:space="preserve">ratios documented in Section 3.5 are consistent with this clumping</w:t>
      </w:r>
      <w:r>
        <w:t xml:space="preserve"> </w:t>
      </w:r>
      <w:r>
        <w:t xml:space="preserve">pattern. Esposito, Tse, and Goh (2025) evaluate quadratic voting and</w:t>
      </w:r>
      <w:r>
        <w:t xml:space="preserve"> </w:t>
      </w:r>
      <w:r>
        <w:t xml:space="preserve">delegated governance against Ostrom’s CPR framework, documenting that</w:t>
      </w:r>
      <w:r>
        <w:t xml:space="preserve"> </w:t>
      </w:r>
      <w:r>
        <w:t xml:space="preserve">tokenization alone is insufficient for inclusive governance.</w:t>
      </w:r>
    </w:p>
    <w:p>
      <w:pPr>
        <w:pStyle w:val="BodyText"/>
      </w:pPr>
      <w:r>
        <w:t xml:space="preserve">Most directly relevant, Cong et al. (2025) provide stylized facts and</w:t>
      </w:r>
      <w:r>
        <w:t xml:space="preserve"> </w:t>
      </w:r>
      <w:r>
        <w:t xml:space="preserve">analysis suggesting persistent concentration in DAOs and governance</w:t>
      </w:r>
      <w:r>
        <w:t xml:space="preserve"> </w:t>
      </w:r>
      <w:r>
        <w:t xml:space="preserve">token trading dynamics, reinforcing the need for institutional</w:t>
      </w:r>
      <w:r>
        <w:t xml:space="preserve"> </w:t>
      </w:r>
      <w:r>
        <w:t xml:space="preserve">safeguards rather than assuming</w:t>
      </w:r>
      <w:r>
        <w:t xml:space="preserve"> </w:t>
      </w:r>
      <w:r>
        <w:t xml:space="preserve">“token voting”</w:t>
      </w:r>
      <w:r>
        <w:t xml:space="preserve"> </w:t>
      </w:r>
      <w:r>
        <w:t xml:space="preserve">equals democracy. Panel</w:t>
      </w:r>
      <w:r>
        <w:t xml:space="preserve"> </w:t>
      </w:r>
      <w:r>
        <w:t xml:space="preserve">evidence from DAO-quarter data documents that effective governance</w:t>
      </w:r>
      <w:r>
        <w:t xml:space="preserve"> </w:t>
      </w:r>
      <w:r>
        <w:t xml:space="preserve">control concentrates as proposal volume scales, consistent with</w:t>
      </w:r>
      <w:r>
        <w:t xml:space="preserve"> </w:t>
      </w:r>
      <w:r>
        <w:t xml:space="preserve">monitoring costs outpacing broad-based participation (Tchuente, 2025);</w:t>
      </w:r>
      <w:r>
        <w:t xml:space="preserve"> </w:t>
      </w:r>
      <w:r>
        <w:t xml:space="preserve">the cross-sectional allocation null documented here (r = 0.18, p = 0.28)</w:t>
      </w:r>
      <w:r>
        <w:t xml:space="preserve"> </w:t>
      </w:r>
      <w:r>
        <w:t xml:space="preserve">is compatible with this scale-driven concentration mechanism operating</w:t>
      </w:r>
      <w:r>
        <w:t xml:space="preserve"> </w:t>
      </w:r>
      <w:r>
        <w:t xml:space="preserve">independently of initial token distribution.</w:t>
      </w:r>
    </w:p>
    <w:p>
      <w:pPr>
        <w:pStyle w:val="BodyText"/>
      </w:pPr>
      <w:r>
        <w:t xml:space="preserve">Calzada (2025) corroborates these patterns ethnographically across seven</w:t>
      </w:r>
      <w:r>
        <w:t xml:space="preserve"> </w:t>
      </w:r>
      <w:r>
        <w:t xml:space="preserve">Web3 ecosystems, documenting whale dominance and voter turnout below 10%</w:t>
      </w:r>
      <w:r>
        <w:t xml:space="preserve"> </w:t>
      </w:r>
      <w:r>
        <w:t xml:space="preserve">in major DAOs.</w:t>
      </w:r>
    </w:p>
    <w:p>
      <w:pPr>
        <w:pStyle w:val="BodyText"/>
      </w:pPr>
      <w:r>
        <w:t xml:space="preserve">The governance concentration patterns documented in Section 3 are</w:t>
      </w:r>
      <w:r>
        <w:t xml:space="preserve"> </w:t>
      </w:r>
      <w:r>
        <w:t xml:space="preserve">consistent with Williamson’s (1999)</w:t>
      </w:r>
      <w:r>
        <w:t xml:space="preserve"> </w:t>
      </w:r>
      <w:r>
        <w:t xml:space="preserve">“probity hazard”</w:t>
      </w:r>
      <w:r>
        <w:t xml:space="preserve">: token holders can</w:t>
      </w:r>
      <w:r>
        <w:t xml:space="preserve"> </w:t>
      </w:r>
      <w:r>
        <w:t xml:space="preserve">comply with smart contract rules while extracting value that contradicts</w:t>
      </w:r>
      <w:r>
        <w:t xml:space="preserve"> </w:t>
      </w:r>
      <w:r>
        <w:t xml:space="preserve">the protocol’s institutional mission, a risk that intensifies as</w:t>
      </w:r>
      <w:r>
        <w:t xml:space="preserve"> </w:t>
      </w:r>
      <w:r>
        <w:t xml:space="preserve">governance power concentrates in fewer addresses.</w:t>
      </w:r>
    </w:p>
    <w:p>
      <w:pPr>
        <w:pStyle w:val="BodyText"/>
      </w:pPr>
      <w:r>
        <w:t xml:space="preserve">Voting power inequality in Compound, Uniswap, and ENS exceeds wealth</w:t>
      </w:r>
      <w:r>
        <w:t xml:space="preserve"> </w:t>
      </w:r>
      <w:r>
        <w:t xml:space="preserve">inequality in real-world economies, with voting power more unequally</w:t>
      </w:r>
      <w:r>
        <w:t xml:space="preserve"> </w:t>
      </w:r>
      <w:r>
        <w:t xml:space="preserve">distributed than income in any country (Fritsch, Müller, &amp; Wattenhofer,</w:t>
      </w:r>
      <w:r>
        <w:t xml:space="preserve"> </w:t>
      </w:r>
      <w:r>
        <w:t xml:space="preserve">2024), a pattern consistent with the delegation amplification documented</w:t>
      </w:r>
      <w:r>
        <w:t xml:space="preserve"> </w:t>
      </w:r>
      <w:r>
        <w:t xml:space="preserve">in Section 3.5; notably, these concentrated delegates rarely overturn</w:t>
      </w:r>
      <w:r>
        <w:t xml:space="preserve"> </w:t>
      </w:r>
      <w:r>
        <w:t xml:space="preserve">community-preferred outcomes, suggesting that concentration creates</w:t>
      </w:r>
      <w:r>
        <w:t xml:space="preserve"> </w:t>
      </w:r>
      <w:r>
        <w:t xml:space="preserve">domination risk rather than routine domination. Across 10,639 proposals</w:t>
      </w:r>
      <w:r>
        <w:t xml:space="preserve"> </w:t>
      </w:r>
      <w:r>
        <w:t xml:space="preserve">in 151 DAOs, three or fewer entities exert effective control over most</w:t>
      </w:r>
      <w:r>
        <w:t xml:space="preserve"> </w:t>
      </w:r>
      <w:r>
        <w:t xml:space="preserve">governance decisions (Appel &amp; Grennan, 2023), consistent with the</w:t>
      </w:r>
      <w:r>
        <w:t xml:space="preserve"> </w:t>
      </w:r>
      <w:r>
        <w:t xml:space="preserve">insider dominance this paper documents at the token-holder level.</w:t>
      </w:r>
    </w:p>
    <w:p>
      <w:pPr>
        <w:pStyle w:val="BodyText"/>
      </w:pPr>
      <w:r>
        <w:t xml:space="preserve">Together, these literatures (see also Feichtinger et al., 2023; Rikken</w:t>
      </w:r>
      <w:r>
        <w:t xml:space="preserve"> </w:t>
      </w:r>
      <w:r>
        <w:t xml:space="preserve">et al., 2023) motivate two design imperatives advanced in later</w:t>
      </w:r>
      <w:r>
        <w:t xml:space="preserve"> </w:t>
      </w:r>
      <w:r>
        <w:t xml:space="preserve">chapters: (i) governance systems require</w:t>
      </w:r>
      <w:r>
        <w:t xml:space="preserve"> </w:t>
      </w:r>
      <w:r>
        <w:rPr>
          <w:b/>
          <w:bCs/>
        </w:rPr>
        <w:t xml:space="preserve">contestability and due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beyond raw voting, and (ii) legitimacy depends on measurable</w:t>
      </w:r>
      <w:r>
        <w:t xml:space="preserve"> </w:t>
      </w:r>
      <w:r>
        <w:t xml:space="preserve">concentration constraints and multi-constituency representation.</w:t>
      </w:r>
    </w:p>
    <w:p>
      <w:pPr>
        <w:pStyle w:val="BodyText"/>
      </w:pPr>
      <w:r>
        <w:t xml:space="preserve">Han, Lee, and Li (2023) formalize the governance consequences of</w:t>
      </w:r>
      <w:r>
        <w:t xml:space="preserve"> </w:t>
      </w:r>
      <w:r>
        <w:t xml:space="preserve">ownership concentration, showing that whale dominance reduces platform</w:t>
      </w:r>
      <w:r>
        <w:t xml:space="preserve"> </w:t>
      </w:r>
      <w:r>
        <w:t xml:space="preserve">growth but that staking mechanisms and token illiquidity can mitigate</w:t>
      </w:r>
      <w:r>
        <w:t xml:space="preserve"> </w:t>
      </w:r>
      <w:r>
        <w:t xml:space="preserve">it. The finding that ownership concentration is structurally harmful,</w:t>
      </w:r>
      <w:r>
        <w:t xml:space="preserve"> </w:t>
      </w:r>
      <w:r>
        <w:t xml:space="preserve">not merely descriptive, motivates the normative framework developed</w:t>
      </w:r>
      <w:r>
        <w:t xml:space="preserve"> </w:t>
      </w:r>
      <w:r>
        <w:t xml:space="preserve">here: if concentration damages governance quality, the</w:t>
      </w:r>
      <w:r>
        <w:t xml:space="preserve"> </w:t>
      </w:r>
      <w:r>
        <w:t xml:space="preserve">political-philosophical traditions that specify what good governance</w:t>
      </w:r>
      <w:r>
        <w:t xml:space="preserve"> </w:t>
      </w:r>
      <w:r>
        <w:t xml:space="preserve">requires become directly relevant to token system design. Han, Lee, and</w:t>
      </w:r>
      <w:r>
        <w:t xml:space="preserve"> </w:t>
      </w:r>
      <w:r>
        <w:t xml:space="preserve">Li (2024) provide a comprehensive review of DAO governance mechanisms</w:t>
      </w:r>
      <w:r>
        <w:t xml:space="preserve"> </w:t>
      </w:r>
      <w:r>
        <w:t xml:space="preserve">and the emerging agency problem between large and small token holders.</w:t>
      </w:r>
    </w:p>
    <w:bookmarkStart w:id="41" w:name="X1f3ce45e3082525a6adb33db0e389aa3ee2c5a2"/>
    <w:p>
      <w:pPr>
        <w:pStyle w:val="Heading3"/>
      </w:pPr>
      <w:r>
        <w:t xml:space="preserve">2.4.1 Cooperatives as the Nearest Institutional Ancestor</w:t>
      </w:r>
    </w:p>
    <w:p>
      <w:pPr>
        <w:pStyle w:val="FirstParagraph"/>
      </w:pPr>
      <w:r>
        <w:t xml:space="preserve">Among established institutional forms, the cooperative bears the closest</w:t>
      </w:r>
      <w:r>
        <w:t xml:space="preserve"> </w:t>
      </w:r>
      <w:r>
        <w:t xml:space="preserve">structural resemblance to the tokenized protocol. Both organize</w:t>
      </w:r>
      <w:r>
        <w:t xml:space="preserve"> </w:t>
      </w:r>
      <w:r>
        <w:t xml:space="preserve">collective production without a single owner who captures surplus; both</w:t>
      </w:r>
      <w:r>
        <w:t xml:space="preserve"> </w:t>
      </w:r>
      <w:r>
        <w:t xml:space="preserve">distribute governance rights to participants rather than to external</w:t>
      </w:r>
      <w:r>
        <w:t xml:space="preserve"> </w:t>
      </w:r>
      <w:r>
        <w:t xml:space="preserve">shareholders; both face the challenge of sustaining voluntary</w:t>
      </w:r>
      <w:r>
        <w:t xml:space="preserve"> </w:t>
      </w:r>
      <w:r>
        <w:t xml:space="preserve">participation under conditions where exit is available. The cooperative</w:t>
      </w:r>
      <w:r>
        <w:t xml:space="preserve"> </w:t>
      </w:r>
      <w:r>
        <w:t xml:space="preserve">literature (Hansmann, 1996; Birchall, 2011) identifies these properties</w:t>
      </w:r>
      <w:r>
        <w:t xml:space="preserve"> </w:t>
      </w:r>
      <w:r>
        <w:t xml:space="preserve">as the defining features of member-owned enterprise, distinguishing</w:t>
      </w:r>
      <w:r>
        <w:t xml:space="preserve"> </w:t>
      </w:r>
      <w:r>
        <w:t xml:space="preserve">cooperatives from investor-owned firms. The International Cooperative</w:t>
      </w:r>
      <w:r>
        <w:t xml:space="preserve"> </w:t>
      </w:r>
      <w:r>
        <w:t xml:space="preserve">Alliance's seven cooperative principles (ICA, 1995), including</w:t>
      </w:r>
      <w:r>
        <w:t xml:space="preserve"> </w:t>
      </w:r>
      <w:r>
        <w:t xml:space="preserve">voluntary membership, democratic member control, and concern for</w:t>
      </w:r>
      <w:r>
        <w:t xml:space="preserve"> </w:t>
      </w:r>
      <w:r>
        <w:t xml:space="preserve">community, map onto legitimacy constraints derived from political</w:t>
      </w:r>
      <w:r>
        <w:t xml:space="preserve"> </w:t>
      </w:r>
      <w:r>
        <w:t xml:space="preserve">philosophy.</w:t>
      </w:r>
    </w:p>
    <w:p>
      <w:pPr>
        <w:pStyle w:val="BodyText"/>
      </w:pPr>
      <w:r>
        <w:t xml:space="preserve">Five structural differences separate protocols from cooperatives. First,</w:t>
      </w:r>
      <w:r>
        <w:t xml:space="preserve"> </w:t>
      </w:r>
      <w:r>
        <w:t xml:space="preserve">cooperatives require application and capital contribution; protocols</w:t>
      </w:r>
      <w:r>
        <w:t xml:space="preserve"> </w:t>
      </w:r>
      <w:r>
        <w:t xml:space="preserve">permit permissionless entry under pseudonymity. Second, cooperative</w:t>
      </w:r>
      <w:r>
        <w:t xml:space="preserve"> </w:t>
      </w:r>
      <w:r>
        <w:t xml:space="preserve">ownership is purchased; well-designed protocol ownership is earned</w:t>
      </w:r>
      <w:r>
        <w:t xml:space="preserve"> </w:t>
      </w:r>
      <w:r>
        <w:t xml:space="preserve">through contribution (staking, hardware deployment, service delivery), a</w:t>
      </w:r>
      <w:r>
        <w:t xml:space="preserve"> </w:t>
      </w:r>
      <w:r>
        <w:t xml:space="preserve">property Scholz (2016) identifies as the platform-cooperativism premise.</w:t>
      </w:r>
      <w:r>
        <w:t xml:space="preserve"> </w:t>
      </w:r>
      <w:r>
        <w:t xml:space="preserve">The governance concentration data presented in Section 3 indicate that</w:t>
      </w:r>
      <w:r>
        <w:t xml:space="preserve"> </w:t>
      </w:r>
      <w:r>
        <w:t xml:space="preserve">most protocols have not collapsed the capital-labor boundary in</w:t>
      </w:r>
      <w:r>
        <w:t xml:space="preserve"> </w:t>
      </w:r>
      <w:r>
        <w:t xml:space="preserve">practice: holding HHI values span from cooperative-grade distribution</w:t>
      </w:r>
      <w:r>
        <w:t xml:space="preserve"> </w:t>
      </w:r>
      <w:r>
        <w:t xml:space="preserve">(Anyone Protocol 0.040) to single-party control. Third, cooperatives</w:t>
      </w:r>
      <w:r>
        <w:t xml:space="preserve"> </w:t>
      </w:r>
      <w:r>
        <w:t xml:space="preserve">enforce through bylaws, elected boards, and courts; protocols enforce</w:t>
      </w:r>
      <w:r>
        <w:t xml:space="preserve"> </w:t>
      </w:r>
      <w:r>
        <w:t xml:space="preserve">through code, gaining credible neutrality at the cost of contextual</w:t>
      </w:r>
      <w:r>
        <w:t xml:space="preserve"> </w:t>
      </w:r>
      <w:r>
        <w:t xml:space="preserve">judgment unless appeal mechanisms are designed in. Fourth, cooperatives</w:t>
      </w:r>
      <w:r>
        <w:t xml:space="preserve"> </w:t>
      </w:r>
      <w:r>
        <w:t xml:space="preserve">operate within one jurisdiction's cooperative law; protocols operate</w:t>
      </w:r>
      <w:r>
        <w:t xml:space="preserve"> </w:t>
      </w:r>
      <w:r>
        <w:t xml:space="preserve">across jurisdictions simultaneously, making Ostromian polycentricity</w:t>
      </w:r>
      <w:r>
        <w:t xml:space="preserve"> </w:t>
      </w:r>
      <w:r>
        <w:t xml:space="preserve">(developed in Section 2.6) a structural necessity rather than a design</w:t>
      </w:r>
      <w:r>
        <w:t xml:space="preserve"> </w:t>
      </w:r>
      <w:r>
        <w:t xml:space="preserve">preference. Fifth, cooperative fiscal discipline operates through dues</w:t>
      </w:r>
      <w:r>
        <w:t xml:space="preserve"> </w:t>
      </w:r>
      <w:r>
        <w:t xml:space="preserve">and patronage dividends; protocol fiscal discipline operates through</w:t>
      </w:r>
      <w:r>
        <w:t xml:space="preserve"> </w:t>
      </w:r>
      <w:r>
        <w:t xml:space="preserve">emissions and burns, with the Spend-to-Reward ratio the protocol</w:t>
      </w:r>
      <w:r>
        <w:t xml:space="preserve"> </w:t>
      </w:r>
      <w:r>
        <w:t xml:space="preserve">equivalent of cooperative fiscal sustainability.</w:t>
      </w:r>
    </w:p>
    <w:p>
      <w:pPr>
        <w:pStyle w:val="BodyText"/>
      </w:pPr>
      <w:r>
        <w:t xml:space="preserve">These distinctions define the contribution space: protocols inherit the</w:t>
      </w:r>
      <w:r>
        <w:t xml:space="preserve"> </w:t>
      </w:r>
      <w:r>
        <w:t xml:space="preserve">cooperative's legitimacy challenge (governing collective production</w:t>
      </w:r>
      <w:r>
        <w:t xml:space="preserve"> </w:t>
      </w:r>
      <w:r>
        <w:t xml:space="preserve">without a centralized principal) while adding permissionless entry,</w:t>
      </w:r>
      <w:r>
        <w:t xml:space="preserve"> </w:t>
      </w:r>
      <w:r>
        <w:t xml:space="preserve">programmable enforcement, and borderless jurisdiction as additional</w:t>
      </w:r>
      <w:r>
        <w:t xml:space="preserve"> </w:t>
      </w:r>
      <w:r>
        <w:t xml:space="preserve">design constraints. The polycentric framework in Section 2.6 takes up</w:t>
      </w:r>
      <w:r>
        <w:t xml:space="preserve"> </w:t>
      </w:r>
      <w:r>
        <w:t xml:space="preserve">this expanded design space; the empirical results in Section 3 indicate</w:t>
      </w:r>
      <w:r>
        <w:t xml:space="preserve"> </w:t>
      </w:r>
      <w:r>
        <w:t xml:space="preserve">how far current protocols remain from satisfying it.</w:t>
      </w:r>
    </w:p>
    <w:bookmarkEnd w:id="41"/>
    <w:bookmarkEnd w:id="42"/>
    <w:bookmarkStart w:id="43" w:name="Xf0daa705ba3e7e15c535cfb5e795a9dcac8f960"/>
    <w:p>
      <w:pPr>
        <w:pStyle w:val="Heading2"/>
      </w:pPr>
      <w:r>
        <w:t xml:space="preserve">2.5 DePIN and Tokenized Physical Infrastructure: Demand Coupling and Service Verification</w:t>
      </w:r>
    </w:p>
    <w:p>
      <w:pPr>
        <w:pStyle w:val="FirstParagraph"/>
      </w:pPr>
      <w:r>
        <w:t xml:space="preserve">DePIN expand tokenized coordination into the physical world (Bane &amp;</w:t>
      </w:r>
      <w:r>
        <w:t xml:space="preserve"> </w:t>
      </w:r>
      <w:r>
        <w:t xml:space="preserve">Gala, 2025, 2026): hardware deployment, service provision, and</w:t>
      </w:r>
      <w:r>
        <w:t xml:space="preserve"> </w:t>
      </w:r>
      <w:r>
        <w:t xml:space="preserve">maintenance. DePIN intensifies the institutional nature of tokenomics</w:t>
      </w:r>
      <w:r>
        <w:t xml:space="preserve"> </w:t>
      </w:r>
      <w:r>
        <w:t xml:space="preserve">because it coordinates capital formation (hardware investment), labor</w:t>
      </w:r>
      <w:r>
        <w:t xml:space="preserve"> </w:t>
      </w:r>
      <w:r>
        <w:t xml:space="preserve">(operations), and service quality (SLA performance). The result is a</w:t>
      </w:r>
      <w:r>
        <w:t xml:space="preserve"> </w:t>
      </w:r>
      <w:r>
        <w:t xml:space="preserve">system that resembles public infrastructure governance more than</w:t>
      </w:r>
      <w:r>
        <w:t xml:space="preserve"> </w:t>
      </w:r>
      <w:r>
        <w:t xml:space="preserve">application monetization.</w:t>
      </w:r>
    </w:p>
    <w:p>
      <w:pPr>
        <w:pStyle w:val="BodyText"/>
      </w:pPr>
      <w:r>
        <w:t xml:space="preserve">Recent taxonomies formalize DePIN as a distinct coordination category</w:t>
      </w:r>
      <w:r>
        <w:t xml:space="preserve"> </w:t>
      </w:r>
      <w:r>
        <w:t xml:space="preserve">with three architectural layers spanning distributed ledger,</w:t>
      </w:r>
      <w:r>
        <w:t xml:space="preserve"> </w:t>
      </w:r>
      <w:r>
        <w:t xml:space="preserve">cryptoeconomic, and physical infrastructure dimensions (Ballandies et</w:t>
      </w:r>
      <w:r>
        <w:t xml:space="preserve"> </w:t>
      </w:r>
      <w:r>
        <w:t xml:space="preserve">al., 2023), while Alshater (2026) synthesizes the token flywheel</w:t>
      </w:r>
      <w:r>
        <w:t xml:space="preserve"> </w:t>
      </w:r>
      <w:r>
        <w:t xml:space="preserve">mechanism through which burn-and-mint equilibria bootstrap supply-side</w:t>
      </w:r>
      <w:r>
        <w:t xml:space="preserve"> </w:t>
      </w:r>
      <w:r>
        <w:t xml:space="preserve">hardware deployment.</w:t>
      </w:r>
    </w:p>
    <w:p>
      <w:pPr>
        <w:pStyle w:val="BodyText"/>
      </w:pPr>
      <w:r>
        <w:t xml:space="preserve">A key design pattern in DePIN is dual-asset economics (Voshmgir, 2020)</w:t>
      </w:r>
      <w:r>
        <w:t xml:space="preserve"> </w:t>
      </w:r>
      <w:r>
        <w:t xml:space="preserve">separating speculative governance/stake tokens from stable-value usage</w:t>
      </w:r>
      <w:r>
        <w:t xml:space="preserve"> </w:t>
      </w:r>
      <w:r>
        <w:t xml:space="preserve">credits. Helium provides a prominent example: network usage is paid in</w:t>
      </w:r>
      <w:r>
        <w:t xml:space="preserve"> </w:t>
      </w:r>
      <w:r>
        <w:t xml:space="preserve">Data Credits, a non-transferable utility token used for service payments</w:t>
      </w:r>
      <w:r>
        <w:t xml:space="preserve"> </w:t>
      </w:r>
      <w:r>
        <w:t xml:space="preserve">and onboarding actions.</w:t>
      </w:r>
      <w:r>
        <w:br/>
      </w:r>
      <w:r>
        <w:t xml:space="preserve">This dual-asset structure motivates a general principle developed later:</w:t>
      </w:r>
      <w:r>
        <w:t xml:space="preserve"> </w:t>
      </w:r>
      <w:r>
        <w:t xml:space="preserve">stable-value usage pricing reduces user friction, while governance/stake</w:t>
      </w:r>
      <w:r>
        <w:t xml:space="preserve"> </w:t>
      </w:r>
      <w:r>
        <w:t xml:space="preserve">tokens enable long-term alignment and security. Separate simulation work</w:t>
      </w:r>
      <w:r>
        <w:t xml:space="preserve"> </w:t>
      </w:r>
      <w:r>
        <w:t xml:space="preserve">stress-tests DePIN mechanism designs under adversarial conditions using</w:t>
      </w:r>
      <w:r>
        <w:t xml:space="preserve"> </w:t>
      </w:r>
      <w:r>
        <w:t xml:space="preserve">cadCAD (a Python-based simulation framework), demonstrating that</w:t>
      </w:r>
      <w:r>
        <w:t xml:space="preserve"> </w:t>
      </w:r>
      <w:r>
        <w:t xml:space="preserve">mechanism-level choices (emission model, slashing parameters) produce</w:t>
      </w:r>
      <w:r>
        <w:t xml:space="preserve"> </w:t>
      </w:r>
      <w:r>
        <w:t xml:space="preserve">macro-level institutional outcomes that the normative framework</w:t>
      </w:r>
      <w:r>
        <w:t xml:space="preserve"> </w:t>
      </w:r>
      <w:r>
        <w:t xml:space="preserve">developed here can evaluate.</w:t>
      </w:r>
    </w:p>
    <w:bookmarkEnd w:id="43"/>
    <w:bookmarkStart w:id="46" w:name="Xc2d1d07b1e4820d5be2deaab7c7dadd6bb1dea4"/>
    <w:p>
      <w:pPr>
        <w:pStyle w:val="Heading2"/>
      </w:pPr>
      <w:r>
        <w:t xml:space="preserve">2.6 Constitutional Political Economy and Polycentric Governance</w:t>
      </w:r>
    </w:p>
    <w:bookmarkStart w:id="44" w:name="X307cdd24b7c9badf83aad1013f200984ee0c4ad"/>
    <w:p>
      <w:pPr>
        <w:pStyle w:val="Heading3"/>
      </w:pPr>
      <w:r>
        <w:t xml:space="preserve">2.6.1 Constitutions as Rule-Selection Under Constraints</w:t>
      </w:r>
    </w:p>
    <w:p>
      <w:pPr>
        <w:pStyle w:val="FirstParagraph"/>
      </w:pPr>
      <w:r>
        <w:t xml:space="preserve">Constitutional political economy (Buchanan &amp; Tullock, 1962) treats</w:t>
      </w:r>
      <w:r>
        <w:t xml:space="preserve"> </w:t>
      </w:r>
      <w:r>
        <w:t xml:space="preserve">political rules as objects of analysis and choice rather than fixed</w:t>
      </w:r>
      <w:r>
        <w:t xml:space="preserve"> </w:t>
      </w:r>
      <w:r>
        <w:t xml:space="preserve">background conditions. Buchanan and Tullock frame constitutions as</w:t>
      </w:r>
      <w:r>
        <w:t xml:space="preserve"> </w:t>
      </w:r>
      <w:r>
        <w:t xml:space="preserve">foundational constraints shaping later policy choices and collective</w:t>
      </w:r>
      <w:r>
        <w:t xml:space="preserve"> </w:t>
      </w:r>
      <w:r>
        <w:t xml:space="preserve">decisions; this resonates with tokenized systems where</w:t>
      </w:r>
      <w:r>
        <w:t xml:space="preserve"> </w:t>
      </w:r>
      <w:r>
        <w:t xml:space="preserve">“hard parameters”</w:t>
      </w:r>
      <w:r>
        <w:t xml:space="preserve"> </w:t>
      </w:r>
      <w:r>
        <w:t xml:space="preserve">(e.g., inflation bounds, timelocks, emergency powers) are embedded in</w:t>
      </w:r>
      <w:r>
        <w:t xml:space="preserve"> </w:t>
      </w:r>
      <w:r>
        <w:t xml:space="preserve">code. Buchanan and Tullock explicitly describe their work as analyzing</w:t>
      </w:r>
      <w:r>
        <w:t xml:space="preserve"> </w:t>
      </w:r>
      <w:r>
        <w:t xml:space="preserve">the political organization of a society of free persons, using economic</w:t>
      </w:r>
      <w:r>
        <w:t xml:space="preserve"> </w:t>
      </w:r>
      <w:r>
        <w:t xml:space="preserve">reasoning to examine constitutional constraints.</w:t>
      </w:r>
    </w:p>
    <w:p>
      <w:pPr>
        <w:pStyle w:val="BodyText"/>
      </w:pPr>
      <w:r>
        <w:t xml:space="preserve">This literature (Buchanan &amp; Tullock, 1962; extended in Brennan &amp;</w:t>
      </w:r>
      <w:r>
        <w:t xml:space="preserve"> </w:t>
      </w:r>
      <w:r>
        <w:t xml:space="preserve">Buchanan, 1985, on rule-following and the asymmetry between rules and</w:t>
      </w:r>
      <w:r>
        <w:t xml:space="preserve"> </w:t>
      </w:r>
      <w:r>
        <w:t xml:space="preserve">the discretionary decisions they constrain; North, 1990, on the role</w:t>
      </w:r>
      <w:r>
        <w:t xml:space="preserve"> </w:t>
      </w:r>
      <w:r>
        <w:t xml:space="preserve">of institutions as humanly-devised constraints structuring economic</w:t>
      </w:r>
      <w:r>
        <w:t xml:space="preserve"> </w:t>
      </w:r>
      <w:r>
        <w:t xml:space="preserve">exchange) informs later chapters’ distinction between a protocol’s</w:t>
      </w:r>
      <w:r>
        <w:t xml:space="preserve"> </w:t>
      </w:r>
      <w:r>
        <w:t xml:space="preserve">“constitutional layer”</w:t>
      </w:r>
      <w:r>
        <w:t xml:space="preserve"> </w:t>
      </w:r>
      <w:r>
        <w:t xml:space="preserve">(hard-to-change constraints) and</w:t>
      </w:r>
      <w:r>
        <w:t xml:space="preserve"> </w:t>
      </w:r>
      <w:r>
        <w:t xml:space="preserve">“policy</w:t>
      </w:r>
      <w:r>
        <w:t xml:space="preserve"> </w:t>
      </w:r>
      <w:r>
        <w:t xml:space="preserve">layer”</w:t>
      </w:r>
      <w:r>
        <w:t xml:space="preserve"> </w:t>
      </w:r>
      <w:r>
        <w:t xml:space="preserve">(adjustable parameters).</w:t>
      </w:r>
    </w:p>
    <w:bookmarkEnd w:id="44"/>
    <w:bookmarkStart w:id="45" w:name="ostrom-and-polycentricity"/>
    <w:p>
      <w:pPr>
        <w:pStyle w:val="Heading3"/>
      </w:pPr>
      <w:r>
        <w:t xml:space="preserve">2.6.2 Ostrom and Polycentricity</w:t>
      </w:r>
    </w:p>
    <w:p>
      <w:pPr>
        <w:pStyle w:val="FirstParagraph"/>
      </w:pPr>
      <w:r>
        <w:t xml:space="preserve">Ostrom’s (1990) work provides one of the strongest empirical foundations</w:t>
      </w:r>
      <w:r>
        <w:t xml:space="preserve"> </w:t>
      </w:r>
      <w:r>
        <w:t xml:space="preserve">for governance of commons and public service industries, building on</w:t>
      </w:r>
      <w:r>
        <w:t xml:space="preserve"> </w:t>
      </w:r>
      <w:r>
        <w:t xml:space="preserve">and overturning Hardin’s (1968)</w:t>
      </w:r>
      <w:r>
        <w:t xml:space="preserve"> </w:t>
      </w:r>
      <w:r>
        <w:t xml:space="preserve">“tragedy of the commons”</w:t>
      </w:r>
      <w:r>
        <w:t xml:space="preserve"> </w:t>
      </w:r>
      <w:r>
        <w:t xml:space="preserve">by documenting</w:t>
      </w:r>
      <w:r>
        <w:t xml:space="preserve"> </w:t>
      </w:r>
      <w:r>
        <w:t xml:space="preserve">sustained commons-management institutions that avoid both privatization</w:t>
      </w:r>
      <w:r>
        <w:t xml:space="preserve"> </w:t>
      </w:r>
      <w:r>
        <w:t xml:space="preserve">and centralized state control. Her concept of polycentric governance</w:t>
      </w:r>
      <w:r>
        <w:t xml:space="preserve"> </w:t>
      </w:r>
      <w:r>
        <w:t xml:space="preserve">emphasizes multiple overlapping decision centers, local experimentation,</w:t>
      </w:r>
      <w:r>
        <w:t xml:space="preserve"> </w:t>
      </w:r>
      <w:r>
        <w:t xml:space="preserve">and rule diversity. Ostrom’s AER article</w:t>
      </w:r>
      <w:r>
        <w:t xml:space="preserve"> </w:t>
      </w:r>
      <w:r>
        <w:t xml:space="preserve">explicitly characterizes polycentric systems as alternatives to the</w:t>
      </w:r>
      <w:r>
        <w:t xml:space="preserve"> </w:t>
      </w:r>
      <w:r>
        <w:t xml:space="preserve">binary</w:t>
      </w:r>
      <w:r>
        <w:t xml:space="preserve"> </w:t>
      </w:r>
      <w:r>
        <w:t xml:space="preserve">“market vs state”</w:t>
      </w:r>
      <w:r>
        <w:t xml:space="preserve"> </w:t>
      </w:r>
      <w:r>
        <w:t xml:space="preserve">framing, offering an analytical framework for</w:t>
      </w:r>
      <w:r>
        <w:t xml:space="preserve"> </w:t>
      </w:r>
      <w:r>
        <w:t xml:space="preserve">complex economic systems with multi-level governance. Van Vulpen and</w:t>
      </w:r>
      <w:r>
        <w:t xml:space="preserve"> </w:t>
      </w:r>
      <w:r>
        <w:t xml:space="preserve">Jansen (2023) map Ostrom’s eight design principles to DAO governance</w:t>
      </w:r>
      <w:r>
        <w:t xml:space="preserve"> </w:t>
      </w:r>
      <w:r>
        <w:t xml:space="preserve">structures, providing a standardized evaluation framework for collective</w:t>
      </w:r>
      <w:r>
        <w:t xml:space="preserve"> </w:t>
      </w:r>
      <w:r>
        <w:t xml:space="preserve">action sustainability; the scoring rubric developed here (Table 1)</w:t>
      </w:r>
      <w:r>
        <w:t xml:space="preserve"> </w:t>
      </w:r>
      <w:r>
        <w:t xml:space="preserve">extends their mapping by adding four non-Ostromian traditions and</w:t>
      </w:r>
      <w:r>
        <w:t xml:space="preserve"> </w:t>
      </w:r>
      <w:r>
        <w:t xml:space="preserve">operationalizing the resulting criteria through quantitative governance</w:t>
      </w:r>
      <w:r>
        <w:t xml:space="preserve"> </w:t>
      </w:r>
      <w:r>
        <w:t xml:space="preserve">concentration data. Li and Chen (2024) conceptualize DAOs as collective</w:t>
      </w:r>
      <w:r>
        <w:t xml:space="preserve"> </w:t>
      </w:r>
      <w:r>
        <w:t xml:space="preserve">stewards of digital commons, adapting Ostrom’s design principles to</w:t>
      </w:r>
      <w:r>
        <w:t xml:space="preserve"> </w:t>
      </w:r>
      <w:r>
        <w:t xml:space="preserve">emphasize equitable distribution of decision-making authority; the</w:t>
      </w:r>
      <w:r>
        <w:t xml:space="preserve"> </w:t>
      </w:r>
      <w:r>
        <w:t xml:space="preserve">governance concentration data in Section 3 test whether operating</w:t>
      </w:r>
      <w:r>
        <w:t xml:space="preserve"> </w:t>
      </w:r>
      <w:r>
        <w:t xml:space="preserve">protocols achieve the distributional outcomes this framing requires. De</w:t>
      </w:r>
      <w:r>
        <w:t xml:space="preserve"> </w:t>
      </w:r>
      <w:r>
        <w:t xml:space="preserve">Filippi et al. (2024) analyze overlapping decision-making structures in</w:t>
      </w:r>
      <w:r>
        <w:t xml:space="preserve"> </w:t>
      </w:r>
      <w:r>
        <w:t xml:space="preserve">blockchain systems through Ostrom’s polycentricity framework,</w:t>
      </w:r>
      <w:r>
        <w:t xml:space="preserve"> </w:t>
      </w:r>
      <w:r>
        <w:t xml:space="preserve">identifying structure, process, and outcome dimensions that map onto the</w:t>
      </w:r>
      <w:r>
        <w:t xml:space="preserve"> </w:t>
      </w:r>
      <w:r>
        <w:t xml:space="preserve">governance concentration, delegation, and participation metrics measured</w:t>
      </w:r>
      <w:r>
        <w:t xml:space="preserve"> </w:t>
      </w:r>
      <w:r>
        <w:t xml:space="preserve">here.</w:t>
      </w:r>
    </w:p>
    <w:p>
      <w:pPr>
        <w:pStyle w:val="BodyText"/>
      </w:pPr>
      <w:r>
        <w:t xml:space="preserve">Polycentricity (Ostrom, 1990) is particularly salient for DePIN, where</w:t>
      </w:r>
      <w:r>
        <w:t xml:space="preserve"> </w:t>
      </w:r>
      <w:r>
        <w:t xml:space="preserve">service conditions differ across geography and where local knowledge is</w:t>
      </w:r>
      <w:r>
        <w:t xml:space="preserve"> </w:t>
      </w:r>
      <w:r>
        <w:t xml:space="preserve">crucial for operational decisions. The paper later proposes polycentric</w:t>
      </w:r>
      <w:r>
        <w:t xml:space="preserve"> </w:t>
      </w:r>
      <w:r>
        <w:t xml:space="preserve">sub-DAOs/councils as governance primitives for range-based or</w:t>
      </w:r>
      <w:r>
        <w:t xml:space="preserve"> </w:t>
      </w:r>
      <w:r>
        <w:t xml:space="preserve">region-based tuning.</w:t>
      </w:r>
    </w:p>
    <w:bookmarkEnd w:id="45"/>
    <w:bookmarkEnd w:id="46"/>
    <w:bookmarkStart w:id="47" w:name="Xd0adb4b9a2eb2992bd6cd51232a3cb98c3ff28e"/>
    <w:p>
      <w:pPr>
        <w:pStyle w:val="Heading2"/>
      </w:pPr>
      <w:r>
        <w:t xml:space="preserve">2.7 Political Philosophy as Legitimacy Specification</w:t>
      </w:r>
    </w:p>
    <w:p>
      <w:pPr>
        <w:pStyle w:val="FirstParagraph"/>
      </w:pPr>
      <w:r>
        <w:t xml:space="preserve">Five normative traditions constrain how legitimate institutional design</w:t>
      </w:r>
      <w:r>
        <w:t xml:space="preserve"> </w:t>
      </w:r>
      <w:r>
        <w:t xml:space="preserve">should look. Kant’s (1785/1997) publicity principle holds that political</w:t>
      </w:r>
      <w:r>
        <w:t xml:space="preserve"> </w:t>
      </w:r>
      <w:r>
        <w:t xml:space="preserve">maxims must be capable of public avowal and that coercion (slashing,</w:t>
      </w:r>
      <w:r>
        <w:t xml:space="preserve"> </w:t>
      </w:r>
      <w:r>
        <w:t xml:space="preserve">bans, parameter changes) is legitimate only when grounded in transparent</w:t>
      </w:r>
      <w:r>
        <w:t xml:space="preserve"> </w:t>
      </w:r>
      <w:r>
        <w:t xml:space="preserve">and non-arbitrary rules. Republican freedom as non-domination (Pettit</w:t>
      </w:r>
      <w:r>
        <w:t xml:space="preserve"> </w:t>
      </w:r>
      <w:r>
        <w:t xml:space="preserve">1997, building on Skinner’s 1998 historical recovery of the neo-Roman</w:t>
      </w:r>
      <w:r>
        <w:t xml:space="preserve"> </w:t>
      </w:r>
      <w:r>
        <w:t xml:space="preserve">tradition; Stanford Encyclopedia of Philosophy 2025) reframes</w:t>
      </w:r>
      <w:r>
        <w:t xml:space="preserve"> </w:t>
      </w:r>
      <w:r>
        <w:t xml:space="preserve">legitimacy as protection against arbitrary power rather than mere</w:t>
      </w:r>
      <w:r>
        <w:t xml:space="preserve"> </w:t>
      </w:r>
      <w:r>
        <w:t xml:space="preserve">non-interference. Pettit positions non-domination as orthogonal to</w:t>
      </w:r>
      <w:r>
        <w:t xml:space="preserve"> </w:t>
      </w:r>
      <w:r>
        <w:t xml:space="preserve">Berlin’s (1958) negative and positive liberty: it is neither pure</w:t>
      </w:r>
      <w:r>
        <w:t xml:space="preserve"> </w:t>
      </w:r>
      <w:r>
        <w:t xml:space="preserve">non-interference (Berlin’s negative liberty, which fails to capture</w:t>
      </w:r>
      <w:r>
        <w:t xml:space="preserve"> </w:t>
      </w:r>
      <w:r>
        <w:t xml:space="preserve">the freedom-cost of being subject to arbitrary power even when</w:t>
      </w:r>
      <w:r>
        <w:t xml:space="preserve"> </w:t>
      </w:r>
      <w:r>
        <w:t xml:space="preserve">interference is not exercised) nor pure self-mastery (Berlin’s</w:t>
      </w:r>
      <w:r>
        <w:t xml:space="preserve"> </w:t>
      </w:r>
      <w:r>
        <w:t xml:space="preserve">positive liberty); republican freedom is the structural condition of</w:t>
      </w:r>
      <w:r>
        <w:t xml:space="preserve"> </w:t>
      </w:r>
      <w:r>
        <w:t xml:space="preserve">not being subject to arbitrary will, distinct from both Berlin</w:t>
      </w:r>
      <w:r>
        <w:t xml:space="preserve"> </w:t>
      </w:r>
      <w:r>
        <w:t xml:space="preserve">categories. Pettit distinguishes the freedom-state (non-domination:</w:t>
      </w:r>
      <w:r>
        <w:t xml:space="preserve"> </w:t>
      </w:r>
      <w:r>
        <w:t xml:space="preserve">absence of capacity for arbitrary interference) from the institutional</w:t>
      </w:r>
      <w:r>
        <w:t xml:space="preserve"> </w:t>
      </w:r>
      <w:r>
        <w:t xml:space="preserve">mechanism that secures it (contestability: the structured ability to</w:t>
      </w:r>
      <w:r>
        <w:t xml:space="preserve"> </w:t>
      </w:r>
      <w:r>
        <w:t xml:space="preserve">challenge governance decisions through appeals, oversight, and bounded</w:t>
      </w:r>
      <w:r>
        <w:t xml:space="preserve"> </w:t>
      </w:r>
      <w:r>
        <w:t xml:space="preserve">enforcement discretion). The framework in Section 2.9 operationalizes</w:t>
      </w:r>
      <w:r>
        <w:t xml:space="preserve"> </w:t>
      </w:r>
      <w:r>
        <w:t xml:space="preserve">the contestability mechanism in Table 1 and identifies non-domination</w:t>
      </w:r>
      <w:r>
        <w:t xml:space="preserve"> </w:t>
      </w:r>
      <w:r>
        <w:t xml:space="preserve">as the goal-state contestability is designed to produce; both concepts</w:t>
      </w:r>
      <w:r>
        <w:t xml:space="preserve"> </w:t>
      </w:r>
      <w:r>
        <w:t xml:space="preserve">appear in this paper’s discussion, with the distinction maintained per</w:t>
      </w:r>
      <w:r>
        <w:t xml:space="preserve"> </w:t>
      </w:r>
      <w:r>
        <w:t xml:space="preserve">Pettit’s framework. The capability approach (Sen, 1999;</w:t>
      </w:r>
      <w:r>
        <w:t xml:space="preserve"> </w:t>
      </w:r>
      <w:r>
        <w:t xml:space="preserve">Nussbaum, 2011) evaluates social arrangements not by aggregate output</w:t>
      </w:r>
      <w:r>
        <w:t xml:space="preserve"> </w:t>
      </w:r>
      <w:r>
        <w:t xml:space="preserve">but by the substantive opportunities individuals have to achieve valued</w:t>
      </w:r>
      <w:r>
        <w:t xml:space="preserve"> </w:t>
      </w:r>
      <w:r>
        <w:t xml:space="preserve">doings and beings, a frame Yanaka and Heeks (2023) extend to digital</w:t>
      </w:r>
      <w:r>
        <w:t xml:space="preserve"> </w:t>
      </w:r>
      <w:r>
        <w:t xml:space="preserve">platform labor and which applies directly to DePIN operators whose</w:t>
      </w:r>
      <w:r>
        <w:t xml:space="preserve"> </w:t>
      </w:r>
      <w:r>
        <w:t xml:space="preserve">hardware lock-in constrains exit options. Hayek’s (1945)</w:t>
      </w:r>
      <w:r>
        <w:t xml:space="preserve"> </w:t>
      </w:r>
      <w:r>
        <w:t xml:space="preserve">“Use of</w:t>
      </w:r>
      <w:r>
        <w:t xml:space="preserve"> </w:t>
      </w:r>
      <w:r>
        <w:t xml:space="preserve">Knowledge in Society”</w:t>
      </w:r>
      <w:r>
        <w:t xml:space="preserve"> </w:t>
      </w:r>
      <w:r>
        <w:t xml:space="preserve">argues that dispersed local information cannot be</w:t>
      </w:r>
      <w:r>
        <w:t xml:space="preserve"> </w:t>
      </w:r>
      <w:r>
        <w:t xml:space="preserve">replicated by centralized planning, providing both a critique of static</w:t>
      </w:r>
      <w:r>
        <w:t xml:space="preserve"> </w:t>
      </w:r>
      <w:r>
        <w:t xml:space="preserve">parameter-setting and a positive case for governance designs that</w:t>
      </w:r>
      <w:r>
        <w:t xml:space="preserve"> </w:t>
      </w:r>
      <w:r>
        <w:t xml:space="preserve">incorporate edge-level signals.</w:t>
      </w:r>
    </w:p>
    <w:p>
      <w:pPr>
        <w:pStyle w:val="BodyText"/>
      </w:pPr>
      <w:r>
        <w:t xml:space="preserve">A fifth tradition addresses the data-and-identity infrastructure that</w:t>
      </w:r>
      <w:r>
        <w:t xml:space="preserve"> </w:t>
      </w:r>
      <w:r>
        <w:t xml:space="preserve">tokenized networks require for sybil resistance, proof-of-service, and</w:t>
      </w:r>
      <w:r>
        <w:t xml:space="preserve"> </w:t>
      </w:r>
      <w:r>
        <w:t xml:space="preserve">reputation. Nissenbaum’s (2010) framing of privacy as contextual</w:t>
      </w:r>
      <w:r>
        <w:t xml:space="preserve"> </w:t>
      </w:r>
      <w:r>
        <w:t xml:space="preserve">integrity treats appropriate information flow as governed by</w:t>
      </w:r>
      <w:r>
        <w:t xml:space="preserve"> </w:t>
      </w:r>
      <w:r>
        <w:t xml:space="preserve">context-specific norms; Floridi (2013) extends this into a broader</w:t>
      </w:r>
      <w:r>
        <w:t xml:space="preserve"> </w:t>
      </w:r>
      <w:r>
        <w:t xml:space="preserve">information ethics. Together, these frameworks underwrite the design</w:t>
      </w:r>
      <w:r>
        <w:t xml:space="preserve"> </w:t>
      </w:r>
      <w:r>
        <w:t xml:space="preserve">claim that token systems relying on ever-expanding telemetry risk</w:t>
      </w:r>
      <w:r>
        <w:t xml:space="preserve"> </w:t>
      </w:r>
      <w:r>
        <w:t xml:space="preserve">becoming disciplinary infrastructures unless constrained by contextual</w:t>
      </w:r>
      <w:r>
        <w:t xml:space="preserve"> </w:t>
      </w:r>
      <w:r>
        <w:t xml:space="preserve">integrity and proportionality. The five traditions are not isolated</w:t>
      </w:r>
      <w:r>
        <w:t xml:space="preserve"> </w:t>
      </w:r>
      <w:r>
        <w:t xml:space="preserve">lenses but complementary specifications of legitimacy, jointly defining</w:t>
      </w:r>
      <w:r>
        <w:t xml:space="preserve"> </w:t>
      </w:r>
      <w:r>
        <w:t xml:space="preserve">the design constraints the framework operationalizes in Section 2.9 and</w:t>
      </w:r>
      <w:r>
        <w:t xml:space="preserve"> </w:t>
      </w:r>
      <w:r>
        <w:t xml:space="preserve">the scoring rubric in Table 1.</w:t>
      </w:r>
    </w:p>
    <w:bookmarkEnd w:id="47"/>
    <w:bookmarkStart w:id="48" w:name="synthesis-and-research-gap"/>
    <w:p>
      <w:pPr>
        <w:pStyle w:val="Heading2"/>
      </w:pPr>
      <w:r>
        <w:t xml:space="preserve">2.8 Synthesis and Research Gap</w:t>
      </w:r>
    </w:p>
    <w:p>
      <w:pPr>
        <w:pStyle w:val="FirstParagraph"/>
      </w:pPr>
      <w:r>
        <w:t xml:space="preserve">Across economics, computer science, political philosophy, and</w:t>
      </w:r>
      <w:r>
        <w:t xml:space="preserve"> </w:t>
      </w:r>
      <w:r>
        <w:t xml:space="preserve">institutional analysis, a shared conclusion emerges: tokenized systems</w:t>
      </w:r>
      <w:r>
        <w:t xml:space="preserve"> </w:t>
      </w:r>
      <w:r>
        <w:t xml:space="preserve">create constitutions and policies in code (Werner et al., 2022). Yet</w:t>
      </w:r>
      <w:r>
        <w:t xml:space="preserve"> </w:t>
      </w:r>
      <w:r>
        <w:t xml:space="preserve">existing literature rarely provides a unified framework linking (i)</w:t>
      </w:r>
      <w:r>
        <w:t xml:space="preserve"> </w:t>
      </w:r>
      <w:r>
        <w:t xml:space="preserve">philosophical legitimacy constraints, (ii) tokenomics mechanism design,</w:t>
      </w:r>
      <w:r>
        <w:t xml:space="preserve"> </w:t>
      </w:r>
      <w:r>
        <w:t xml:space="preserve">and (iii) measurable outcomes in sustainability, governance quality,</w:t>
      </w:r>
      <w:r>
        <w:t xml:space="preserve"> </w:t>
      </w:r>
      <w:r>
        <w:t xml:space="preserve">resilience, and social welfare.</w:t>
      </w:r>
    </w:p>
    <w:p>
      <w:pPr>
        <w:pStyle w:val="BodyText"/>
      </w:pPr>
      <w:r>
        <w:t xml:space="preserve">The contribution is threefold:</w:t>
      </w:r>
    </w:p>
    <w:p>
      <w:pPr>
        <w:pStyle w:val="BodyText"/>
      </w:pPr>
      <w:r>
        <w:t xml:space="preserve">an exclusion methodology (Section 3.2) that identifies 126 addresses</w:t>
      </w:r>
      <w:r>
        <w:t xml:space="preserve"> </w:t>
      </w:r>
      <w:r>
        <w:t xml:space="preserve">controlled by protocols themselves but appearing on holder lists,</w:t>
      </w:r>
      <w:r>
        <w:t xml:space="preserve"> </w:t>
      </w:r>
      <w:r>
        <w:t xml:space="preserve">correcting a measurement artifact in prior work,</w:t>
      </w:r>
    </w:p>
    <w:p>
      <w:pPr>
        <w:pStyle w:val="BodyText"/>
      </w:pPr>
      <w:r>
        <w:t xml:space="preserve">a cross-sector analysis (Section 3) documenting that sector membership</w:t>
      </w:r>
      <w:r>
        <w:t xml:space="preserve"> </w:t>
      </w:r>
      <w:r>
        <w:t xml:space="preserve">predicts concentration after adjusting for protocol age, valuation, and</w:t>
      </w:r>
      <w:r>
        <w:t xml:space="preserve"> </w:t>
      </w:r>
      <w:r>
        <w:t xml:space="preserve">insider allocation, while initial allocation, maturity, and subsidy</w:t>
      </w:r>
      <w:r>
        <w:t xml:space="preserve"> </w:t>
      </w:r>
      <w:r>
        <w:t xml:space="preserve">intensity do not, and</w:t>
      </w:r>
    </w:p>
    <w:p>
      <w:pPr>
        <w:pStyle w:val="BodyText"/>
      </w:pPr>
      <w:r>
        <w:t xml:space="preserve">a normative framework (Sections 2.9–2.10) translating five</w:t>
      </w:r>
      <w:r>
        <w:t xml:space="preserve"> </w:t>
      </w:r>
      <w:r>
        <w:t xml:space="preserve">political-philosophical traditions into observable design criteria</w:t>
      </w:r>
      <w:r>
        <w:t xml:space="preserve"> </w:t>
      </w:r>
      <w:r>
        <w:t xml:space="preserve">through a scoring rubric that other researchers can apply.</w:t>
      </w:r>
    </w:p>
    <w:bookmarkEnd w:id="48"/>
    <w:bookmarkStart w:id="61" w:name="theoretical-framework"/>
    <w:p>
      <w:pPr>
        <w:pStyle w:val="Heading2"/>
      </w:pPr>
      <w:r>
        <w:t xml:space="preserve">2.9 Theoretical Framework</w:t>
      </w:r>
    </w:p>
    <w:bookmarkStart w:id="49" w:name="Xfc461cfb48e0f1d70c5c42657d6f0cea3ab1e36"/>
    <w:p>
      <w:pPr>
        <w:pStyle w:val="Heading3"/>
      </w:pPr>
      <w:r>
        <w:t xml:space="preserve">2.9.1 Tokenomics as Applied Political Philosophy</w:t>
      </w:r>
    </w:p>
    <w:p>
      <w:pPr>
        <w:pStyle w:val="FirstParagraph"/>
      </w:pPr>
      <w:r>
        <w:t xml:space="preserve">Tokenomics is a political-constitutional problem, implicit in protocol</w:t>
      </w:r>
      <w:r>
        <w:t xml:space="preserve"> </w:t>
      </w:r>
      <w:r>
        <w:t xml:space="preserve">debates but rarely formalized. Token systems allocate:</w:t>
      </w:r>
    </w:p>
    <w:p>
      <w:pPr>
        <w:pStyle w:val="BodyText"/>
      </w:pPr>
      <w:r>
        <w:rPr>
          <w:b/>
          <w:bCs/>
        </w:rPr>
        <w:t xml:space="preserve">rights</w:t>
      </w:r>
      <w:r>
        <w:t xml:space="preserve"> </w:t>
      </w:r>
      <w:r>
        <w:t xml:space="preserve">(access, governance influence, reward eligibility),</w:t>
      </w:r>
    </w:p>
    <w:p>
      <w:pPr>
        <w:pStyle w:val="BodyText"/>
      </w:pPr>
      <w:r>
        <w:rPr>
          <w:b/>
          <w:bCs/>
        </w:rPr>
        <w:t xml:space="preserve">duties</w:t>
      </w:r>
      <w:r>
        <w:t xml:space="preserve"> </w:t>
      </w:r>
      <w:r>
        <w:t xml:space="preserve">(staking requirements, performance obligations, compliance</w:t>
      </w:r>
      <w:r>
        <w:t xml:space="preserve"> </w:t>
      </w:r>
      <w:r>
        <w:t xml:space="preserve">burdens), resources (rewards, treasury allocations), and sanctions</w:t>
      </w:r>
      <w:r>
        <w:t xml:space="preserve"> </w:t>
      </w:r>
      <w:r>
        <w:t xml:space="preserve">(slashing conditions, enforcement procedures, dispute resolution).</w:t>
      </w:r>
    </w:p>
    <w:p>
      <w:pPr>
        <w:pStyle w:val="BodyText"/>
      </w:pPr>
      <w:r>
        <w:t xml:space="preserve">The philosophical question -</w:t>
      </w:r>
      <w:r>
        <w:t xml:space="preserve"> </w:t>
      </w:r>
      <w:r>
        <w:t xml:space="preserve">“What makes a rule system legitimate?”</w:t>
      </w:r>
      <w:r>
        <w:t xml:space="preserve"> </w:t>
      </w:r>
      <w:r>
        <w:t xml:space="preserve">-</w:t>
      </w:r>
      <w:r>
        <w:t xml:space="preserve"> </w:t>
      </w:r>
      <w:r>
        <w:t xml:space="preserve">therefore becomes an engineering question:</w:t>
      </w:r>
      <w:r>
        <w:t xml:space="preserve"> </w:t>
      </w:r>
      <w:r>
        <w:t xml:space="preserve">“What mechanism properties</w:t>
      </w:r>
      <w:r>
        <w:t xml:space="preserve"> </w:t>
      </w:r>
      <w:r>
        <w:t xml:space="preserve">produce legitimacy under adversarial conditions and pluralistic values?”</w:t>
      </w:r>
    </w:p>
    <w:p>
      <w:pPr>
        <w:pStyle w:val="BodyText"/>
      </w:pPr>
      <w:r>
        <w:t xml:space="preserve">To integrate cross-disciplinary perspectives, the framework</w:t>
      </w:r>
      <w:r>
        <w:t xml:space="preserve"> </w:t>
      </w:r>
      <w:r>
        <w:t xml:space="preserve">distinguishes three levels:</w:t>
      </w:r>
    </w:p>
    <w:p>
      <w:pPr>
        <w:pStyle w:val="BodyText"/>
      </w:pPr>
      <w:r>
        <w:rPr>
          <w:b/>
          <w:bCs/>
        </w:rPr>
        <w:t xml:space="preserve">Normative constraints</w:t>
      </w:r>
      <w:r>
        <w:t xml:space="preserve"> </w:t>
      </w:r>
      <w:r>
        <w:t xml:space="preserve">(philosophical commitments): publicity,</w:t>
      </w:r>
      <w:r>
        <w:t xml:space="preserve"> </w:t>
      </w:r>
      <w:r>
        <w:t xml:space="preserve">non-domination, floor protection, capability enhancement, contextual</w:t>
      </w:r>
      <w:r>
        <w:t xml:space="preserve"> </w:t>
      </w:r>
      <w:r>
        <w:t xml:space="preserve">integrity.</w:t>
      </w:r>
    </w:p>
    <w:p>
      <w:pPr>
        <w:pStyle w:val="BodyText"/>
      </w:pPr>
      <w:r>
        <w:rPr>
          <w:b/>
          <w:bCs/>
        </w:rPr>
        <w:t xml:space="preserve">Institutional mechanisms</w:t>
      </w:r>
      <w:r>
        <w:t xml:space="preserve"> </w:t>
      </w:r>
      <w:r>
        <w:t xml:space="preserve">(tokenomics primitives): supply,</w:t>
      </w:r>
      <w:r>
        <w:t xml:space="preserve"> </w:t>
      </w:r>
      <w:r>
        <w:t xml:space="preserve">distribution, sinks, incentive design, governance architecture,</w:t>
      </w:r>
      <w:r>
        <w:t xml:space="preserve"> </w:t>
      </w:r>
      <w:r>
        <w:t xml:space="preserve">enforcement and appeals.</w:t>
      </w:r>
    </w:p>
    <w:p>
      <w:pPr>
        <w:pStyle w:val="BodyText"/>
      </w:pPr>
      <w:r>
        <w:rPr>
          <w:b/>
          <w:bCs/>
        </w:rPr>
        <w:t xml:space="preserve">Outcomes</w:t>
      </w:r>
      <w:r>
        <w:t xml:space="preserve">: economic sustainability, resilience, political legitimacy</w:t>
      </w:r>
      <w:r>
        <w:t xml:space="preserve"> </w:t>
      </w:r>
      <w:r>
        <w:t xml:space="preserve">(participation, contestability, concentration), and socially meaningful</w:t>
      </w:r>
      <w:r>
        <w:t xml:space="preserve"> </w:t>
      </w:r>
      <w:r>
        <w:t xml:space="preserve">gains.</w:t>
      </w:r>
    </w:p>
    <w:bookmarkEnd w:id="49"/>
    <w:bookmarkStart w:id="50" w:name="formal-definitions-and-notation"/>
    <w:p>
      <w:pPr>
        <w:pStyle w:val="Heading3"/>
      </w:pPr>
      <w:r>
        <w:t xml:space="preserve">2.9.2 Formal Definitions and Notation</w:t>
      </w:r>
    </w:p>
    <w:p>
      <w:pPr>
        <w:pStyle w:val="FirstParagraph"/>
      </w:pPr>
      <w:r>
        <w:t xml:space="preserve">Definition 1 (Sink and Faucet)</w:t>
      </w:r>
    </w:p>
    <w:p>
      <w:pPr>
        <w:pStyle w:val="BodyText"/>
      </w:pPr>
      <w:r>
        <w:t xml:space="preserve">A faucet is total net token issuance distributed as rewards or other</w:t>
      </w:r>
      <w:r>
        <w:t xml:space="preserve"> </w:t>
      </w:r>
      <w:r>
        <w:t xml:space="preserve">liquid supply increases over a given time window. A sink is any</w:t>
      </w:r>
      <w:r>
        <w:t xml:space="preserve"> </w:t>
      </w:r>
      <w:r>
        <w:t xml:space="preserve">mechanism that permanently or temporarily removes tokens from</w:t>
      </w:r>
      <w:r>
        <w:t xml:space="preserve"> </w:t>
      </w:r>
      <w:r>
        <w:t xml:space="preserve">circulation: burns, buybacks that retire tokens, or locks that reduce</w:t>
      </w:r>
      <w:r>
        <w:t xml:space="preserve"> </w:t>
      </w:r>
      <w:r>
        <w:t xml:space="preserve">tradeable supply. A system exhibits</w:t>
      </w:r>
      <w:r>
        <w:t xml:space="preserve"> </w:t>
      </w:r>
      <w:r>
        <w:t xml:space="preserve">“sink-before-faucet”</w:t>
      </w:r>
      <w:r>
        <w:t xml:space="preserve"> </w:t>
      </w:r>
      <w:r>
        <w:t xml:space="preserve">discipline when</w:t>
      </w:r>
      <w:r>
        <w:t xml:space="preserve"> </w:t>
      </w:r>
      <w:r>
        <w:t xml:space="preserve">sinks are deployed and observable before (or alongside) large-scale</w:t>
      </w:r>
      <w:r>
        <w:t xml:space="preserve"> </w:t>
      </w:r>
      <w:r>
        <w:t xml:space="preserve">faucets, providing the demand-coupling discipline that Hypothesis 3</w:t>
      </w:r>
      <w:r>
        <w:t xml:space="preserve"> </w:t>
      </w:r>
      <w:r>
        <w:t xml:space="preserve">formalizes.</w:t>
      </w:r>
    </w:p>
    <w:p>
      <w:pPr>
        <w:pStyle w:val="BodyText"/>
      </w:pPr>
      <w:r>
        <w:t xml:space="preserve">Definition 2 (Spend-to-Reward Ratio, S2R)</w:t>
      </w:r>
    </w:p>
    <w:p>
      <w:pPr>
        <w:pStyle w:val="BodyText"/>
      </w:pPr>
      <w:r>
        <w:t xml:space="preserve">The Spend-to-Reward Ratio (S2R) is the ratio of demand-side spending</w:t>
      </w:r>
      <w:r>
        <w:t xml:space="preserve"> </w:t>
      </w:r>
      <w:r>
        <w:t xml:space="preserve">(tokens removed via sinks) to supply-side issuance (tokens distributed</w:t>
      </w:r>
      <w:r>
        <w:t xml:space="preserve"> </w:t>
      </w:r>
      <w:r>
        <w:t xml:space="preserve">via faucets) over a given time window. S2R serves as a fiscal</w:t>
      </w:r>
      <w:r>
        <w:t xml:space="preserve"> </w:t>
      </w:r>
      <w:r>
        <w:t xml:space="preserve">sustainability indicator: values below 1.0 mean issuance exceeds</w:t>
      </w:r>
      <w:r>
        <w:t xml:space="preserve"> </w:t>
      </w:r>
      <w:r>
        <w:t xml:space="preserve">spending and the system is subsidy-dependent; values above 1.0 mean</w:t>
      </w:r>
      <w:r>
        <w:t xml:space="preserve"> </w:t>
      </w:r>
      <w:r>
        <w:t xml:space="preserve">spending offsets issuance and the system is demand-financed. Higher S2R</w:t>
      </w:r>
      <w:r>
        <w:t xml:space="preserve"> </w:t>
      </w:r>
      <w:r>
        <w:t xml:space="preserve">implies tighter coupling between usage and token scarcity.</w:t>
      </w:r>
    </w:p>
    <w:p>
      <w:pPr>
        <w:pStyle w:val="BodyText"/>
      </w:pPr>
      <w:r>
        <w:t xml:space="preserve">Definition 3 (Outcome Domains)</w:t>
      </w:r>
    </w:p>
    <w:p>
      <w:pPr>
        <w:pStyle w:val="BodyText"/>
      </w:pPr>
      <w:r>
        <w:t xml:space="preserve">Outcomes are grouped into three domains. Economic outcomes include</w:t>
      </w:r>
      <w:r>
        <w:t xml:space="preserve"> </w:t>
      </w:r>
      <w:r>
        <w:t xml:space="preserve">sustainability (revenue and fee flow), market quality (liquidity depth</w:t>
      </w:r>
      <w:r>
        <w:t xml:space="preserve"> </w:t>
      </w:r>
      <w:r>
        <w:t xml:space="preserve">and slippage), resilience (drawdowns and recovery time), and efficiency.</w:t>
      </w:r>
      <w:r>
        <w:t xml:space="preserve"> </w:t>
      </w:r>
      <w:r>
        <w:t xml:space="preserve">Political outcomes include participation rates, concentration (measured</w:t>
      </w:r>
      <w:r>
        <w:t xml:space="preserve"> </w:t>
      </w:r>
      <w:r>
        <w:t xml:space="preserve">by HHI and Gini), procedural justice (appeals, timelocks,</w:t>
      </w:r>
      <w:r>
        <w:t xml:space="preserve"> </w:t>
      </w:r>
      <w:r>
        <w:t xml:space="preserve">contestability), and rule stability. Social outcomes include capability</w:t>
      </w:r>
      <w:r>
        <w:t xml:space="preserve"> </w:t>
      </w:r>
      <w:r>
        <w:t xml:space="preserve">gains, geographic and socioeconomic inclusion, safety, and</w:t>
      </w:r>
      <w:r>
        <w:t xml:space="preserve"> </w:t>
      </w:r>
      <w:r>
        <w:t xml:space="preserve">privacy-preserving participation. The Section 3 empirics use</w:t>
      </w:r>
      <w:r>
        <w:t xml:space="preserve"> </w:t>
      </w:r>
      <w:r>
        <w:t xml:space="preserve">political-domain metrics; economic and social metrics are</w:t>
      </w:r>
      <w:r>
        <w:t xml:space="preserve"> </w:t>
      </w:r>
      <w:r>
        <w:t xml:space="preserve">operationalized in companion studies.</w:t>
      </w:r>
    </w:p>
    <w:bookmarkEnd w:id="50"/>
    <w:bookmarkStart w:id="54" w:name="X9849983c1ca6636c589a843190ba12134ed30f1"/>
    <w:p>
      <w:pPr>
        <w:pStyle w:val="Heading3"/>
      </w:pPr>
      <w:r>
        <w:t xml:space="preserve">2.9.3 Conceptual Model: From Philosophy to Mechanisms to Outcomes</w:t>
      </w:r>
    </w:p>
    <w:p>
      <w:pPr>
        <w:pStyle w:val="FirstParagraph"/>
      </w:pPr>
      <w:r>
        <w:t xml:space="preserve">The conceptual model of tokenomics as applied political philosophy</w:t>
      </w:r>
      <w:r>
        <w:t xml:space="preserve"> </w:t>
      </w:r>
      <w:r>
        <w:t xml:space="preserve">organizes the framework across four layers, shown in Figure 1.</w:t>
      </w:r>
    </w:p>
    <w:p>
      <w:pPr>
        <w:pStyle w:val="BodyText"/>
      </w:pPr>
      <w:r>
        <w:drawing>
          <wp:inline>
            <wp:extent cx="5068482" cy="6099367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image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482" cy="6099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1.</w:t>
      </w:r>
      <w:r>
        <w:rPr>
          <w:i/>
          <w:iCs/>
        </w:rPr>
        <w:t xml:space="preserve"> </w:t>
      </w:r>
      <w:r>
        <w:rPr>
          <w:i/>
          <w:iCs/>
        </w:rPr>
        <w:t xml:space="preserve">Conceptual model: from philosophical constraints through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institutional design to outcomes. Philosophical traditions (Layer 1)</w:t>
      </w:r>
      <w:r>
        <w:rPr>
          <w:i/>
          <w:iCs/>
        </w:rPr>
        <w:t xml:space="preserve"> </w:t>
      </w:r>
      <w:r>
        <w:rPr>
          <w:i/>
          <w:iCs/>
        </w:rPr>
        <w:t xml:space="preserve">constrain institutional design choices (Layer 2), which shape behavioral</w:t>
      </w:r>
      <w:r>
        <w:rPr>
          <w:i/>
          <w:iCs/>
        </w:rPr>
        <w:t xml:space="preserve"> </w:t>
      </w:r>
      <w:r>
        <w:rPr>
          <w:i/>
          <w:iCs/>
        </w:rPr>
        <w:t xml:space="preserve">equilibria (Layer 3) and produce measurable outcomes across economic,</w:t>
      </w:r>
      <w:r>
        <w:rPr>
          <w:i/>
          <w:iCs/>
        </w:rPr>
        <w:t xml:space="preserve"> </w:t>
      </w:r>
      <w:r>
        <w:rPr>
          <w:i/>
          <w:iCs/>
        </w:rPr>
        <w:t xml:space="preserve">political, and social domains (Layer 4). Reading the figure: the arrows</w:t>
      </w:r>
      <w:r>
        <w:rPr>
          <w:i/>
          <w:iCs/>
        </w:rPr>
        <w:t xml:space="preserve"> </w:t>
      </w:r>
      <w:r>
        <w:rPr>
          <w:i/>
          <w:iCs/>
        </w:rPr>
        <w:t xml:space="preserve">trace the design pipeline from philosophical commitments through</w:t>
      </w:r>
      <w:r>
        <w:rPr>
          <w:i/>
          <w:iCs/>
        </w:rPr>
        <w:t xml:space="preserve"> </w:t>
      </w:r>
      <w:r>
        <w:rPr>
          <w:i/>
          <w:iCs/>
        </w:rPr>
        <w:t xml:space="preserve">measurable outcomes; each lens in the rubric is a constraint on</w:t>
      </w:r>
      <w:r>
        <w:rPr>
          <w:i/>
          <w:iCs/>
        </w:rPr>
        <w:t xml:space="preserve"> </w:t>
      </w:r>
      <w:r>
        <w:rPr>
          <w:i/>
          <w:iCs/>
        </w:rPr>
        <w:t xml:space="preserve">permissible designs at the corresponding stage.</w:t>
      </w:r>
    </w:p>
    <w:p>
      <w:pPr>
        <w:pStyle w:val="BodyText"/>
      </w:pPr>
      <w:r>
        <w:t xml:space="preserve">The model’s purpose is explanatory and testable: it identifies where</w:t>
      </w:r>
      <w:r>
        <w:t xml:space="preserve"> </w:t>
      </w:r>
      <w:r>
        <w:t xml:space="preserve">philosophical principles enter as constraints, how they shape design</w:t>
      </w:r>
      <w:r>
        <w:t xml:space="preserve"> </w:t>
      </w:r>
      <w:r>
        <w:t xml:space="preserve">choices, and how those design choices influence outcomes through</w:t>
      </w:r>
      <w:r>
        <w:t xml:space="preserve"> </w:t>
      </w:r>
      <w:r>
        <w:t xml:space="preserve">strategic behavior and system dynamics.</w:t>
      </w:r>
    </w:p>
    <w:bookmarkEnd w:id="54"/>
    <w:bookmarkStart w:id="55" w:name="X3451526da5977a8153551804fb0387b0956e381"/>
    <w:p>
      <w:pPr>
        <w:pStyle w:val="Heading3"/>
      </w:pPr>
      <w:r>
        <w:t xml:space="preserve">2.9.4 Design Hypotheses (Normative, Testable in Principle)</w:t>
      </w:r>
    </w:p>
    <w:p>
      <w:pPr>
        <w:pStyle w:val="FirstParagraph"/>
      </w:pPr>
      <w:r>
        <w:t xml:space="preserve">The theoretical framework yields five core design hypotheses linking</w:t>
      </w:r>
      <w:r>
        <w:t xml:space="preserve"> </w:t>
      </w:r>
      <w:r>
        <w:t xml:space="preserve">political-philosophical legitimacy constraints to measurable</w:t>
      </w:r>
      <w:r>
        <w:t xml:space="preserve"> </w:t>
      </w:r>
      <w:r>
        <w:t xml:space="preserve">institutional properties. This paper evaluates these hypotheses</w:t>
      </w:r>
      <w:r>
        <w:t xml:space="preserve"> </w:t>
      </w:r>
      <w:r>
        <w:t xml:space="preserve">primarily using a governance concentration cross-section; hypotheses</w:t>
      </w:r>
      <w:r>
        <w:t xml:space="preserve"> </w:t>
      </w:r>
      <w:r>
        <w:t xml:space="preserve">requiring operational demand, incentive dynamics, or participant outcome</w:t>
      </w:r>
      <w:r>
        <w:t xml:space="preserve"> </w:t>
      </w:r>
      <w:r>
        <w:t xml:space="preserve">data are evaluated in future work or specified as future measurement</w:t>
      </w:r>
      <w:r>
        <w:t xml:space="preserve"> </w:t>
      </w:r>
      <w:r>
        <w:t xml:space="preserve">priorities.</w:t>
      </w:r>
    </w:p>
    <w:p>
      <w:pPr>
        <w:pStyle w:val="BodyText"/>
      </w:pPr>
      <w:r>
        <w:t xml:space="preserve">Hypothesis 1 (Publicity - Legitimacy Link)</w:t>
      </w:r>
    </w:p>
    <w:p>
      <w:pPr>
        <w:pStyle w:val="BodyText"/>
      </w:pPr>
      <w:r>
        <w:rPr>
          <w:b/>
          <w:bCs/>
        </w:rPr>
        <w:t xml:space="preserve">Systems that satisfy a strong publicity constraint: transparent rules,</w:t>
      </w:r>
      <w:r>
        <w:rPr>
          <w:b/>
          <w:bCs/>
        </w:rPr>
        <w:t xml:space="preserve"> </w:t>
      </w:r>
      <w:r>
        <w:rPr>
          <w:b/>
          <w:bCs/>
        </w:rPr>
        <w:t xml:space="preserve">published rationales, and procedurally explicit enforcement, exhibit</w:t>
      </w:r>
      <w:r>
        <w:rPr>
          <w:b/>
          <w:bCs/>
        </w:rPr>
        <w:t xml:space="preserve"> </w:t>
      </w:r>
      <w:r>
        <w:rPr>
          <w:b/>
          <w:bCs/>
        </w:rPr>
        <w:t xml:space="preserve">fewer legitimacy crises and higher participation persistence than</w:t>
      </w:r>
      <w:r>
        <w:rPr>
          <w:b/>
          <w:bCs/>
        </w:rPr>
        <w:t xml:space="preserve"> </w:t>
      </w:r>
      <w:r>
        <w:rPr>
          <w:b/>
          <w:bCs/>
        </w:rPr>
        <w:t xml:space="preserve">systems with opaque or discretionary policy.</w:t>
      </w:r>
      <w:r>
        <w:br/>
      </w:r>
      <w:r>
        <w:t xml:space="preserve">Justification: Kant’s publicity principle suggests that political maxims</w:t>
      </w:r>
      <w:r>
        <w:t xml:space="preserve"> </w:t>
      </w:r>
      <w:r>
        <w:t xml:space="preserve">requiring secrecy to succeed are illegitimate; in token systems, secrecy</w:t>
      </w:r>
      <w:r>
        <w:t xml:space="preserve"> </w:t>
      </w:r>
      <w:r>
        <w:t xml:space="preserve">increases perceived arbitrariness and reduces willingness to invest in</w:t>
      </w:r>
      <w:r>
        <w:t xml:space="preserve"> </w:t>
      </w:r>
      <w:r>
        <w:t xml:space="preserve">the future under rule uncertainty.</w:t>
      </w:r>
    </w:p>
    <w:p>
      <w:pPr>
        <w:pStyle w:val="BodyText"/>
      </w:pPr>
      <w:r>
        <w:t xml:space="preserve">Hypothesis 2 (Contestability - Non-Domination)</w:t>
      </w:r>
    </w:p>
    <w:p>
      <w:pPr>
        <w:pStyle w:val="BodyText"/>
      </w:pPr>
      <w:r>
        <w:rPr>
          <w:b/>
          <w:bCs/>
        </w:rPr>
        <w:t xml:space="preserve">Introducing contestability mechanisms: appeals with bounded resolution</w:t>
      </w:r>
      <w:r>
        <w:rPr>
          <w:b/>
          <w:bCs/>
        </w:rPr>
        <w:t xml:space="preserve"> </w:t>
      </w:r>
      <w:r>
        <w:rPr>
          <w:b/>
          <w:bCs/>
        </w:rPr>
        <w:t xml:space="preserve">time, independent oversight, and publishable enforcement criteria,</w:t>
      </w:r>
      <w:r>
        <w:rPr>
          <w:b/>
          <w:bCs/>
        </w:rPr>
        <w:t xml:space="preserve"> </w:t>
      </w:r>
      <w:r>
        <w:rPr>
          <w:b/>
          <w:bCs/>
        </w:rPr>
        <w:t xml:space="preserve">reduces domination risk and improves long-run operator/user retention,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conditional on adequate measurement integrity.</w:t>
      </w:r>
      <w:r>
        <w:br/>
      </w:r>
      <w:r>
        <w:t xml:space="preserve">Justification: Republican freedom as non-domination requires protection</w:t>
      </w:r>
      <w:r>
        <w:t xml:space="preserve"> </w:t>
      </w:r>
      <w:r>
        <w:t xml:space="preserve">against arbitrary interference; appeals and oversight operationalize</w:t>
      </w:r>
      <w:r>
        <w:t xml:space="preserve"> </w:t>
      </w:r>
      <w:r>
        <w:t xml:space="preserve">that requirement by constraining enforcement discretion.</w:t>
      </w:r>
    </w:p>
    <w:p>
      <w:pPr>
        <w:pStyle w:val="BodyText"/>
      </w:pPr>
      <w:r>
        <w:t xml:space="preserve">Hypothesis 3 (Sinks Before Faucets)</w:t>
      </w:r>
    </w:p>
    <w:p>
      <w:pPr>
        <w:pStyle w:val="BodyText"/>
      </w:pPr>
      <w:r>
        <w:rPr>
          <w:b/>
          <w:bCs/>
        </w:rPr>
        <w:t xml:space="preserve">Holding other factors constant, systems that deploy measurable sinks</w:t>
      </w:r>
      <w:r>
        <w:rPr>
          <w:b/>
          <w:bCs/>
        </w:rPr>
        <w:t xml:space="preserve"> </w:t>
      </w:r>
      <w:r>
        <w:rPr>
          <w:b/>
          <w:bCs/>
        </w:rPr>
        <w:t xml:space="preserve">(burns/locks/fee routing) before large-scale emissions have higher</w:t>
      </w:r>
      <w:r>
        <w:rPr>
          <w:b/>
          <w:bCs/>
        </w:rPr>
        <w:t xml:space="preserve"> </w:t>
      </w:r>
      <w:r>
        <w:rPr>
          <w:b/>
          <w:bCs/>
        </w:rPr>
        <w:t xml:space="preserve">fiscal sustainability (S2R) and reduced boom-bust amplitude than systems</w:t>
      </w:r>
      <w:r>
        <w:rPr>
          <w:b/>
          <w:bCs/>
        </w:rPr>
        <w:t xml:space="preserve"> </w:t>
      </w:r>
      <w:r>
        <w:rPr>
          <w:b/>
          <w:bCs/>
        </w:rPr>
        <w:t xml:space="preserve">that rely primarily on emissions to bootstrap growth.</w:t>
      </w:r>
      <w:r>
        <w:br/>
      </w:r>
      <w:r>
        <w:t xml:space="preserve">Justification: In repeated interaction settings, participants discount</w:t>
      </w:r>
      <w:r>
        <w:t xml:space="preserve"> </w:t>
      </w:r>
      <w:r>
        <w:t xml:space="preserve">future rewards when dilution is unconstrained; sinks create credible</w:t>
      </w:r>
      <w:r>
        <w:t xml:space="preserve"> </w:t>
      </w:r>
      <w:r>
        <w:t xml:space="preserve">coupling between real usage and token scarcity/treasury strength.</w:t>
      </w:r>
    </w:p>
    <w:p>
      <w:pPr>
        <w:pStyle w:val="BodyText"/>
      </w:pPr>
      <w:r>
        <w:t xml:space="preserve">Hypothesis 4 (Service over Presence in DePIN)</w:t>
      </w:r>
    </w:p>
    <w:p>
      <w:pPr>
        <w:pStyle w:val="BodyText"/>
      </w:pPr>
      <w:r>
        <w:rPr>
          <w:b/>
          <w:bCs/>
        </w:rPr>
        <w:t xml:space="preserve">In DePIN settings, shifting reward weight from</w:t>
      </w:r>
      <w:r>
        <w:rPr>
          <w:b/>
          <w:bCs/>
        </w:rPr>
        <w:t xml:space="preserve"> </w:t>
      </w:r>
      <w:r>
        <w:rPr>
          <w:b/>
          <w:bCs/>
        </w:rPr>
        <w:t xml:space="preserve">“presence/coverage”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“SLA-verified service delivered”</w:t>
      </w:r>
      <w:r>
        <w:rPr>
          <w:b/>
          <w:bCs/>
        </w:rPr>
        <w:t xml:space="preserve"> </w:t>
      </w:r>
      <w:r>
        <w:rPr>
          <w:b/>
          <w:bCs/>
        </w:rPr>
        <w:t xml:space="preserve">reduces oversupply and increases</w:t>
      </w:r>
      <w:r>
        <w:rPr>
          <w:b/>
          <w:bCs/>
        </w:rPr>
        <w:t xml:space="preserve"> </w:t>
      </w:r>
      <w:r>
        <w:rPr>
          <w:b/>
          <w:bCs/>
        </w:rPr>
        <w:t xml:space="preserve">demand-weighted efficiency and resilience, relative to presence-mining</w:t>
      </w:r>
      <w:r>
        <w:rPr>
          <w:b/>
          <w:bCs/>
        </w:rPr>
        <w:t xml:space="preserve"> </w:t>
      </w:r>
      <w:r>
        <w:rPr>
          <w:b/>
          <w:bCs/>
        </w:rPr>
        <w:t xml:space="preserve">regimes.</w:t>
      </w:r>
      <w:r>
        <w:br/>
      </w:r>
      <w:r>
        <w:t xml:space="preserve">Justification: Presence-only incentives reward capital deployment</w:t>
      </w:r>
      <w:r>
        <w:t xml:space="preserve"> </w:t>
      </w:r>
      <w:r>
        <w:t xml:space="preserve">irrespective of marginal social value; service incentives approximate</w:t>
      </w:r>
      <w:r>
        <w:t xml:space="preserve"> </w:t>
      </w:r>
      <w:r>
        <w:t xml:space="preserve">payment for delivered public service capacity, aligning rewards with</w:t>
      </w:r>
      <w:r>
        <w:t xml:space="preserve"> </w:t>
      </w:r>
      <w:r>
        <w:t xml:space="preserve">demand.</w:t>
      </w:r>
    </w:p>
    <w:p>
      <w:pPr>
        <w:pStyle w:val="BodyText"/>
      </w:pPr>
      <w:r>
        <w:t xml:space="preserve">Hypothesis 5 (Polycentric Adaptation)</w:t>
      </w:r>
    </w:p>
    <w:p>
      <w:pPr>
        <w:pStyle w:val="BodyText"/>
      </w:pPr>
      <w:r>
        <w:rPr>
          <w:b/>
          <w:bCs/>
        </w:rPr>
        <w:t xml:space="preserve">Polycentric governance structures (multiple centers with localized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 and budgets) improve adaptation to heterogeneous service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environments (geography, range demand, local constraints) and reduce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 deadlock compared to monocentric governance.</w:t>
      </w:r>
      <w:r>
        <w:br/>
      </w:r>
      <w:r>
        <w:t xml:space="preserve">Justification: Ostrom’s polycentric governance emphasizes multiple</w:t>
      </w:r>
      <w:r>
        <w:t xml:space="preserve"> </w:t>
      </w:r>
      <w:r>
        <w:t xml:space="preserve">overlapping decision centers as an efficient response to complex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The five hypotheses map to the five lenses of Table 1 as follows:</w:t>
      </w:r>
      <w:r>
        <w:t xml:space="preserve"> </w:t>
      </w:r>
      <w:r>
        <w:t xml:space="preserve">Hypothesis 1 (Publicity-Legitimacy) operationalizes Kantian Publicity;</w:t>
      </w:r>
      <w:r>
        <w:t xml:space="preserve"> </w:t>
      </w:r>
      <w:r>
        <w:t xml:space="preserve">Hypothesis 2 (Contestability-Non-Domination) operationalizes Pettit’s</w:t>
      </w:r>
      <w:r>
        <w:t xml:space="preserve"> </w:t>
      </w:r>
      <w:r>
        <w:t xml:space="preserve">framework, with contestability as the institutional mechanism scored</w:t>
      </w:r>
      <w:r>
        <w:t xml:space="preserve"> </w:t>
      </w:r>
      <w:r>
        <w:t xml:space="preserve">in Table 1 and non-domination as the philosophical goal-state the</w:t>
      </w:r>
      <w:r>
        <w:t xml:space="preserve"> </w:t>
      </w:r>
      <w:r>
        <w:t xml:space="preserve">mechanism is designed to produce; Hypothesis 5 (Polycentric Adaptation)</w:t>
      </w:r>
      <w:r>
        <w:t xml:space="preserve"> </w:t>
      </w:r>
      <w:r>
        <w:t xml:space="preserve">operationalizes Ostromian polycentricity. Hypotheses 3 (Sinks-before-</w:t>
      </w:r>
      <w:r>
        <w:t xml:space="preserve"> </w:t>
      </w:r>
      <w:r>
        <w:t xml:space="preserve">Faucets) and 4 (Service-over-Presence in DePIN) extend the framework</w:t>
      </w:r>
      <w:r>
        <w:t xml:space="preserve"> </w:t>
      </w:r>
      <w:r>
        <w:t xml:space="preserve">into the fiscal and incentive-design domain; they are anchored in</w:t>
      </w:r>
      <w:r>
        <w:t xml:space="preserve"> </w:t>
      </w:r>
      <w:r>
        <w:t xml:space="preserve">mechanism-design and DePIN-specific economics rather than the</w:t>
      </w:r>
      <w:r>
        <w:t xml:space="preserve"> </w:t>
      </w:r>
      <w:r>
        <w:t xml:space="preserve">political-philosophy traditions of Table 1, and their normative</w:t>
      </w:r>
      <w:r>
        <w:t xml:space="preserve"> </w:t>
      </w:r>
      <w:r>
        <w:t xml:space="preserve">warrant derives from instrumental value (system sustainability and</w:t>
      </w:r>
      <w:r>
        <w:t xml:space="preserve"> </w:t>
      </w:r>
      <w:r>
        <w:t xml:space="preserve">SLA-aligned coordination) rather than from the goal-states the</w:t>
      </w:r>
      <w:r>
        <w:t xml:space="preserve"> </w:t>
      </w:r>
      <w:r>
        <w:t xml:space="preserve">philosophical lenses identify. The Synergy Index of Section 2.10.6</w:t>
      </w:r>
      <w:r>
        <w:t xml:space="preserve"> </w:t>
      </w:r>
      <w:r>
        <w:t xml:space="preserve">aggregates the five lens scores from Table 1; the five hypotheses</w:t>
      </w:r>
      <w:r>
        <w:t xml:space="preserve"> </w:t>
      </w:r>
      <w:r>
        <w:t xml:space="preserve">provide complementary structured tests of philosophy-to-outcomes</w:t>
      </w:r>
      <w:r>
        <w:t xml:space="preserve"> </w:t>
      </w:r>
      <w:r>
        <w:t xml:space="preserve">relationships that this paper specifies as future research priorities</w:t>
      </w:r>
      <w:r>
        <w:t xml:space="preserve"> </w:t>
      </w:r>
      <w:r>
        <w:t xml:space="preserve">(longitudinal evidence required for H3 through H5; cross-sectional</w:t>
      </w:r>
      <w:r>
        <w:t xml:space="preserve"> </w:t>
      </w:r>
      <w:r>
        <w:t xml:space="preserve">evidence for H1 and H2 presented in Section 3).</w:t>
      </w:r>
    </w:p>
    <w:bookmarkEnd w:id="55"/>
    <w:bookmarkStart w:id="56" w:name="implications-for-cross-program-relevance"/>
    <w:p>
      <w:pPr>
        <w:pStyle w:val="Heading3"/>
      </w:pPr>
      <w:r>
        <w:t xml:space="preserve">2.9.5 Implications for Cross-Program Relevance</w:t>
      </w:r>
    </w:p>
    <w:p>
      <w:pPr>
        <w:pStyle w:val="FirstParagraph"/>
      </w:pPr>
      <w:r>
        <w:rPr>
          <w:b/>
          <w:bCs/>
        </w:rPr>
        <w:t xml:space="preserve">Political theory programs</w:t>
      </w:r>
      <w:r>
        <w:t xml:space="preserve"> </w:t>
      </w:r>
      <w:r>
        <w:t xml:space="preserve">can treat tokenomics as a novel</w:t>
      </w:r>
      <w:r>
        <w:t xml:space="preserve"> </w:t>
      </w:r>
      <w:r>
        <w:t xml:space="preserve">constitutional domain: public rules with automatic enforcement and</w:t>
      </w:r>
      <w:r>
        <w:t xml:space="preserve"> </w:t>
      </w:r>
      <w:r>
        <w:t xml:space="preserve">low-cost exit.</w:t>
      </w:r>
    </w:p>
    <w:p>
      <w:pPr>
        <w:pStyle w:val="BodyText"/>
      </w:pPr>
      <w:r>
        <w:rPr>
          <w:b/>
          <w:bCs/>
        </w:rPr>
        <w:t xml:space="preserve">Economics/public policy programs</w:t>
      </w:r>
      <w:r>
        <w:t xml:space="preserve"> </w:t>
      </w:r>
      <w:r>
        <w:t xml:space="preserve">can interpret tokenomics as fiscal</w:t>
      </w:r>
      <w:r>
        <w:t xml:space="preserve"> </w:t>
      </w:r>
      <w:r>
        <w:t xml:space="preserve">and regulatory policy under open entry and adversarial manipulation,</w:t>
      </w:r>
      <w:r>
        <w:t xml:space="preserve"> </w:t>
      </w:r>
      <w:r>
        <w:t xml:space="preserve">requiring mechanism design and institutional economics.</w:t>
      </w:r>
    </w:p>
    <w:p>
      <w:pPr>
        <w:pStyle w:val="BodyText"/>
      </w:pPr>
      <w:r>
        <w:rPr>
          <w:b/>
          <w:bCs/>
        </w:rPr>
        <w:t xml:space="preserve">Computer science/security programs</w:t>
      </w:r>
      <w:r>
        <w:t xml:space="preserve"> </w:t>
      </w:r>
      <w:r>
        <w:t xml:space="preserve">can frame tokenomics as</w:t>
      </w:r>
      <w:r>
        <w:t xml:space="preserve"> </w:t>
      </w:r>
      <w:r>
        <w:t xml:space="preserve">incentive-aligned security and reliability engineering where</w:t>
      </w:r>
      <w:r>
        <w:t xml:space="preserve"> </w:t>
      </w:r>
      <w:r>
        <w:t xml:space="preserve">verification systems (ℳ) are first-class determinants of institutional</w:t>
      </w:r>
      <w:r>
        <w:t xml:space="preserve"> </w:t>
      </w:r>
      <w:r>
        <w:t xml:space="preserve">feasibility.</w:t>
      </w:r>
    </w:p>
    <w:p>
      <w:pPr>
        <w:pStyle w:val="BodyText"/>
      </w:pPr>
      <w:r>
        <w:rPr>
          <w:b/>
          <w:bCs/>
        </w:rPr>
        <w:t xml:space="preserve">STS and law</w:t>
      </w:r>
      <w:r>
        <w:t xml:space="preserve"> </w:t>
      </w:r>
      <w:r>
        <w:t xml:space="preserve">can analyze how</w:t>
      </w:r>
      <w:r>
        <w:t xml:space="preserve"> </w:t>
      </w:r>
      <w:r>
        <w:t xml:space="preserve">“code as governance”</w:t>
      </w:r>
      <w:r>
        <w:t xml:space="preserve"> </w:t>
      </w:r>
      <w:r>
        <w:t xml:space="preserve">transforms</w:t>
      </w:r>
      <w:r>
        <w:t xml:space="preserve"> </w:t>
      </w:r>
      <w:r>
        <w:t xml:space="preserve">legitimacy, accountability, and liability structures, and how</w:t>
      </w:r>
      <w:r>
        <w:t xml:space="preserve"> </w:t>
      </w:r>
      <w:r>
        <w:t xml:space="preserve">transparency and contestability affect social acceptance.</w:t>
      </w:r>
    </w:p>
    <w:bookmarkEnd w:id="56"/>
    <w:bookmarkStart w:id="60" w:name="Xdc3259beea2fe5a7341eac9cdd6f5c4b4fcfd10"/>
    <w:p>
      <w:pPr>
        <w:pStyle w:val="Heading3"/>
      </w:pPr>
      <w:r>
        <w:t xml:space="preserve">2.9.6 Inter-Lens Relationships: A Mutually Reinforcing Architecture</w:t>
      </w:r>
    </w:p>
    <w:p>
      <w:pPr>
        <w:pStyle w:val="FirstParagraph"/>
      </w:pPr>
      <w:r>
        <w:t xml:space="preserve">The five lenses operationalized in Table 1 are not orthogonal axes</w:t>
      </w:r>
      <w:r>
        <w:t xml:space="preserve"> </w:t>
      </w:r>
      <w:r>
        <w:t xml:space="preserve">but a mutually reinforcing architecture. Publicity (Kant) enables</w:t>
      </w:r>
      <w:r>
        <w:t xml:space="preserve"> </w:t>
      </w:r>
      <w:r>
        <w:t xml:space="preserve">contestability (Pettit): rules that can be publicly stated are rules</w:t>
      </w:r>
      <w:r>
        <w:t xml:space="preserve"> </w:t>
      </w:r>
      <w:r>
        <w:t xml:space="preserve">that can be publicly challenged, while opacity protects arbitrariness</w:t>
      </w:r>
      <w:r>
        <w:t xml:space="preserve"> </w:t>
      </w:r>
      <w:r>
        <w:t xml:space="preserve">from challenge (Cohen 1989 on deliberative democracy as the</w:t>
      </w:r>
      <w:r>
        <w:t xml:space="preserve"> </w:t>
      </w:r>
      <w:r>
        <w:t xml:space="preserve">institutional extension of Kantian publicity; Habermas 1996 on</w:t>
      </w:r>
      <w:r>
        <w:t xml:space="preserve"> </w:t>
      </w:r>
      <w:r>
        <w:t xml:space="preserve">discourse theory of law). Polycentricity (Ostrom) enables knowledge-use</w:t>
      </w:r>
      <w:r>
        <w:t xml:space="preserve"> </w:t>
      </w:r>
      <w:r>
        <w:t xml:space="preserve">(Hayek): distributed institutions aggregate dispersed information that</w:t>
      </w:r>
      <w:r>
        <w:t xml:space="preserve"> </w:t>
      </w:r>
      <w:r>
        <w:t xml:space="preserve">no central authority can possess, instantiating in institutional form</w:t>
      </w:r>
      <w:r>
        <w:t xml:space="preserve"> </w:t>
      </w:r>
      <w:r>
        <w:t xml:space="preserve">what Hayek 1945 identifies as the epistemic case for decentralized</w:t>
      </w:r>
      <w:r>
        <w:t xml:space="preserve"> </w:t>
      </w:r>
      <w:r>
        <w:t xml:space="preserve">coordination. Difference Principle (Rawls) constrains the outcomes</w:t>
      </w:r>
      <w:r>
        <w:t xml:space="preserve"> </w:t>
      </w:r>
      <w:r>
        <w:t xml:space="preserve">contestation can legitimately produce: a contestable governance system</w:t>
      </w:r>
      <w:r>
        <w:t xml:space="preserve"> </w:t>
      </w:r>
      <w:r>
        <w:t xml:space="preserve">that systematically disadvantages the worst-off fails the fairness</w:t>
      </w:r>
      <w:r>
        <w:t xml:space="preserve"> </w:t>
      </w:r>
      <w:r>
        <w:t xml:space="preserve">lens even if it scores well on the contestability mechanism, indicating</w:t>
      </w:r>
      <w:r>
        <w:t xml:space="preserve"> </w:t>
      </w:r>
      <w:r>
        <w:t xml:space="preserve">that procedural and distributive lenses must be evaluated jointly.</w:t>
      </w:r>
      <w:r>
        <w:t xml:space="preserve"> </w:t>
      </w:r>
      <w:r>
        <w:t xml:space="preserve">Knowledge-use (Hayek) requires polycentric institutional substrate</w:t>
      </w:r>
      <w:r>
        <w:t xml:space="preserve"> </w:t>
      </w:r>
      <w:r>
        <w:t xml:space="preserve">(Ostrom) to function: market-like price signals need multiple</w:t>
      </w:r>
      <w:r>
        <w:t xml:space="preserve"> </w:t>
      </w:r>
      <w:r>
        <w:t xml:space="preserve">decision-centers to interpret and act on them; a monocentric system</w:t>
      </w:r>
      <w:r>
        <w:t xml:space="preserve"> </w:t>
      </w:r>
      <w:r>
        <w:t xml:space="preserve">forecloses the institutional preconditions of dispersed coordination.</w:t>
      </w:r>
      <w:r>
        <w:t xml:space="preserve"> </w:t>
      </w:r>
      <w:r>
        <w:t xml:space="preserve">Non-domination as the freedom-state Pettit identifies is itself</w:t>
      </w:r>
      <w:r>
        <w:t xml:space="preserve"> </w:t>
      </w:r>
      <w:r>
        <w:t xml:space="preserve">underwritten by Kantian publicity (Pettit 1997 §4.3): the freedom to</w:t>
      </w:r>
      <w:r>
        <w:t xml:space="preserve"> </w:t>
      </w:r>
      <w:r>
        <w:t xml:space="preserve">contest depends on the publicity of what is contested.</w:t>
      </w:r>
    </w:p>
    <w:p>
      <w:pPr>
        <w:pStyle w:val="BodyText"/>
      </w:pPr>
      <w:r>
        <w:t xml:space="preserve">The Synergy Index defined in Section 2.10.6 aggregates the five lens</w:t>
      </w:r>
      <w:r>
        <w:t xml:space="preserve"> </w:t>
      </w:r>
      <w:r>
        <w:t xml:space="preserve">scores by arithmetic mean, reflecting the equal-weight assumption that</w:t>
      </w:r>
      <w:r>
        <w:t xml:space="preserve"> </w:t>
      </w:r>
      <w:r>
        <w:t xml:space="preserve">each dimension contributes complementarily to overall legitimacy. The</w:t>
      </w:r>
      <w:r>
        <w:t xml:space="preserve"> </w:t>
      </w:r>
      <w:r>
        <w:t xml:space="preserve">mutually reinforcing structure of the five lenses motivates two</w:t>
      </w:r>
      <w:r>
        <w:t xml:space="preserve"> </w:t>
      </w:r>
      <w:r>
        <w:t xml:space="preserve">alternative aggregations that future work may explore: a geometric</w:t>
      </w:r>
      <w:r>
        <w:t xml:space="preserve"> </w:t>
      </w:r>
      <w:r>
        <w:t xml:space="preserve">mean (emphasizing weakest-link composition; aligned with the</w:t>
      </w:r>
      <w:r>
        <w:t xml:space="preserve"> </w:t>
      </w:r>
      <w:r>
        <w:t xml:space="preserve">weakest-link arguments in companion papers on regulatory accountability</w:t>
      </w:r>
      <w:r>
        <w:t xml:space="preserve"> </w:t>
      </w:r>
      <w:r>
        <w:t xml:space="preserve">in composed systems), or a network-structure scoring that explicitly</w:t>
      </w:r>
      <w:r>
        <w:t xml:space="preserve"> </w:t>
      </w:r>
      <w:r>
        <w:t xml:space="preserve">weights the cross-lens dependencies described above. The arithmetic</w:t>
      </w:r>
      <w:r>
        <w:t xml:space="preserve"> </w:t>
      </w:r>
      <w:r>
        <w:t xml:space="preserve">mean is reported as the headline aggregation in this paper for</w:t>
      </w:r>
      <w:r>
        <w:t xml:space="preserve"> </w:t>
      </w:r>
      <w:r>
        <w:t xml:space="preserve">descriptive simplicity; the philosophical architecture itself</w:t>
      </w:r>
      <w:r>
        <w:t xml:space="preserve"> </w:t>
      </w:r>
      <w:r>
        <w:t xml:space="preserve">recommends weakest-link emphasis for institutions whose legitimacy</w:t>
      </w:r>
      <w:r>
        <w:t xml:space="preserve"> </w:t>
      </w:r>
      <w:r>
        <w:t xml:space="preserve">depends on the joint satisfaction of all five lenses.</w:t>
      </w:r>
    </w:p>
    <w:p>
      <w:pPr>
        <w:pStyle w:val="BodyText"/>
      </w:pPr>
      <w:r>
        <w:t xml:space="preserve">The five-lens framework instantiates Hurwicz’s (1987) design-perspective</w:t>
      </w:r>
      <w:r>
        <w:t xml:space="preserve"> </w:t>
      </w:r>
      <w:r>
        <w:t xml:space="preserve">program. Token-governance protocols are explicitly invented institutions,</w:t>
      </w:r>
      <w:r>
        <w:t xml:space="preserve"> </w:t>
      </w:r>
      <w:r>
        <w:t xml:space="preserve">and the analytical question is not whether existing institutions satisfy</w:t>
      </w:r>
      <w:r>
        <w:t xml:space="preserve"> </w:t>
      </w:r>
      <w:r>
        <w:t xml:space="preserve">philosophical legitimacy but whether a particular invented institution</w:t>
      </w:r>
      <w:r>
        <w:t xml:space="preserve"> </w:t>
      </w:r>
      <w:r>
        <w:t xml:space="preserve">can be designed to satisfy multiple lens criteria simultaneously under</w:t>
      </w:r>
      <w:r>
        <w:t xml:space="preserve"> </w:t>
      </w:r>
      <w:r>
        <w:t xml:space="preserve">the mechanism-design constraints of incentive compatibility and</w:t>
      </w:r>
      <w:r>
        <w:t xml:space="preserve"> </w:t>
      </w:r>
      <w:r>
        <w:t xml:space="preserve">informational feasibility that bound any implementable rule system. The</w:t>
      </w:r>
      <w:r>
        <w:t xml:space="preserve"> </w:t>
      </w:r>
      <w:r>
        <w:t xml:space="preserve">scoring rubric (Section 2.10) operationalizes this question by treating</w:t>
      </w:r>
      <w:r>
        <w:t xml:space="preserve"> </w:t>
      </w:r>
      <w:r>
        <w:t xml:space="preserve">each lens as a design criterion against which a given protocol can be</w:t>
      </w:r>
      <w:r>
        <w:t xml:space="preserve"> </w:t>
      </w:r>
      <w:r>
        <w:t xml:space="preserve">evaluated, and the cross-protocol concentration evidence (Section 3)</w:t>
      </w:r>
      <w:r>
        <w:t xml:space="preserve"> </w:t>
      </w:r>
      <w:r>
        <w:t xml:space="preserve">shows where current designs systematically fall short of joint-lens</w:t>
      </w:r>
      <w:r>
        <w:t xml:space="preserve"> </w:t>
      </w:r>
      <w:r>
        <w:t xml:space="preserve">satisfaction. Read this way, the paper contributes both to political</w:t>
      </w:r>
      <w:r>
        <w:t xml:space="preserve"> </w:t>
      </w:r>
      <w:r>
        <w:t xml:space="preserve">philosophy (a measurement infrastructure for normative claims about</w:t>
      </w:r>
      <w:r>
        <w:t xml:space="preserve"> </w:t>
      </w:r>
      <w:r>
        <w:t xml:space="preserve">designed institutions) and to mechanism design (a normative extension</w:t>
      </w:r>
      <w:r>
        <w:t xml:space="preserve"> </w:t>
      </w:r>
      <w:r>
        <w:t xml:space="preserve">that adds Pettit-style non-domination, Rawls-style fairness, Ostromian</w:t>
      </w:r>
      <w:r>
        <w:t xml:space="preserve"> </w:t>
      </w:r>
      <w:r>
        <w:t xml:space="preserve">polycentricity, and Hayekian knowledge-use to the classical efficiency-</w:t>
      </w:r>
      <w:r>
        <w:t xml:space="preserve"> </w:t>
      </w:r>
      <w:r>
        <w:t xml:space="preserve">plus-incentive-compatibility criteria Hurwicz 1987 identifies as the</w:t>
      </w:r>
      <w:r>
        <w:t xml:space="preserve"> </w:t>
      </w:r>
      <w:r>
        <w:t xml:space="preserve">bare minimum any institution must satisfy).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602"/>
        <w:gridCol w:w="1508"/>
        <w:gridCol w:w="1602"/>
        <w:gridCol w:w="1414"/>
        <w:gridCol w:w="16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 (Absent)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(Minimal)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(Partial)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(Exemplary)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Kantian</w:t>
            </w:r>
            <w:r>
              <w:t xml:space="preserve"> </w:t>
            </w:r>
            <w:r>
              <w:t xml:space="preserve">Publicity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</w:t>
            </w:r>
            <w:r>
              <w:t xml:space="preserve"> </w:t>
            </w:r>
            <w:r>
              <w:t xml:space="preserve">governance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exist but</w:t>
            </w:r>
            <w:r>
              <w:t xml:space="preserve"> </w:t>
            </w:r>
            <w:r>
              <w:t xml:space="preserve">hard to 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rules +</w:t>
            </w:r>
            <w:r>
              <w:t xml:space="preserve"> </w:t>
            </w: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rules +</w:t>
            </w:r>
            <w:r>
              <w:t xml:space="preserve"> </w:t>
            </w:r>
            <w:r>
              <w:t xml:space="preserve">deliberation +</w:t>
            </w:r>
            <w:r>
              <w:t xml:space="preserve"> </w:t>
            </w: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Rawlsian</w:t>
            </w:r>
            <w:r>
              <w:t xml:space="preserve"> </w:t>
            </w:r>
            <w: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floor-raising</w:t>
            </w:r>
            <w:r>
              <w:t xml:space="preserve"> </w:t>
            </w: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airdrop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Graduated fee</w:t>
            </w:r>
            <w:r>
              <w:t xml:space="preserve"> </w:t>
            </w:r>
            <w:r>
              <w:t xml:space="preserve">tiers or</w:t>
            </w:r>
            <w:r>
              <w:t xml:space="preserve"> </w:t>
            </w:r>
            <w:r>
              <w:t xml:space="preserve">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</w:t>
            </w:r>
            <w:r>
              <w:t xml:space="preserve"> </w:t>
            </w:r>
            <w:r>
              <w:t xml:space="preserve">equity</w:t>
            </w:r>
            <w:r>
              <w:t xml:space="preserve"> </w:t>
            </w:r>
            <w:r>
              <w:t xml:space="preserve">mechanisms +</w:t>
            </w:r>
            <w:r>
              <w:t xml:space="preserve"> </w:t>
            </w:r>
            <w:r>
              <w:t xml:space="preserve">measured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Pettit</w:t>
            </w:r>
            <w:r>
              <w:t xml:space="preserve"> </w:t>
            </w:r>
            <w:r>
              <w:t xml:space="preserve">Contestation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appeals or</w:t>
            </w:r>
            <w:r>
              <w:t xml:space="preserve"> </w:t>
            </w: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</w:t>
            </w:r>
            <w:r>
              <w:t xml:space="preserve"> </w:t>
            </w:r>
            <w:r>
              <w:t xml:space="preserve">complaints</w:t>
            </w:r>
            <w:r>
              <w:t xml:space="preserve"> </w:t>
            </w: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appeal</w:t>
            </w:r>
            <w:r>
              <w:t xml:space="preserve"> </w:t>
            </w:r>
            <w:r>
              <w:t xml:space="preserve">mechanism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  <w:r>
              <w:t xml:space="preserve"> </w:t>
            </w:r>
            <w:r>
              <w:t xml:space="preserve">arbitration +</w:t>
            </w:r>
            <w:r>
              <w:t xml:space="preserve"> </w:t>
            </w:r>
            <w:r>
              <w:t xml:space="preserve">veto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Ostrom</w:t>
            </w:r>
            <w:r>
              <w:t xml:space="preserve"> </w:t>
            </w:r>
            <w:r>
              <w:t xml:space="preserve">Polycentricity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decision</w:t>
            </w:r>
            <w:r>
              <w:t xml:space="preserve"> </w:t>
            </w: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</w:t>
            </w:r>
            <w:r>
              <w:t xml:space="preserve"> </w:t>
            </w:r>
            <w:r>
              <w:t xml:space="preserve">subcommittees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  <w:r>
              <w:t xml:space="preserve"> </w:t>
            </w:r>
            <w:r>
              <w:t xml:space="preserve">subDAOs with</w:t>
            </w:r>
            <w:r>
              <w:t xml:space="preserve"> </w:t>
            </w:r>
            <w:r>
              <w:t xml:space="preserve">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</w:t>
            </w:r>
            <w:r>
              <w:t xml:space="preserve"> </w:t>
            </w:r>
            <w:r>
              <w:t xml:space="preserve">governance with</w:t>
            </w:r>
            <w:r>
              <w:t xml:space="preserve"> </w:t>
            </w:r>
            <w:r>
              <w:t xml:space="preserve">local autonomy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Hayek</w:t>
            </w:r>
            <w:r>
              <w:t xml:space="preserve"> </w:t>
            </w:r>
            <w:r>
              <w:t xml:space="preserve">Knowledge-use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Admin-adjusted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  <w:r>
              <w:t xml:space="preserve"> </w:t>
            </w:r>
            <w:r>
              <w:t xml:space="preserve">price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Demand-coupled</w:t>
            </w:r>
            <w:r>
              <w:t xml:space="preserve"> </w:t>
            </w:r>
            <w:r>
              <w:t xml:space="preserve">mechanisms +</w:t>
            </w:r>
            <w:r>
              <w:t xml:space="preserve"> </w:t>
            </w:r>
            <w:r>
              <w:t xml:space="preserve">edge feedback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Table 1.</w:t>
      </w:r>
      <w:r>
        <w:rPr>
          <w:i/>
          <w:iCs/>
        </w:rPr>
        <w:t xml:space="preserve"> </w:t>
      </w:r>
      <w:r>
        <w:rPr>
          <w:i/>
          <w:iCs/>
        </w:rPr>
        <w:t xml:space="preserve">Scoring rubric: philosophical lens evaluation (0 = absent,</w:t>
      </w:r>
      <w:r>
        <w:rPr>
          <w:i/>
          <w:iCs/>
        </w:rPr>
        <w:t xml:space="preserve"> </w:t>
      </w:r>
      <w:r>
        <w:rPr>
          <w:i/>
          <w:iCs/>
        </w:rPr>
        <w:t xml:space="preserve">3 = exemplary). Each lens has a two-layer structure: an operational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 (what we score in each protocol) and a philosophical goal</w:t>
      </w:r>
      <w:r>
        <w:rPr>
          <w:i/>
          <w:iCs/>
        </w:rPr>
        <w:t xml:space="preserve"> </w:t>
      </w:r>
      <w:r>
        <w:rPr>
          <w:i/>
          <w:iCs/>
        </w:rPr>
        <w:t xml:space="preserve">(the normative warrant the tradition supplies). Kantian Publicity</w:t>
      </w:r>
      <w:r>
        <w:rPr>
          <w:i/>
          <w:iCs/>
        </w:rPr>
        <w:t xml:space="preserve"> </w:t>
      </w:r>
      <w:r>
        <w:rPr>
          <w:i/>
          <w:iCs/>
        </w:rPr>
        <w:t xml:space="preserve">(operational: transparent rules with published rationales; goal:</w:t>
      </w:r>
      <w:r>
        <w:rPr>
          <w:i/>
          <w:iCs/>
        </w:rPr>
        <w:t xml:space="preserve"> </w:t>
      </w:r>
      <w:r>
        <w:rPr>
          <w:i/>
          <w:iCs/>
        </w:rPr>
        <w:t xml:space="preserve">legitimacy through public reason; Kant 1795</w:t>
      </w:r>
      <w:r>
        <w:rPr>
          <w:i/>
          <w:iCs/>
        </w:rPr>
        <w:t xml:space="preserve"> </w:t>
      </w:r>
      <w:r>
        <w:t xml:space="preserve">Toward Perpetual Peace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Rawlsian Fairness (operational: floor-raising distributional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mechanisms; goal: Difference Principle protection of the least</w:t>
      </w:r>
      <w:r>
        <w:rPr>
          <w:i/>
          <w:iCs/>
        </w:rPr>
        <w:t xml:space="preserve"> </w:t>
      </w:r>
      <w:r>
        <w:rPr>
          <w:i/>
          <w:iCs/>
        </w:rPr>
        <w:t xml:space="preserve">advantaged; Rawls 1971 §13, 2001 §13). Pettit Contestation (operational:</w:t>
      </w:r>
      <w:r>
        <w:rPr>
          <w:i/>
          <w:iCs/>
        </w:rPr>
        <w:t xml:space="preserve"> </w:t>
      </w:r>
      <w:r>
        <w:rPr>
          <w:i/>
          <w:iCs/>
        </w:rPr>
        <w:t xml:space="preserve">formal appeals and veto infrastructure; goal: non-domination as</w:t>
      </w:r>
      <w:r>
        <w:rPr>
          <w:i/>
          <w:iCs/>
        </w:rPr>
        <w:t xml:space="preserve"> </w:t>
      </w:r>
      <w:r>
        <w:rPr>
          <w:i/>
          <w:iCs/>
        </w:rPr>
        <w:t xml:space="preserve">freedom from arbitrary power; Pettit 1997</w:t>
      </w:r>
      <w:r>
        <w:rPr>
          <w:i/>
          <w:iCs/>
        </w:rPr>
        <w:t xml:space="preserve"> </w:t>
      </w:r>
      <w:r>
        <w:t xml:space="preserve">Republicanism</w:t>
      </w:r>
      <w:r>
        <w:rPr>
          <w:i/>
          <w:iCs/>
        </w:rPr>
        <w:t xml:space="preserve">, building</w:t>
      </w:r>
      <w:r>
        <w:rPr>
          <w:i/>
          <w:iCs/>
        </w:rPr>
        <w:t xml:space="preserve"> </w:t>
      </w:r>
      <w:r>
        <w:rPr>
          <w:i/>
          <w:iCs/>
        </w:rPr>
        <w:t xml:space="preserve">on Skinner 1998</w:t>
      </w:r>
      <w:r>
        <w:rPr>
          <w:i/>
          <w:iCs/>
        </w:rPr>
        <w:t xml:space="preserve"> </w:t>
      </w:r>
      <w:r>
        <w:t xml:space="preserve">Liberty before Liberalism</w:t>
      </w:r>
      <w:r>
        <w:rPr>
          <w:i/>
          <w:iCs/>
        </w:rPr>
        <w:t xml:space="preserve">). Ostrom Polycentricity</w:t>
      </w:r>
      <w:r>
        <w:rPr>
          <w:i/>
          <w:iCs/>
        </w:rPr>
        <w:t xml:space="preserve"> </w:t>
      </w:r>
      <w:r>
        <w:rPr>
          <w:i/>
          <w:iCs/>
        </w:rPr>
        <w:t xml:space="preserve">(operational: nested decision-centers with local autonomy; goal:</w:t>
      </w:r>
      <w:r>
        <w:rPr>
          <w:i/>
          <w:iCs/>
        </w:rPr>
        <w:t xml:space="preserve"> </w:t>
      </w:r>
      <w:r>
        <w:rPr>
          <w:i/>
          <w:iCs/>
        </w:rPr>
        <w:t xml:space="preserve">adaptive collective action across heterogeneous environments;</w:t>
      </w:r>
      <w:r>
        <w:rPr>
          <w:i/>
          <w:iCs/>
        </w:rPr>
        <w:t xml:space="preserve"> </w:t>
      </w:r>
      <w:r>
        <w:rPr>
          <w:i/>
          <w:iCs/>
        </w:rPr>
        <w:t xml:space="preserve">Ostrom 1990</w:t>
      </w:r>
      <w:r>
        <w:rPr>
          <w:i/>
          <w:iCs/>
        </w:rPr>
        <w:t xml:space="preserve"> </w:t>
      </w:r>
      <w:r>
        <w:t xml:space="preserve">Governing the Commons</w:t>
      </w:r>
      <w:r>
        <w:rPr>
          <w:i/>
          <w:iCs/>
        </w:rPr>
        <w:t xml:space="preserve">; V. Ostrom, Tiebout, &amp; Warren 1961).</w:t>
      </w:r>
      <w:r>
        <w:rPr>
          <w:i/>
          <w:iCs/>
        </w:rPr>
        <w:t xml:space="preserve"> </w:t>
      </w:r>
      <w:r>
        <w:rPr>
          <w:i/>
          <w:iCs/>
        </w:rPr>
        <w:t xml:space="preserve">Hayek Knowledge-use (operational: demand-coupled signal mechanisms</w:t>
      </w:r>
      <w:r>
        <w:rPr>
          <w:i/>
          <w:iCs/>
        </w:rPr>
        <w:t xml:space="preserve"> </w:t>
      </w:r>
      <w:r>
        <w:rPr>
          <w:i/>
          <w:iCs/>
        </w:rPr>
        <w:t xml:space="preserve">with edge feedback; goal: epistemic coordination through dispersed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information; Hayek 1945</w:t>
      </w:r>
      <w:r>
        <w:rPr>
          <w:i/>
          <w:iCs/>
        </w:rPr>
        <w:t xml:space="preserve"> </w:t>
      </w:r>
      <w:r>
        <w:rPr>
          <w:i/>
          <w:iCs/>
        </w:rPr>
        <w:t xml:space="preserve">“The Use of Knowledge in Society”</w:t>
      </w:r>
      <w:r>
        <w:rPr>
          <w:i/>
          <w:iCs/>
        </w:rPr>
        <w:t xml:space="preserve">). The</w:t>
      </w:r>
      <w:r>
        <w:rPr>
          <w:i/>
          <w:iCs/>
        </w:rPr>
        <w:t xml:space="preserve"> </w:t>
      </w:r>
      <w:r>
        <w:rPr>
          <w:i/>
          <w:iCs/>
        </w:rPr>
        <w:t xml:space="preserve">two-layer structure is made explicit in Table 2’s scoring column</w:t>
      </w:r>
      <w:r>
        <w:rPr>
          <w:i/>
          <w:iCs/>
        </w:rPr>
        <w:t xml:space="preserve"> </w:t>
      </w:r>
      <w:r>
        <w:rPr>
          <w:i/>
          <w:iCs/>
        </w:rPr>
        <w:t xml:space="preserve">headers and applies symmetrically across all five lenses; the</w:t>
      </w:r>
      <w:r>
        <w:rPr>
          <w:i/>
          <w:iCs/>
        </w:rPr>
        <w:t xml:space="preserve"> </w:t>
      </w:r>
      <w:r>
        <w:rPr>
          <w:i/>
          <w:iCs/>
        </w:rPr>
        <w:t xml:space="preserve">distinction prevents the common conflation of operational mechanism</w:t>
      </w:r>
      <w:r>
        <w:rPr>
          <w:i/>
          <w:iCs/>
        </w:rPr>
        <w:t xml:space="preserve"> </w:t>
      </w:r>
      <w:r>
        <w:rPr>
          <w:i/>
          <w:iCs/>
        </w:rPr>
        <w:t xml:space="preserve">with philosophical goal-state (e.g., contestation as the institutional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 Pettit identifies for non-domination as the freedom-state).</w:t>
      </w:r>
    </w:p>
    <w:p>
      <w:pPr>
        <w:pStyle w:val="BodyText"/>
      </w:pPr>
      <w:r>
        <w:drawing>
          <wp:inline>
            <wp:extent cx="5303520" cy="378406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edia/image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784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2.</w:t>
      </w:r>
      <w:r>
        <w:rPr>
          <w:i/>
          <w:iCs/>
        </w:rPr>
        <w:t xml:space="preserve"> </w:t>
      </w:r>
      <w:r>
        <w:rPr>
          <w:i/>
          <w:iCs/>
        </w:rPr>
        <w:t xml:space="preserve">Normative framework architecture: five philosophical</w:t>
      </w:r>
      <w:r>
        <w:rPr>
          <w:i/>
          <w:iCs/>
        </w:rPr>
        <w:t xml:space="preserve"> </w:t>
      </w:r>
      <w:r>
        <w:rPr>
          <w:i/>
          <w:iCs/>
        </w:rPr>
        <w:t xml:space="preserve">lenses are operationalized through a scoring rubric into five testable</w:t>
      </w:r>
      <w:r>
        <w:rPr>
          <w:i/>
          <w:iCs/>
        </w:rPr>
        <w:t xml:space="preserve"> </w:t>
      </w:r>
      <w:r>
        <w:rPr>
          <w:i/>
          <w:iCs/>
        </w:rPr>
        <w:t xml:space="preserve">design hypotheses. Dashed arrow indicates the empirical feedback loop</w:t>
      </w:r>
      <w:r>
        <w:rPr>
          <w:i/>
          <w:iCs/>
        </w:rPr>
        <w:t xml:space="preserve"> </w:t>
      </w:r>
      <w:r>
        <w:rPr>
          <w:i/>
          <w:iCs/>
        </w:rPr>
        <w:t xml:space="preserve">from governance concentration evidence (Section 3) and case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developed separately. Reading the figure: each axis represents a</w:t>
      </w:r>
      <w:r>
        <w:rPr>
          <w:i/>
          <w:iCs/>
        </w:rPr>
        <w:t xml:space="preserve"> </w:t>
      </w:r>
      <w:r>
        <w:rPr>
          <w:i/>
          <w:iCs/>
        </w:rPr>
        <w:t xml:space="preserve">separate philosophical lens; protocols satisfying multiple lenses occupy</w:t>
      </w:r>
      <w:r>
        <w:rPr>
          <w:i/>
          <w:iCs/>
        </w:rPr>
        <w:t xml:space="preserve"> </w:t>
      </w:r>
      <w:r>
        <w:rPr>
          <w:i/>
          <w:iCs/>
        </w:rPr>
        <w:t xml:space="preserve">upper-right regions, while concentration on a single lens leaves the</w:t>
      </w:r>
      <w:r>
        <w:rPr>
          <w:i/>
          <w:iCs/>
        </w:rPr>
        <w:t xml:space="preserve"> </w:t>
      </w:r>
      <w:r>
        <w:rPr>
          <w:i/>
          <w:iCs/>
        </w:rPr>
        <w:t xml:space="preserve">others under-protected.</w:t>
      </w:r>
    </w:p>
    <w:bookmarkEnd w:id="60"/>
    <w:bookmarkEnd w:id="61"/>
    <w:bookmarkStart w:id="80" w:name="framework-operationalization"/>
    <w:p>
      <w:pPr>
        <w:pStyle w:val="Heading2"/>
      </w:pPr>
      <w:r>
        <w:t xml:space="preserve">2.10 Framework Operationalization</w:t>
      </w:r>
    </w:p>
    <w:bookmarkStart w:id="62" w:name="approach"/>
    <w:p>
      <w:pPr>
        <w:pStyle w:val="Heading3"/>
      </w:pPr>
      <w:r>
        <w:t xml:space="preserve">2.10.1 Approach</w:t>
      </w:r>
    </w:p>
    <w:p>
      <w:pPr>
        <w:pStyle w:val="FirstParagraph"/>
      </w:pPr>
      <w:r>
        <w:t xml:space="preserve">The framework is operationalized through three components: (1) a</w:t>
      </w:r>
      <w:r>
        <w:t xml:space="preserve"> </w:t>
      </w:r>
      <w:r>
        <w:t xml:space="preserve">structured dataset of protocol and DAO design variables; (2) a</w:t>
      </w:r>
      <w:r>
        <w:t xml:space="preserve"> </w:t>
      </w:r>
      <w:r>
        <w:t xml:space="preserve">philosophy-to-design scoring rubric translating the five normative</w:t>
      </w:r>
      <w:r>
        <w:t xml:space="preserve"> </w:t>
      </w:r>
      <w:r>
        <w:t xml:space="preserve">lenses into observable criteria; and (3) a governance concentration</w:t>
      </w:r>
      <w:r>
        <w:t xml:space="preserve"> </w:t>
      </w:r>
      <w:r>
        <w:t xml:space="preserve">cross-section measuring token distribution across 40 protocols. This</w:t>
      </w:r>
      <w:r>
        <w:t xml:space="preserve"> </w:t>
      </w:r>
      <w:r>
        <w:t xml:space="preserve">paper develops the framework and rubric, and presents the governance</w:t>
      </w:r>
      <w:r>
        <w:t xml:space="preserve"> </w:t>
      </w:r>
      <w:r>
        <w:t xml:space="preserve">concentration cross-section as an empirical illustration. The full</w:t>
      </w:r>
      <w:r>
        <w:t xml:space="preserve"> </w:t>
      </w:r>
      <w:r>
        <w:t xml:space="preserve">quantitative pipeline (regression, panel, and event-study analyses) and</w:t>
      </w:r>
      <w:r>
        <w:t xml:space="preserve"> </w:t>
      </w:r>
      <w:r>
        <w:t xml:space="preserve">qualitative case evidence are specified for future work and developed in</w:t>
      </w:r>
      <w:r>
        <w:t xml:space="preserve"> </w:t>
      </w:r>
      <w:r>
        <w:t xml:space="preserve">separate studies.</w:t>
      </w:r>
    </w:p>
    <w:p>
      <w:pPr>
        <w:pStyle w:val="BodyText"/>
      </w:pPr>
      <w:r>
        <w:t xml:space="preserve">Each row of Table 1 carries a two-layer structure that Table 2 makes</w:t>
      </w:r>
      <w:r>
        <w:t xml:space="preserve"> </w:t>
      </w:r>
      <w:r>
        <w:t xml:space="preserve">explicit. Layer 1 is the philosophical goal-state: legitimacy through</w:t>
      </w:r>
      <w:r>
        <w:t xml:space="preserve"> </w:t>
      </w:r>
      <w:r>
        <w:t xml:space="preserve">public reason (Kant), distributive fairness (Rawls), non-domination</w:t>
      </w:r>
      <w:r>
        <w:t xml:space="preserve"> </w:t>
      </w:r>
      <w:r>
        <w:t xml:space="preserve">(Pettit), adaptive collective action (Ostrom), and epistemic</w:t>
      </w:r>
      <w:r>
        <w:t xml:space="preserve"> </w:t>
      </w:r>
      <w:r>
        <w:t xml:space="preserve">coordination through dispersed information (Hayek). Layer 2 is the</w:t>
      </w:r>
      <w:r>
        <w:t xml:space="preserve"> </w:t>
      </w:r>
      <w:r>
        <w:t xml:space="preserve">operational mechanism scored in each protocol: transparent rules with</w:t>
      </w:r>
      <w:r>
        <w:t xml:space="preserve"> </w:t>
      </w:r>
      <w:r>
        <w:t xml:space="preserve">published rationale (operationalizing publicity), floor-raising</w:t>
      </w:r>
      <w:r>
        <w:t xml:space="preserve"> </w:t>
      </w:r>
      <w:r>
        <w:t xml:space="preserve">distribution mechanisms (operationalizing fairness), formal appeals and</w:t>
      </w:r>
      <w:r>
        <w:t xml:space="preserve"> </w:t>
      </w:r>
      <w:r>
        <w:t xml:space="preserve">veto rights (operationalizing contestability, which is the institutional</w:t>
      </w:r>
      <w:r>
        <w:t xml:space="preserve"> </w:t>
      </w:r>
      <w:r>
        <w:t xml:space="preserve">mechanism Pettit identifies for non-domination), nested decision-centers</w:t>
      </w:r>
      <w:r>
        <w:t xml:space="preserve"> </w:t>
      </w:r>
      <w:r>
        <w:t xml:space="preserve">(operationalizing polycentricity), and demand-coupled signal mechanisms</w:t>
      </w:r>
      <w:r>
        <w:t xml:space="preserve"> </w:t>
      </w:r>
      <w:r>
        <w:t xml:space="preserve">(operationalizing knowledge-use). The scoring rubric measures Layer 2</w:t>
      </w:r>
      <w:r>
        <w:t xml:space="preserve"> </w:t>
      </w:r>
      <w:r>
        <w:t xml:space="preserve">in each protocol; Layer 1 supplies the normative warrant for why</w:t>
      </w:r>
      <w:r>
        <w:t xml:space="preserve"> </w:t>
      </w:r>
      <w:r>
        <w:t xml:space="preserve">Layer 2 matters. This two-layer structure prevents the common</w:t>
      </w:r>
      <w:r>
        <w:t xml:space="preserve"> </w:t>
      </w:r>
      <w:r>
        <w:t xml:space="preserve">conflation of philosophical goal with institutional mechanism (for</w:t>
      </w:r>
      <w:r>
        <w:t xml:space="preserve"> </w:t>
      </w:r>
      <w:r>
        <w:t xml:space="preserve">example, treating non-domination and contestation interchangeably,</w:t>
      </w:r>
      <w:r>
        <w:t xml:space="preserve"> </w:t>
      </w:r>
      <w:r>
        <w:t xml:space="preserve">when Pettit explicitly distinguishes them: non-domination is the</w:t>
      </w:r>
      <w:r>
        <w:t xml:space="preserve"> </w:t>
      </w:r>
      <w:r>
        <w:t xml:space="preserve">freedom-state; contestation is the mechanism by which legitimate</w:t>
      </w:r>
      <w:r>
        <w:t xml:space="preserve"> </w:t>
      </w:r>
      <w:r>
        <w:t xml:space="preserve">governance produces it).</w:t>
      </w:r>
    </w:p>
    <w:bookmarkEnd w:id="62"/>
    <w:bookmarkStart w:id="67" w:name="units-of-analysis-and-sampling-strategy"/>
    <w:p>
      <w:pPr>
        <w:pStyle w:val="Heading3"/>
      </w:pPr>
      <w:r>
        <w:t xml:space="preserve">2.10.2 Units of Analysis and Sampling Strategy</w:t>
      </w:r>
    </w:p>
    <w:p>
      <w:pPr>
        <w:pStyle w:val="FirstParagraph"/>
      </w:pPr>
      <w:r>
        <w:t xml:space="preserve">Holder-list cutoff: the top-1,000 holder cutoff follows established</w:t>
      </w:r>
      <w:r>
        <w:t xml:space="preserve"> </w:t>
      </w:r>
      <w:r>
        <w:t xml:space="preserve">convention in the token-governance concentration literature (Sai et al.,</w:t>
      </w:r>
      <w:r>
        <w:t xml:space="preserve"> </w:t>
      </w:r>
      <w:r>
        <w:t xml:space="preserve">2021 use comparable cutoffs across blockchain governance studies). The</w:t>
      </w:r>
      <w:r>
        <w:t xml:space="preserve"> </w:t>
      </w:r>
      <w:r>
        <w:t xml:space="preserve">cutoff captures the holder population materially relevant to governance</w:t>
      </w:r>
      <w:r>
        <w:t xml:space="preserve"> </w:t>
      </w:r>
      <w:r>
        <w:t xml:space="preserve">decisions; long-tail holders below this threshold collectively hold less</w:t>
      </w:r>
      <w:r>
        <w:t xml:space="preserve"> </w:t>
      </w:r>
      <w:r>
        <w:t xml:space="preserve">than five percent of supply across all sample protocols. Robustness</w:t>
      </w:r>
      <w:r>
        <w:t xml:space="preserve"> </w:t>
      </w:r>
      <w:r>
        <w:t xml:space="preserve">across cutoffs is supported by the Top-1%, Top-5%, and Top-10% columns</w:t>
      </w:r>
      <w:r>
        <w:t xml:space="preserve"> </w:t>
      </w:r>
      <w:r>
        <w:t xml:space="preserve">in Table 4: rank-ordering across protocols is preserved at all three</w:t>
      </w:r>
      <w:r>
        <w:t xml:space="preserve"> </w:t>
      </w:r>
      <w:r>
        <w:t xml:space="preserve">cutoffs (Spearman rho &gt; 0.95 between any two columns), indicating that</w:t>
      </w:r>
      <w:r>
        <w:t xml:space="preserve"> </w:t>
      </w:r>
      <w:r>
        <w:t xml:space="preserve">absolute HHI values may shift modestly with deeper-tail inclusion but</w:t>
      </w:r>
      <w:r>
        <w:t xml:space="preserve"> </w:t>
      </w:r>
      <w:r>
        <w:t xml:space="preserve">cross-protocol comparison remains robust to the cutoff choice. For</w:t>
      </w:r>
      <w:r>
        <w:t xml:space="preserve"> </w:t>
      </w:r>
      <w:r>
        <w:t xml:space="preserve">protocols with fewer than 1,000 unique non-zero holders after exclusion</w:t>
      </w:r>
      <w:r>
        <w:t xml:space="preserve"> </w:t>
      </w:r>
      <w:r>
        <w:t xml:space="preserve">(e.g., ZRO with N = 989), the actual holder count is reported; the</w:t>
      </w:r>
      <w:r>
        <w:t xml:space="preserve"> </w:t>
      </w:r>
      <w:r>
        <w:t xml:space="preserve">1,000-holder cutoff serves as a ceiling rather than a floor.</w:t>
      </w:r>
    </w:p>
    <w:p>
      <w:pPr>
        <w:pStyle w:val="BodyText"/>
      </w:pPr>
      <w:r>
        <w:t xml:space="preserve">Top-1% and Top-10% columns report literal cumulative shares: Top-1%</w:t>
      </w:r>
      <w:r>
        <w:t xml:space="preserve"> </w:t>
      </w:r>
      <w:r>
        <w:t xml:space="preserve">is the supply share of the single largest holder; Top-10% is the</w:t>
      </w:r>
      <w:r>
        <w:t xml:space="preserve"> </w:t>
      </w:r>
      <w:r>
        <w:t xml:space="preserve">cumulative share of the top 10 holders, both computed as percentages</w:t>
      </w:r>
      <w:r>
        <w:t xml:space="preserve"> </w:t>
      </w:r>
      <w:r>
        <w:t xml:space="preserve">of the post-exclusion top-1,000-holder sample total. The Top-5%</w:t>
      </w:r>
      <w:r>
        <w:t xml:space="preserve"> </w:t>
      </w:r>
      <w:r>
        <w:t xml:space="preserve">column (in the canonical CSV; not displayed in this table) reports</w:t>
      </w:r>
      <w:r>
        <w:t xml:space="preserve"> </w:t>
      </w:r>
      <w:r>
        <w:t xml:space="preserve">the top 5 holders cumulative share under the same convention. For</w:t>
      </w:r>
      <w:r>
        <w:t xml:space="preserve"> </w:t>
      </w:r>
      <w:r>
        <w:t xml:space="preserve">protocols with fewer than 1,000 unique non-zero holders after</w:t>
      </w:r>
      <w:r>
        <w:t xml:space="preserve"> </w:t>
      </w:r>
      <w:r>
        <w:t xml:space="preserve">exclusion, the same literal-top-N convention applies to the actual N.</w:t>
      </w:r>
      <w:r>
        <w:t xml:space="preserve"> </w:t>
      </w:r>
      <w:r>
        <w:t xml:space="preserve">For Hyperliquid (N = 1,886 unique non-zero holders post-exclusion),</w:t>
      </w:r>
      <w:r>
        <w:t xml:space="preserve"> </w:t>
      </w:r>
      <w:r>
        <w:t xml:space="preserve">the top-1,000 holders are sampled and the literal top-1 and top-10</w:t>
      </w:r>
      <w:r>
        <w:t xml:space="preserve"> </w:t>
      </w:r>
      <w:r>
        <w:t xml:space="preserve">shares within that top-1,000 sample are reported.</w:t>
      </w:r>
    </w:p>
    <w:p>
      <w:pPr>
        <w:pStyle w:val="BodyText"/>
      </w:pPr>
      <w:r>
        <w:t xml:space="preserve">Primary unit:</w:t>
      </w:r>
      <w:r>
        <w:t xml:space="preserve"> </w:t>
      </w:r>
      <w:r>
        <w:rPr>
          <w:b/>
          <w:bCs/>
        </w:rPr>
        <w:t xml:space="preserve">protocol-token system</w:t>
      </w:r>
      <w:r>
        <w:t xml:space="preserve"> </w:t>
      </w:r>
      <w:r>
        <w:t xml:space="preserve">(including its governance</w:t>
      </w:r>
      <w:r>
        <w:t xml:space="preserve"> </w:t>
      </w:r>
      <w:r>
        <w:t xml:space="preserve">institutions).</w:t>
      </w:r>
      <w:r>
        <w:br/>
      </w:r>
      <w:r>
        <w:t xml:space="preserve">Secondary unit:</w:t>
      </w:r>
      <w:r>
        <w:t xml:space="preserve"> </w:t>
      </w:r>
      <w:r>
        <w:rPr>
          <w:b/>
          <w:bCs/>
        </w:rPr>
        <w:t xml:space="preserve">governance episodes/events</w:t>
      </w:r>
      <w:r>
        <w:t xml:space="preserve"> </w:t>
      </w:r>
      <w:r>
        <w:t xml:space="preserve">(emission changes, fee</w:t>
      </w:r>
      <w:r>
        <w:t xml:space="preserve"> </w:t>
      </w:r>
      <w:r>
        <w:t xml:space="preserve">switches, unlocks, enforcement controversies, governance reforms).</w:t>
      </w:r>
    </w:p>
    <w:p>
      <w:pPr>
        <w:pStyle w:val="BodyText"/>
      </w:pPr>
      <w:r>
        <w:t xml:space="preserve">Protocols were selected to maximize variation across three dimensions:</w:t>
      </w:r>
      <w:r>
        <w:t xml:space="preserve"> </w:t>
      </w:r>
      <w:r>
        <w:t xml:space="preserve">sector (15 DeFi, 15 DePIN, 8 L1/L2 infrastructure, 2 failed or stagnated</w:t>
      </w:r>
      <w:r>
        <w:t xml:space="preserve"> </w:t>
      </w:r>
      <w:r>
        <w:t xml:space="preserve">protocols included to avoid studying only survivors), maturity</w:t>
      </w:r>
      <w:r>
        <w:t xml:space="preserve"> </w:t>
      </w:r>
      <w:r>
        <w:t xml:space="preserve">(2017-2024 launches), and governance model (token-weighted, delegate,</w:t>
      </w:r>
      <w:r>
        <w:t xml:space="preserve"> </w:t>
      </w:r>
      <w:r>
        <w:t xml:space="preserve">futarchy). The expanded 40-protocol sample was constructed by adding</w:t>
      </w:r>
      <w:r>
        <w:t xml:space="preserve"> </w:t>
      </w:r>
      <w:r>
        <w:t xml:space="preserve">protocols from the Dune Analytics ecosystem that met three criteria: (i)</w:t>
      </w:r>
      <w:r>
        <w:t xml:space="preserve"> </w:t>
      </w:r>
      <w:r>
        <w:t xml:space="preserve">publicly traded governance token, (ii) holder data queryable via Dune or</w:t>
      </w:r>
      <w:r>
        <w:t xml:space="preserve"> </w:t>
      </w:r>
      <w:r>
        <w:t xml:space="preserve">Helius DAS API, and (iii) at least 50 non-zero-balance holders after</w:t>
      </w:r>
      <w:r>
        <w:t xml:space="preserve"> </w:t>
      </w:r>
      <w:r>
        <w:t xml:space="preserve">protocol-controlled address exclusion. MetaDAO is included as the sole</w:t>
      </w:r>
      <w:r>
        <w:t xml:space="preserve"> </w:t>
      </w:r>
      <w:r>
        <w:t xml:space="preserve">futarchy-governance protocol in the sample. Solana-native tokens (META,</w:t>
      </w:r>
      <w:r>
        <w:t xml:space="preserve"> </w:t>
      </w:r>
      <w:r>
        <w:t xml:space="preserve">DRIFT, GRASS, W) required a separate data collection pipeline (Helius</w:t>
      </w:r>
      <w:r>
        <w:t xml:space="preserve"> </w:t>
      </w:r>
      <w:r>
        <w:t xml:space="preserve">DAS API) because the primary indexer undercounted holders by two orders</w:t>
      </w:r>
      <w:r>
        <w:t xml:space="preserve"> </w:t>
      </w:r>
      <w:r>
        <w:t xml:space="preserve">of magnitude; details are in</w:t>
      </w:r>
      <w:r>
        <w:t xml:space="preserve"> </w:t>
      </w:r>
      <w:hyperlink r:id="rId63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S6</w:t>
        </w:r>
      </w:hyperlink>
      <w:r>
        <w:t xml:space="preserve">.</w:t>
      </w:r>
    </w:p>
    <w:p>
      <w:pPr>
        <w:pStyle w:val="BodyText"/>
      </w:pPr>
      <w:r>
        <w:drawing>
          <wp:inline>
            <wp:extent cx="5029200" cy="513643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edia/image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13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3.</w:t>
      </w:r>
      <w:r>
        <w:rPr>
          <w:i/>
          <w:iCs/>
        </w:rPr>
        <w:t xml:space="preserve"> </w:t>
      </w:r>
      <w:r>
        <w:rPr>
          <w:i/>
          <w:iCs/>
        </w:rPr>
        <w:t xml:space="preserve">Holding-based Herfindahl-Hirschman Index (HHI) across 40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tokens (March 2026 snapshot, top-1,000 holders,</w:t>
      </w:r>
      <w:r>
        <w:rPr>
          <w:i/>
          <w:iCs/>
        </w:rPr>
        <w:t xml:space="preserve"> </w:t>
      </w:r>
      <w:r>
        <w:rPr>
          <w:i/>
          <w:iCs/>
        </w:rPr>
        <w:t xml:space="preserve">protocol-controlled addresses excluded). Dashed lines indicate category</w:t>
      </w:r>
      <w:r>
        <w:rPr>
          <w:i/>
          <w:iCs/>
        </w:rPr>
        <w:t xml:space="preserve"> </w:t>
      </w:r>
      <w:r>
        <w:rPr>
          <w:i/>
          <w:iCs/>
        </w:rPr>
        <w:t xml:space="preserve">means. Protocols sorted by category then HHI ascending. Reading the</w:t>
      </w:r>
      <w:r>
        <w:rPr>
          <w:i/>
          <w:iCs/>
        </w:rPr>
        <w:t xml:space="preserve"> </w:t>
      </w:r>
      <w:r>
        <w:rPr>
          <w:i/>
          <w:iCs/>
        </w:rPr>
        <w:t xml:space="preserve">figure: bars show pre-exclusion HHI, with the post-exclusion</w:t>
      </w:r>
      <w:r>
        <w:rPr>
          <w:i/>
          <w:iCs/>
        </w:rPr>
        <w:t xml:space="preserve"> </w:t>
      </w:r>
      <w:r>
        <w:rPr>
          <w:i/>
          <w:iCs/>
        </w:rPr>
        <w:t xml:space="preserve">(governance-relevant) HHI overlay; the gap between the two indicates how</w:t>
      </w:r>
      <w:r>
        <w:rPr>
          <w:i/>
          <w:iCs/>
        </w:rPr>
        <w:t xml:space="preserve"> </w:t>
      </w:r>
      <w:r>
        <w:rPr>
          <w:i/>
          <w:iCs/>
        </w:rPr>
        <w:t xml:space="preserve">much of measured concentration was protocol-controlled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governance-relevant.</w:t>
      </w:r>
    </w:p>
    <w:p>
      <w:pPr>
        <w:pStyle w:val="BodyText"/>
      </w:pPr>
      <w:r>
        <w:t xml:space="preserve">Inequality (Gini) is near-universal across all sectors (range 0.45 to</w:t>
      </w:r>
      <w:r>
        <w:t xml:space="preserve"> </w:t>
      </w:r>
      <w:r>
        <w:t xml:space="preserve">0.99), while concentration (HHI) varies by an order of magnitude (0.004</w:t>
      </w:r>
      <w:r>
        <w:t xml:space="preserve"> </w:t>
      </w:r>
      <w:r>
        <w:t xml:space="preserve">to 0.199 after excluding protocol-controlled addresses). Token wealth</w:t>
      </w:r>
      <w:r>
        <w:t xml:space="preserve"> </w:t>
      </w:r>
      <w:r>
        <w:t xml:space="preserve">inequality is a structural feature of token systems, but governance</w:t>
      </w:r>
      <w:r>
        <w:t xml:space="preserve"> </w:t>
      </w:r>
      <w:r>
        <w:t xml:space="preserve">concentration, how far power concentrates among few addresses, is</w:t>
      </w:r>
      <w:r>
        <w:t xml:space="preserve"> </w:t>
      </w:r>
      <w:r>
        <w:t xml:space="preserve">design-sensitive. Governance structure is a constitutional choice, not</w:t>
      </w:r>
      <w:r>
        <w:t xml:space="preserve"> </w:t>
      </w:r>
      <w:r>
        <w:t xml:space="preserve">an afterthought. Prior work applying the Gini coefficient to eight major</w:t>
      </w:r>
      <w:r>
        <w:t xml:space="preserve"> </w:t>
      </w:r>
      <w:r>
        <w:t xml:space="preserve">cryptocurrencies found inequality levels comparable to real-world</w:t>
      </w:r>
      <w:r>
        <w:t xml:space="preserve"> </w:t>
      </w:r>
      <w:r>
        <w:t xml:space="preserve">economies (Sai, Buckley, &amp; Le Gear, 2021); because permissionless</w:t>
      </w:r>
      <w:r>
        <w:t xml:space="preserve"> </w:t>
      </w:r>
      <w:r>
        <w:t xml:space="preserve">address creation produces millions of near-zero-balance wallets that</w:t>
      </w:r>
      <w:r>
        <w:t xml:space="preserve"> </w:t>
      </w:r>
      <w:r>
        <w:t xml:space="preserve">inflate Gini toward 1.0 regardless of governance structure, the</w:t>
      </w:r>
      <w:r>
        <w:t xml:space="preserve"> </w:t>
      </w:r>
      <w:r>
        <w:t xml:space="preserve">near-universal inequality this sample documents (Gini 0.52 to 0.99) is a</w:t>
      </w:r>
      <w:r>
        <w:t xml:space="preserve"> </w:t>
      </w:r>
      <w:r>
        <w:t xml:space="preserve">measurement artifact of ledger architecture rather than a governance</w:t>
      </w:r>
      <w:r>
        <w:t xml:space="preserve"> </w:t>
      </w:r>
      <w:r>
        <w:t xml:space="preserve">signal, reinforcing the case for HHI as the primary concentration</w:t>
      </w:r>
      <w:r>
        <w:t xml:space="preserve"> </w:t>
      </w:r>
      <w:r>
        <w:t xml:space="preserve">metric.</w:t>
      </w:r>
    </w:p>
    <w:p>
      <w:pPr>
        <w:pStyle w:val="BodyText"/>
      </w:pPr>
      <w:r>
        <w:t xml:space="preserve">The Anyone Protocol (HHI 0.040; Table 4) demonstrates that governance</w:t>
      </w:r>
      <w:r>
        <w:t xml:space="preserve"> </w:t>
      </w:r>
      <w:r>
        <w:t xml:space="preserve">concentration is a design choice, not an inevitability of DePIN</w:t>
      </w:r>
      <w:r>
        <w:t xml:space="preserve"> </w:t>
      </w:r>
      <w:r>
        <w:t xml:space="preserve">architecture. Five DePIN protocols (Render 0.032, Grass 0.035, DIMO</w:t>
      </w:r>
      <w:r>
        <w:t xml:space="preserve"> </w:t>
      </w:r>
      <w:r>
        <w:t xml:space="preserve">0.038, Anyone 0.040, Filecoin 0.047) achieve concentration levels at or</w:t>
      </w:r>
      <w:r>
        <w:t xml:space="preserve"> </w:t>
      </w:r>
      <w:r>
        <w:t xml:space="preserve">below the DeFi median, indicating that low concentration is achievable</w:t>
      </w:r>
      <w:r>
        <w:t xml:space="preserve"> </w:t>
      </w:r>
      <w:r>
        <w:t xml:space="preserve">in hardware-coordination protocols.</w:t>
      </w:r>
    </w:p>
    <w:p>
      <w:pPr>
        <w:pStyle w:val="BodyText"/>
      </w:pPr>
      <w:r>
        <w:t xml:space="preserve">Sampling principles: include multiple categories (L1/L2, DeFi,</w:t>
      </w:r>
      <w:r>
        <w:t xml:space="preserve"> </w:t>
      </w:r>
      <w:r>
        <w:t xml:space="preserve">infra/oracles, DePIN, social)</w:t>
      </w:r>
    </w:p>
    <w:p>
      <w:pPr>
        <w:pStyle w:val="BodyText"/>
      </w:pPr>
      <w:r>
        <w:t xml:space="preserve">include</w:t>
      </w:r>
      <w:r>
        <w:t xml:space="preserve"> </w:t>
      </w:r>
      <w:r>
        <w:t xml:space="preserve">“dead”</w:t>
      </w:r>
      <w:r>
        <w:t xml:space="preserve"> </w:t>
      </w:r>
      <w:r>
        <w:t xml:space="preserve">or stagnated projects to reduce survivorship bias</w:t>
      </w:r>
    </w:p>
    <w:p>
      <w:pPr>
        <w:pStyle w:val="BodyText"/>
      </w:pPr>
      <w:r>
        <w:t xml:space="preserve">stratify by chain and epoch to control for regime effects</w:t>
      </w:r>
    </w:p>
    <w:bookmarkEnd w:id="67"/>
    <w:bookmarkStart w:id="68" w:name="Xaacb50fea6df1cee9492765d6d199ee06417d5d"/>
    <w:p>
      <w:pPr>
        <w:pStyle w:val="Heading3"/>
      </w:pPr>
      <w:r>
        <w:t xml:space="preserve">2.10.3 Data Sources (Replicable, Multi-Disciplinary)</w:t>
      </w:r>
    </w:p>
    <w:p>
      <w:pPr>
        <w:pStyle w:val="FirstParagraph"/>
      </w:pPr>
      <w:r>
        <w:t xml:space="preserve">Four data streams inform the analysis: on-chain data (Dune Analytics,</w:t>
      </w:r>
      <w:r>
        <w:t xml:space="preserve"> </w:t>
      </w:r>
      <w:r>
        <w:t xml:space="preserve">Helius DAS API), protocol documentation (whitepapers, governance forums,</w:t>
      </w:r>
      <w:r>
        <w:t xml:space="preserve"> </w:t>
      </w:r>
      <w:r>
        <w:t xml:space="preserve">parameter docs), analytic aggregators (Token Terminal, DeFiLlama,</w:t>
      </w:r>
      <w:r>
        <w:t xml:space="preserve"> </w:t>
      </w:r>
      <w:r>
        <w:t xml:space="preserve">CoinGecko), and public academic and policy sources. A systematic data</w:t>
      </w:r>
      <w:r>
        <w:t xml:space="preserve"> </w:t>
      </w:r>
      <w:r>
        <w:t xml:space="preserve">coverage gap between DeFi and DePIN protocols (Token Terminal covers</w:t>
      </w:r>
      <w:r>
        <w:t xml:space="preserve"> </w:t>
      </w:r>
      <w:r>
        <w:t xml:space="preserve">approximately 100% of DeFi but only 25% of DePIN) constrains</w:t>
      </w:r>
      <w:r>
        <w:t xml:space="preserve"> </w:t>
      </w:r>
      <w:r>
        <w:t xml:space="preserve">cross-sector regression analysis. Full source provenance, exclusion</w:t>
      </w:r>
      <w:r>
        <w:t xml:space="preserve"> </w:t>
      </w:r>
      <w:r>
        <w:t xml:space="preserve">methodology, the protocols Token Terminal does not cover, and the</w:t>
      </w:r>
      <w:r>
        <w:t xml:space="preserve"> </w:t>
      </w:r>
      <w:r>
        <w:t xml:space="preserve">resulting partial-data subsets are documented in Supplementary File S6.</w:t>
      </w:r>
    </w:p>
    <w:p>
      <w:pPr>
        <w:pStyle w:val="BodyText"/>
      </w:pPr>
      <w:r>
        <w:t xml:space="preserve">Snapshot date discipline for governance-power data: the Table 7 voting</w:t>
      </w:r>
      <w:r>
        <w:t xml:space="preserve"> </w:t>
      </w:r>
      <w:r>
        <w:t xml:space="preserve">HHI values are computed from a March 2026 snapshot of Tally and</w:t>
      </w:r>
      <w:r>
        <w:t xml:space="preserve"> </w:t>
      </w:r>
      <w:r>
        <w:t xml:space="preserve">Snapshot governance data, consistent with the March 2026 holder-list</w:t>
      </w:r>
      <w:r>
        <w:t xml:space="preserve"> </w:t>
      </w:r>
      <w:r>
        <w:t xml:space="preserve">snapshot used for Table 4 holding HHI. Subsequent Tally and Snapshot</w:t>
      </w:r>
      <w:r>
        <w:t xml:space="preserve"> </w:t>
      </w:r>
      <w:r>
        <w:t xml:space="preserve">API queries during the R2 revision cycle (May 2026) confirmed that</w:t>
      </w:r>
      <w:r>
        <w:t xml:space="preserve"> </w:t>
      </w:r>
      <w:r>
        <w:t xml:space="preserve">voting-power distributions can drift materially over multi-month</w:t>
      </w:r>
      <w:r>
        <w:t xml:space="preserve"> </w:t>
      </w:r>
      <w:r>
        <w:t xml:space="preserve">windows: a fresh Compound Tally pull in May 2026 returned roughly 120</w:t>
      </w:r>
      <w:r>
        <w:t xml:space="preserve"> </w:t>
      </w:r>
      <w:r>
        <w:t xml:space="preserve">delegates with non-zero voting power, compared with the 100-delegate</w:t>
      </w:r>
      <w:r>
        <w:t xml:space="preserve"> </w:t>
      </w:r>
      <w:r>
        <w:t xml:space="preserve">sample available in March 2026. The Snapshot voter pool for Compound</w:t>
      </w:r>
      <w:r>
        <w:t xml:space="preserve"> </w:t>
      </w:r>
      <w:r>
        <w:t xml:space="preserve">grew from 114 unique voters in March 2026 to 138 by May 2026 over a</w:t>
      </w:r>
      <w:r>
        <w:t xml:space="preserve"> </w:t>
      </w:r>
      <w:r>
        <w:t xml:space="preserve">12-month rolling window. The Table 7 values use March 2026 to maintain</w:t>
      </w:r>
      <w:r>
        <w:t xml:space="preserve"> </w:t>
      </w:r>
      <w:r>
        <w:t xml:space="preserve">cross-table consistency; replication runs using fresh Tally and</w:t>
      </w:r>
      <w:r>
        <w:t xml:space="preserve"> </w:t>
      </w:r>
      <w:r>
        <w:t xml:space="preserve">Snapshot data should expect comparable but not identical voting HHI</w:t>
      </w:r>
      <w:r>
        <w:t xml:space="preserve"> </w:t>
      </w:r>
      <w:r>
        <w:t xml:space="preserve">values, and rank ordering across protocols is the more durable</w:t>
      </w:r>
      <w:r>
        <w:t xml:space="preserve"> </w:t>
      </w:r>
      <w:r>
        <w:t xml:space="preserve">inferential property than absolute magnitude. Section 3.7 reports a</w:t>
      </w:r>
      <w:r>
        <w:t xml:space="preserve"> </w:t>
      </w:r>
      <w:r>
        <w:t xml:space="preserve">PCA-symmetric voting-HHI sensitivity check using both March 2026 and</w:t>
      </w:r>
      <w:r>
        <w:t xml:space="preserve"> </w:t>
      </w:r>
      <w:r>
        <w:t xml:space="preserve">May 2026 data.</w:t>
      </w:r>
    </w:p>
    <w:bookmarkEnd w:id="68"/>
    <w:bookmarkStart w:id="70" w:name="codebook-and-rubric"/>
    <w:p>
      <w:pPr>
        <w:pStyle w:val="Heading3"/>
      </w:pPr>
      <w:r>
        <w:t xml:space="preserve">2.10.4 Codebook and Rubric</w:t>
      </w:r>
    </w:p>
    <w:p>
      <w:pPr>
        <w:pStyle w:val="FirstParagraph"/>
      </w:pPr>
      <w:r>
        <w:t xml:space="preserve">Insider taxonomy: the analysis distinguishes two related but distinct</w:t>
      </w:r>
      <w:r>
        <w:t xml:space="preserve"> </w:t>
      </w:r>
      <w:r>
        <w:t xml:space="preserve">constructs. Insider allocation (insider_pct) is the regression covariate</w:t>
      </w:r>
      <w:r>
        <w:t xml:space="preserve"> </w:t>
      </w:r>
      <w:r>
        <w:t xml:space="preserve">measured at token generation event (TGE), defined as team_pct +</w:t>
      </w:r>
      <w:r>
        <w:t xml:space="preserve"> </w:t>
      </w:r>
      <w:r>
        <w:t xml:space="preserve">investor_pct from primary tokenomics sources. Insider count fraction in</w:t>
      </w:r>
      <w:r>
        <w:t xml:space="preserve"> </w:t>
      </w:r>
      <w:r>
        <w:t xml:space="preserve">top-10 holders is a descriptive mechanism variable measured</w:t>
      </w:r>
      <w:r>
        <w:t xml:space="preserve"> </w:t>
      </w:r>
      <w:r>
        <w:t xml:space="preserve">post-distribution from holder snapshots, defined as the post-exclusion</w:t>
      </w:r>
      <w:r>
        <w:t xml:space="preserve"> </w:t>
      </w:r>
      <w:r>
        <w:t xml:space="preserve">fraction of wallets in the top-10 classified as insider via a three-tier</w:t>
      </w:r>
      <w:r>
        <w:t xml:space="preserve"> </w:t>
      </w:r>
      <w:r>
        <w:t xml:space="preserve">procedure: Tier 1 uses Blockscout verified-contract labels and Dune</w:t>
      </w:r>
      <w:r>
        <w:t xml:space="preserve"> </w:t>
      </w:r>
      <w:r>
        <w:t xml:space="preserve">exchange tags; Tier 2 uses contract bytecode matching for SafeProxy,</w:t>
      </w:r>
      <w:r>
        <w:t xml:space="preserve"> </w:t>
      </w:r>
      <w:r>
        <w:t xml:space="preserve">GnosisSafe, and vesting contracts; Tier 3 uses Etherscan named-address</w:t>
      </w:r>
      <w:r>
        <w:t xml:space="preserve"> </w:t>
      </w:r>
      <w:r>
        <w:t xml:space="preserve">matching against documented foundation, treasury, and team wallets.</w:t>
      </w:r>
      <w:r>
        <w:t xml:space="preserve"> </w:t>
      </w:r>
      <w:r>
        <w:t xml:space="preserve">Protocol-controlled addresses (PCAs) are excluded from holding HHI</w:t>
      </w:r>
      <w:r>
        <w:t xml:space="preserve"> </w:t>
      </w:r>
      <w:r>
        <w:t xml:space="preserve">computation entirely at the top of the pipeline (113 addresses across 38</w:t>
      </w:r>
      <w:r>
        <w:t xml:space="preserve"> </w:t>
      </w:r>
      <w:r>
        <w:t xml:space="preserve">protocols documented in exclusions_log.csv) and are not counted as</w:t>
      </w:r>
      <w:r>
        <w:t xml:space="preserve"> </w:t>
      </w:r>
      <w:r>
        <w:t xml:space="preserve">insiders for the purposes of the count fraction. Solana-native protocols</w:t>
      </w:r>
      <w:r>
        <w:t xml:space="preserve"> </w:t>
      </w:r>
      <w:r>
        <w:t xml:space="preserve">carry an acknowledged labeling gap: io.net classifies as zero of ten</w:t>
      </w:r>
      <w:r>
        <w:t xml:space="preserve"> </w:t>
      </w:r>
      <w:r>
        <w:t xml:space="preserve">insiders because Solana lacks Blockscout-style contract labels at the</w:t>
      </w:r>
      <w:r>
        <w:t xml:space="preserve"> </w:t>
      </w:r>
      <w:r>
        <w:t xml:space="preserve">scale available on Ethereum and EVM L2s. This is a classification</w:t>
      </w:r>
      <w:r>
        <w:t xml:space="preserve"> </w:t>
      </w:r>
      <w:r>
        <w:t xml:space="preserve">limitation rather than evidence of distributed governance and is flagged</w:t>
      </w:r>
      <w:r>
        <w:t xml:space="preserve"> </w:t>
      </w:r>
      <w:r>
        <w:t xml:space="preserve">in the §4.8 limitations.</w:t>
      </w:r>
    </w:p>
    <w:p>
      <w:pPr>
        <w:pStyle w:val="BodyText"/>
      </w:pPr>
      <w:r>
        <w:t xml:space="preserve">We code each protocol across standardized dimensions via a</w:t>
      </w:r>
      <w:r>
        <w:t xml:space="preserve"> </w:t>
      </w:r>
      <w:r>
        <w:t xml:space="preserve">machine-readable table capturing metadata, supply and issuance rules,</w:t>
      </w:r>
      <w:r>
        <w:t xml:space="preserve"> </w:t>
      </w:r>
      <w:r>
        <w:t xml:space="preserve">distribution, value routing and sinks, staking and lockup parameters,</w:t>
      </w:r>
      <w:r>
        <w:t xml:space="preserve"> </w:t>
      </w:r>
      <w:r>
        <w:t xml:space="preserve">governance architecture, decentralization metrics, incentive windows,</w:t>
      </w:r>
      <w:r>
        <w:t xml:space="preserve"> </w:t>
      </w:r>
      <w:r>
        <w:t xml:space="preserve">and data/identity posture, plus computed philosophy lens scores (0–3)</w:t>
      </w:r>
      <w:r>
        <w:t xml:space="preserve"> </w:t>
      </w:r>
      <w:r>
        <w:t xml:space="preserve">and evidence links. Full field definitions and the codebook schema are</w:t>
      </w:r>
      <w:r>
        <w:t xml:space="preserve"> </w:t>
      </w:r>
      <w:r>
        <w:t xml:space="preserve">documented in</w:t>
      </w:r>
      <w:r>
        <w:t xml:space="preserve"> </w:t>
      </w:r>
      <w:hyperlink r:id="rId69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S1</w:t>
        </w:r>
      </w:hyperlink>
      <w:r>
        <w:t xml:space="preserve">.</w:t>
      </w:r>
    </w:p>
    <w:bookmarkEnd w:id="70"/>
    <w:bookmarkStart w:id="73" w:name="X58fc8dd93c94f668489b90f86d609fd21ae00e5"/>
    <w:p>
      <w:pPr>
        <w:pStyle w:val="Heading3"/>
      </w:pPr>
      <w:r>
        <w:t xml:space="preserve">2.10.5 Philosophy Scoring Rubric: Translating Normative Theory into Observable Criteria</w:t>
      </w:r>
    </w:p>
    <w:p>
      <w:pPr>
        <w:pStyle w:val="FirstParagraph"/>
      </w:pPr>
      <w:r>
        <w:t xml:space="preserve">The scoring rubric is a second machine-readable table (</w:t>
      </w:r>
      <w:hyperlink r:id="rId71">
        <w:r>
          <w:rPr>
            <w:rStyle w:val="Hyperlink"/>
            <w:u w:val="single"/>
          </w:rPr>
          <w:t xml:space="preserve">Supplementary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S2</w:t>
        </w:r>
      </w:hyperlink>
      <w:r>
        <w:t xml:space="preserve">)</w:t>
      </w:r>
      <w:r>
        <w:t xml:space="preserve"> </w:t>
      </w:r>
      <w:r>
        <w:t xml:space="preserve">capturing lens_id, criterion_id, criterion definitions, a 0–3 scoring</w:t>
      </w:r>
      <w:r>
        <w:t xml:space="preserve"> </w:t>
      </w:r>
      <w:r>
        <w:t xml:space="preserve">scale per criterion, and default weights; a third table (Supplementary</w:t>
      </w:r>
      <w:r>
        <w:t xml:space="preserve"> </w:t>
      </w:r>
      <w:r>
        <w:t xml:space="preserve">File S3) stores protocol × criterion scores with evidence links, scorer</w:t>
      </w:r>
      <w:r>
        <w:t xml:space="preserve"> </w:t>
      </w:r>
      <w:r>
        <w:t xml:space="preserve">initials, and dates. Each protocol is scored by gathering evidence</w:t>
      </w:r>
      <w:r>
        <w:t xml:space="preserve"> </w:t>
      </w:r>
      <w:r>
        <w:t xml:space="preserve">(documentation, forum threads, code references), assigning 0–3 to each</w:t>
      </w:r>
      <w:r>
        <w:t xml:space="preserve"> </w:t>
      </w:r>
      <w:r>
        <w:t xml:space="preserve">criterion, computing each lens score as a weighted mean, and aggregating</w:t>
      </w:r>
      <w:r>
        <w:t xml:space="preserve"> </w:t>
      </w:r>
      <w:r>
        <w:t xml:space="preserve">into a Synergy Index across lenses with pre-specified weights.</w:t>
      </w:r>
    </w:p>
    <w:p>
      <w:pPr>
        <w:pStyle w:val="BodyText"/>
      </w:pPr>
      <w:r>
        <w:t xml:space="preserve">Reliability is established by double-coding at least 10% of protocols to</w:t>
      </w:r>
      <w:r>
        <w:t xml:space="preserve"> </w:t>
      </w:r>
      <w:r>
        <w:t xml:space="preserve">estimate inter-rater agreement (Cohen’s κ), with adjudication rules</w:t>
      </w:r>
      <w:r>
        <w:t xml:space="preserve"> </w:t>
      </w:r>
      <w:r>
        <w:t xml:space="preserve">where κ is low; construct validity is established by comparing rubric</w:t>
      </w:r>
      <w:r>
        <w:t xml:space="preserve"> </w:t>
      </w:r>
      <w:r>
        <w:t xml:space="preserve">scores to independent indicators including governance concentration,</w:t>
      </w:r>
      <w:r>
        <w:t xml:space="preserve"> </w:t>
      </w:r>
      <w:r>
        <w:t xml:space="preserve">frequency of rule changes, and appeals outcomes. The operationalization</w:t>
      </w:r>
      <w:r>
        <w:t xml:space="preserve"> </w:t>
      </w:r>
      <w:r>
        <w:t xml:space="preserve">is designed to be legible across disciplines, mapping</w:t>
      </w:r>
      <w:r>
        <w:t xml:space="preserve"> </w:t>
      </w:r>
      <w:r>
        <w:t xml:space="preserve">political-philosophical criteria to measurable institutional features</w:t>
      </w:r>
      <w:r>
        <w:t xml:space="preserve"> </w:t>
      </w:r>
      <w:r>
        <w:t xml:space="preserve">(appeals, publicity, concentration) and enabling empirical tests.</w:t>
      </w:r>
    </w:p>
    <w:p>
      <w:pPr>
        <w:pStyle w:val="BodyText"/>
      </w:pPr>
      <w:r>
        <w:t xml:space="preserve">Table 2 demonstrates the rubric applied to three protocols spanning the</w:t>
      </w:r>
      <w:r>
        <w:t xml:space="preserve"> </w:t>
      </w:r>
      <w:r>
        <w:t xml:space="preserve">DeFi–DePIN divide; full scoring sheets for all 12 scored protocols,</w:t>
      </w:r>
      <w:r>
        <w:t xml:space="preserve"> </w:t>
      </w:r>
      <w:r>
        <w:t xml:space="preserve">with evidence links, are provided in</w:t>
      </w:r>
      <w:r>
        <w:t xml:space="preserve"> </w:t>
      </w:r>
      <w:hyperlink r:id="rId72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S3</w:t>
        </w:r>
      </w:hyperlink>
      <w:r>
        <w:t xml:space="preserve">.</w:t>
      </w:r>
      <w:r>
        <w:t xml:space="preserve"> </w:t>
      </w:r>
      <w:r>
        <w:t xml:space="preserve">Scores are assigned by a single coder; inter-rater reliability testing</w:t>
      </w:r>
      <w:r>
        <w:t xml:space="preserve"> </w:t>
      </w:r>
      <w:r>
        <w:t xml:space="preserve">with a second scorer is specified as future work.</w:t>
      </w:r>
    </w:p>
    <w:tbl>
      <w:tblPr>
        <w:tblStyle w:val="Table"/>
        <w:tblW w:type="pct" w:w="4915"/>
        <w:tblLayout w:type="fixed"/>
        <w:tblLook w:firstRow="1" w:lastRow="0" w:firstColumn="0" w:lastColumn="0" w:noHBand="0" w:noVBand="0" w:val="0020"/>
      </w:tblPr>
      <w:tblGrid>
        <w:gridCol w:w="1015"/>
        <w:gridCol w:w="1083"/>
        <w:gridCol w:w="1015"/>
        <w:gridCol w:w="1015"/>
        <w:gridCol w:w="1218"/>
        <w:gridCol w:w="1083"/>
        <w:gridCol w:w="13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Non-Dom.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Polycentric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evidence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Uniswap (DeFi)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 + Snapshot +</w:t>
            </w:r>
            <w:r>
              <w:t xml:space="preserve"> </w:t>
            </w:r>
            <w:r>
              <w:t xml:space="preserve">on-chain vote; HHI</w:t>
            </w:r>
            <w:r>
              <w:t xml:space="preserve"> </w:t>
            </w:r>
            <w:r>
              <w:t xml:space="preserve">0.114; delegate</w:t>
            </w:r>
            <w:r>
              <w:t xml:space="preserve"> </w:t>
            </w:r>
            <w:r>
              <w:t xml:space="preserve">concentration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Hyperliquid</w:t>
            </w:r>
            <w:r>
              <w:t xml:space="preserve"> </w:t>
            </w:r>
            <w:r>
              <w:t xml:space="preserve">(DeFi)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VC + 31%</w:t>
            </w:r>
            <w:r>
              <w:t xml:space="preserve"> </w:t>
            </w:r>
            <w:r>
              <w:t xml:space="preserve">airdrop; HHI 0.005;</w:t>
            </w:r>
            <w:r>
              <w:t xml:space="preserve"> </w:t>
            </w:r>
            <w:r>
              <w:t xml:space="preserve">Assistance Fund</w:t>
            </w:r>
            <w:r>
              <w:t xml:space="preserve"> </w:t>
            </w:r>
            <w:r>
              <w:t xml:space="preserve">auto-burns 97% of</w:t>
            </w:r>
            <w:r>
              <w:t xml:space="preserve"> </w:t>
            </w:r>
            <w:r>
              <w:t xml:space="preserve">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(DePIN)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Improvement</w:t>
            </w:r>
            <w:r>
              <w:t xml:space="preserve"> </w:t>
            </w:r>
            <w:r>
              <w:t xml:space="preserve">Proposal (HIP)</w:t>
            </w:r>
            <w:r>
              <w:t xml:space="preserve"> </w:t>
            </w:r>
            <w:r>
              <w:t xml:space="preserve">process public;</w:t>
            </w:r>
            <w:r>
              <w:t xml:space="preserve"> </w:t>
            </w:r>
            <w:r>
              <w:t xml:space="preserve">subDAO structure;</w:t>
            </w:r>
            <w:r>
              <w:t xml:space="preserve"> </w:t>
            </w:r>
            <w:r>
              <w:t xml:space="preserve">HHI 0.102; HIP-147</w:t>
            </w:r>
            <w:r>
              <w:t xml:space="preserve"> </w:t>
            </w:r>
            <w:r>
              <w:t xml:space="preserve">reform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GEODNET</w:t>
            </w:r>
            <w:r>
              <w:t xml:space="preserve"> </w:t>
            </w:r>
            <w:r>
              <w:t xml:space="preserve">(DePIN)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</w:t>
            </w:r>
            <w:r>
              <w:t xml:space="preserve"> </w:t>
            </w:r>
            <w:r>
              <w:t xml:space="preserve">subscription-burn</w:t>
            </w:r>
            <w:r>
              <w:t xml:space="preserve"> </w:t>
            </w:r>
            <w:r>
              <w:t xml:space="preserve">(Real-Time</w:t>
            </w:r>
            <w:r>
              <w:t xml:space="preserve"> </w:t>
            </w:r>
            <w:r>
              <w:t xml:space="preserve">Kinematic GPS</w:t>
            </w:r>
            <w:r>
              <w:t xml:space="preserve"> </w:t>
            </w:r>
            <w:r>
              <w:t xml:space="preserve">service); HHI</w:t>
            </w:r>
            <w:r>
              <w:t xml:space="preserve"> </w:t>
            </w:r>
            <w:r>
              <w:t xml:space="preserve">0.132; Snapshot</w:t>
            </w:r>
            <w:r>
              <w:t xml:space="preserve"> </w:t>
            </w:r>
            <w:r>
              <w:t xml:space="preserve">DAO; demand-coupled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Anyone (DePIN)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HHI (0.040);</w:t>
            </w:r>
            <w:r>
              <w:t xml:space="preserve"> </w:t>
            </w:r>
            <w:r>
              <w:t xml:space="preserve">early-stage</w:t>
            </w:r>
            <w:r>
              <w:t xml:space="preserve"> </w:t>
            </w:r>
            <w:r>
              <w:t xml:space="preserve">governance; limited</w:t>
            </w:r>
            <w:r>
              <w:t xml:space="preserve"> </w:t>
            </w:r>
            <w:r>
              <w:t xml:space="preserve">formal process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Table 2.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Illustrative rubric scores (0 = absent, 1 = minimal, 2 =</w:t>
      </w:r>
      <w:r>
        <w:rPr>
          <w:i/>
          <w:iCs/>
        </w:rPr>
        <w:t xml:space="preserve"> </w:t>
      </w:r>
      <w:r>
        <w:rPr>
          <w:i/>
          <w:iCs/>
        </w:rPr>
        <w:t xml:space="preserve">partial, 3 = exemplary). Scores are by a single coder; full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sheets in</w:t>
      </w:r>
      <w:r>
        <w:t xml:space="preserve"> </w:t>
      </w:r>
      <w:hyperlink r:id="rId72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S3</w:t>
        </w:r>
      </w:hyperlink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Columns: Publicity (Kantian; transparent rules with published</w:t>
      </w:r>
      <w:r>
        <w:rPr>
          <w:i/>
          <w:iCs/>
        </w:rPr>
        <w:t xml:space="preserve"> </w:t>
      </w:r>
      <w:r>
        <w:rPr>
          <w:i/>
          <w:iCs/>
        </w:rPr>
        <w:t xml:space="preserve">rationales), Fairness (Rawlsian; floor protection in distribution),</w:t>
      </w:r>
      <w:r>
        <w:rPr>
          <w:i/>
          <w:iCs/>
        </w:rPr>
        <w:t xml:space="preserve"> </w:t>
      </w:r>
      <w:r>
        <w:rPr>
          <w:i/>
          <w:iCs/>
        </w:rPr>
        <w:t xml:space="preserve">Non-Dom. (Pettit; formal contestability infrastructure protecting from</w:t>
      </w:r>
      <w:r>
        <w:rPr>
          <w:i/>
          <w:iCs/>
        </w:rPr>
        <w:t xml:space="preserve"> </w:t>
      </w:r>
      <w:r>
        <w:rPr>
          <w:i/>
          <w:iCs/>
        </w:rPr>
        <w:t xml:space="preserve">arbitrary interference, scored independently of holding concentration),</w:t>
      </w:r>
      <w:r>
        <w:rPr>
          <w:i/>
          <w:iCs/>
        </w:rPr>
        <w:t xml:space="preserve"> </w:t>
      </w:r>
      <w:r>
        <w:rPr>
          <w:i/>
          <w:iCs/>
        </w:rPr>
        <w:t xml:space="preserve">Polycentric (Ostrom; multiple overlapping decision centers), 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(Hayek; reliance on dispersed local knowledge in operations).</w:t>
      </w:r>
    </w:p>
    <w:bookmarkEnd w:id="73"/>
    <w:bookmarkStart w:id="74" w:name="outcome-variables"/>
    <w:p>
      <w:pPr>
        <w:pStyle w:val="Heading3"/>
      </w:pPr>
      <w:r>
        <w:t xml:space="preserve">2.10.6 Outcome Variables</w:t>
      </w:r>
    </w:p>
    <w:p>
      <w:pPr>
        <w:pStyle w:val="FirstParagraph"/>
      </w:pPr>
      <w:r>
        <w:t xml:space="preserve">Three primary metrics are used. The Herfindahl-Hirschman Index (HHI),</w:t>
      </w:r>
      <w:r>
        <w:t xml:space="preserve"> </w:t>
      </w:r>
      <w:r>
        <w:t xml:space="preserve">ranging from 0 (dispersed) to 1 (monopoly), measures overall token</w:t>
      </w:r>
      <w:r>
        <w:t xml:space="preserve"> </w:t>
      </w:r>
      <w:r>
        <w:t xml:space="preserve">concentration; values above 0.25 indicate high concentration by</w:t>
      </w:r>
      <w:r>
        <w:t xml:space="preserve"> </w:t>
      </w:r>
      <w:r>
        <w:t xml:space="preserve">antitrust standards. Section 3.3 notes no protocol exceeds this</w:t>
      </w:r>
      <w:r>
        <w:t xml:space="preserve"> </w:t>
      </w:r>
      <w:r>
        <w:t xml:space="preserve">threshold. The Gini coefficient captures distributional inequality.</w:t>
      </w:r>
      <w:r>
        <w:t xml:space="preserve"> </w:t>
      </w:r>
      <w:r>
        <w:t xml:space="preserve">Top-N ratios (Top-1, Top-5, Top-10 share) complement HHI by identifying</w:t>
      </w:r>
      <w:r>
        <w:t xml:space="preserve"> </w:t>
      </w:r>
      <w:r>
        <w:t xml:space="preserve">specific whale addresses.</w:t>
      </w:r>
    </w:p>
    <w:p>
      <w:pPr>
        <w:pStyle w:val="BodyText"/>
      </w:pPr>
      <w:r>
        <w:t xml:space="preserve">The Synergy Index measures institutional design intent across normative</w:t>
      </w:r>
      <w:r>
        <w:t xml:space="preserve"> </w:t>
      </w:r>
      <w:r>
        <w:t xml:space="preserve">traditions as the arithmetic mean of five lens scores, each in 0–3</w:t>
      </w:r>
      <w:r>
        <w:t xml:space="preserve"> </w:t>
      </w:r>
      <w:r>
        <w:t xml:space="preserve">range per Table 1. The lenses measure operational mechanisms: Kantian</w:t>
      </w:r>
      <w:r>
        <w:t xml:space="preserve"> </w:t>
      </w:r>
      <w:r>
        <w:t xml:space="preserve">publicity (transparent rules), Rawlsian fairness (floor-protection</w:t>
      </w:r>
      <w:r>
        <w:t xml:space="preserve"> </w:t>
      </w:r>
      <w:r>
        <w:t xml:space="preserve">mechanisms), Pettit contestability (formal appeals and veto</w:t>
      </w:r>
      <w:r>
        <w:t xml:space="preserve"> </w:t>
      </w:r>
      <w:r>
        <w:t xml:space="preserve">infrastructure; the institutional mechanism Pettit identifies for the</w:t>
      </w:r>
      <w:r>
        <w:t xml:space="preserve"> </w:t>
      </w:r>
      <w:r>
        <w:t xml:space="preserve">goal-state of non-domination), Ostromian polycentricity (nested</w:t>
      </w:r>
      <w:r>
        <w:t xml:space="preserve"> </w:t>
      </w:r>
      <w:r>
        <w:t xml:space="preserve">decision-centers), and Hayekian knowledge-use (demand-coupled signal</w:t>
      </w:r>
      <w:r>
        <w:t xml:space="preserve"> </w:t>
      </w:r>
      <w:r>
        <w:t xml:space="preserve">mechanisms). The arithmetic-mean aggregation gives equal weight across</w:t>
      </w:r>
      <w:r>
        <w:t xml:space="preserve"> </w:t>
      </w:r>
      <w:r>
        <w:t xml:space="preserve">these five dimensions on the assumption that they are mutually</w:t>
      </w:r>
      <w:r>
        <w:t xml:space="preserve"> </w:t>
      </w:r>
      <w:r>
        <w:t xml:space="preserve">reinforcing rather than substitutable (see Section 2.9.6 on inter-lens</w:t>
      </w:r>
      <w:r>
        <w:t xml:space="preserve"> </w:t>
      </w:r>
      <w:r>
        <w:t xml:space="preserve">relationships); alternative aggregations are possible, with the</w:t>
      </w:r>
      <w:r>
        <w:t xml:space="preserve"> </w:t>
      </w:r>
      <w:r>
        <w:t xml:space="preserve">geometric mean emphasizing the weakest dimension (a</w:t>
      </w:r>
      <w:r>
        <w:t xml:space="preserve"> </w:t>
      </w:r>
      <w:r>
        <w:t xml:space="preserve">‘weakest-link’</w:t>
      </w:r>
      <w:r>
        <w:t xml:space="preserve"> </w:t>
      </w:r>
      <w:r>
        <w:t xml:space="preserve">framing aligned with companion-paper composition arguments; Zukowski</w:t>
      </w:r>
      <w:r>
        <w:t xml:space="preserve"> </w:t>
      </w:r>
      <w:r>
        <w:t xml:space="preserve">2026c). Three additional dimensions from the literature review</w:t>
      </w:r>
      <w:r>
        <w:t xml:space="preserve"> </w:t>
      </w:r>
      <w:r>
        <w:t xml:space="preserve">(capabilities, contextual integrity, cosmopolitan inclusion) are</w:t>
      </w:r>
      <w:r>
        <w:t xml:space="preserve"> </w:t>
      </w:r>
      <w:r>
        <w:t xml:space="preserve">reserved for future evaluation due to non-comparable cross-protocol</w:t>
      </w:r>
      <w:r>
        <w:t xml:space="preserve"> </w:t>
      </w:r>
      <w:r>
        <w:t xml:space="preserve">measurement; their omission is discussed in Section 4.8 limitations.</w:t>
      </w:r>
    </w:p>
    <w:p>
      <w:pPr>
        <w:pStyle w:val="BodyText"/>
      </w:pPr>
      <w:r>
        <w:t xml:space="preserve">Full metric definitions, computation procedures, and Dune query</w:t>
      </w:r>
      <w:r>
        <w:t xml:space="preserve"> </w:t>
      </w:r>
      <w:r>
        <w:t xml:space="preserve">specifications are provided in</w:t>
      </w:r>
      <w:r>
        <w:t xml:space="preserve"> </w:t>
      </w:r>
      <w:hyperlink r:id="rId69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S1</w:t>
        </w:r>
      </w:hyperlink>
      <w:r>
        <w:t xml:space="preserve">.</w:t>
      </w:r>
    </w:p>
    <w:bookmarkEnd w:id="74"/>
    <w:bookmarkStart w:id="76" w:name="testability-and-empirical-pipeline"/>
    <w:p>
      <w:pPr>
        <w:pStyle w:val="Heading3"/>
      </w:pPr>
      <w:r>
        <w:t xml:space="preserve">2.10.7 Testability and Empirical Pipeline</w:t>
      </w:r>
    </w:p>
    <w:p>
      <w:pPr>
        <w:pStyle w:val="FirstParagraph"/>
      </w:pPr>
      <w:r>
        <w:t xml:space="preserve">The five design hypotheses are testable in principle through</w:t>
      </w:r>
      <w:r>
        <w:t xml:space="preserve"> </w:t>
      </w:r>
      <w:r>
        <w:t xml:space="preserve">cross-sectional governance analysis (this paper), longitudinal panel</w:t>
      </w:r>
      <w:r>
        <w:t xml:space="preserve"> </w:t>
      </w:r>
      <w:r>
        <w:t xml:space="preserve">models, event studies around governance decisions, and qualitative</w:t>
      </w:r>
      <w:r>
        <w:t xml:space="preserve"> </w:t>
      </w:r>
      <w:r>
        <w:t xml:space="preserve">process tracing. This paper reports the cross-sectional governance</w:t>
      </w:r>
      <w:r>
        <w:t xml:space="preserve"> </w:t>
      </w:r>
      <w:r>
        <w:t xml:space="preserve">concentration analysis (Section 3). The full quantitative pipeline,</w:t>
      </w:r>
      <w:r>
        <w:t xml:space="preserve"> </w:t>
      </w:r>
      <w:r>
        <w:t xml:space="preserve">including panel regressions, event-study specifications, and robustness</w:t>
      </w:r>
      <w:r>
        <w:t xml:space="preserve"> </w:t>
      </w:r>
      <w:r>
        <w:t xml:space="preserve">protocols, is documented in supplementary material (</w:t>
      </w:r>
      <w:hyperlink r:id="rId75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S5</w:t>
        </w:r>
      </w:hyperlink>
      <w:r>
        <w:t xml:space="preserve">)</w:t>
      </w:r>
      <w:r>
        <w:t xml:space="preserve"> </w:t>
      </w:r>
      <w:r>
        <w:t xml:space="preserve">for replication and extension by future researchers.</w:t>
      </w:r>
    </w:p>
    <w:bookmarkEnd w:id="76"/>
    <w:bookmarkStart w:id="77" w:name="ethical-and-practical-considerations"/>
    <w:p>
      <w:pPr>
        <w:pStyle w:val="Heading3"/>
      </w:pPr>
      <w:r>
        <w:t xml:space="preserve">2.10.8 Ethical and Practical Considerations</w:t>
      </w:r>
    </w:p>
    <w:p>
      <w:pPr>
        <w:pStyle w:val="FirstParagraph"/>
      </w:pPr>
      <w:r>
        <w:t xml:space="preserve">All data are drawn from public sources: on-chain transactions, published</w:t>
      </w:r>
      <w:r>
        <w:t xml:space="preserve"> </w:t>
      </w:r>
      <w:r>
        <w:t xml:space="preserve">governance proposals, and open protocol documentation. No private or</w:t>
      </w:r>
      <w:r>
        <w:t xml:space="preserve"> </w:t>
      </w:r>
      <w:r>
        <w:t xml:space="preserve">proprietary data are used. The scoring rubric relies on publicly</w:t>
      </w:r>
      <w:r>
        <w:t xml:space="preserve"> </w:t>
      </w:r>
      <w:r>
        <w:t xml:space="preserve">observable design features. We compute governance token distribution</w:t>
      </w:r>
      <w:r>
        <w:t xml:space="preserve"> </w:t>
      </w:r>
      <w:r>
        <w:t xml:space="preserve">data from Dune Analytics multi-chain queries. The author is employed by</w:t>
      </w:r>
      <w:r>
        <w:t xml:space="preserve"> </w:t>
      </w:r>
      <w:r>
        <w:t xml:space="preserve">Borderless Capital, a cryptocurrency-focused investment firm, and may</w:t>
      </w:r>
      <w:r>
        <w:t xml:space="preserve"> </w:t>
      </w:r>
      <w:r>
        <w:t xml:space="preserve">hold or have held positions in some protocols analyzed; a complete</w:t>
      </w:r>
      <w:r>
        <w:t xml:space="preserve"> </w:t>
      </w:r>
      <w:r>
        <w:t xml:space="preserve">disclosure is provided in the Conflict of Interest statement</w:t>
      </w:r>
      <w:r>
        <w:t xml:space="preserve"> </w:t>
      </w:r>
      <w:r>
        <w:t xml:space="preserve">accompanying this submission.</w:t>
      </w:r>
    </w:p>
    <w:bookmarkEnd w:id="77"/>
    <w:bookmarkStart w:id="78" w:name="worked-example-optimism-protocol-scoring"/>
    <w:p>
      <w:pPr>
        <w:pStyle w:val="Heading3"/>
      </w:pPr>
      <w:r>
        <w:t xml:space="preserve">2.10.9 Worked Example: Optimism Protocol Scoring</w:t>
      </w:r>
    </w:p>
    <w:p>
      <w:pPr>
        <w:pStyle w:val="FirstParagraph"/>
      </w:pPr>
      <w:r>
        <w:t xml:space="preserve">To illustrate the rubric application from Section 2.10.5 and Table 1,</w:t>
      </w:r>
      <w:r>
        <w:t xml:space="preserve"> </w:t>
      </w:r>
      <w:r>
        <w:t xml:space="preserve">we walk through Optimism’s per-lens scoring with the operational</w:t>
      </w:r>
      <w:r>
        <w:t xml:space="preserve"> </w:t>
      </w:r>
      <w:r>
        <w:t xml:space="preserve">mechanism (Layer 2 per Section 2.10.1) on which each lens is scored</w:t>
      </w:r>
      <w:r>
        <w:t xml:space="preserve"> </w:t>
      </w:r>
      <w:r>
        <w:t xml:space="preserve">and the published evidence supporting the assigned score. Optimism is</w:t>
      </w:r>
      <w:r>
        <w:t xml:space="preserve"> </w:t>
      </w:r>
      <w:r>
        <w:t xml:space="preserve">chosen because its bicameral architecture (Token House plus Citizens’</w:t>
      </w:r>
      <w:r>
        <w:t xml:space="preserve"> </w:t>
      </w:r>
      <w:r>
        <w:t xml:space="preserve">House) exercises multiple lenses simultaneously and because the</w:t>
      </w:r>
      <w:r>
        <w:t xml:space="preserve"> </w:t>
      </w:r>
      <w:r>
        <w:t xml:space="preserve">protocol publishes governance documentation at a level of detail that</w:t>
      </w:r>
      <w:r>
        <w:t xml:space="preserve"> </w:t>
      </w:r>
      <w:r>
        <w:t xml:space="preserve">enables verifiable scoring.</w:t>
      </w:r>
    </w:p>
    <w:p>
      <w:pPr>
        <w:pStyle w:val="BodyText"/>
      </w:pPr>
      <w:r>
        <w:rPr>
          <w:b/>
          <w:bCs/>
        </w:rPr>
        <w:t xml:space="preserve">Kantian Publicity (score: 3, Exemplary).</w:t>
      </w:r>
      <w:r>
        <w:t xml:space="preserve"> </w:t>
      </w:r>
      <w:r>
        <w:t xml:space="preserve">Optimism publishes</w:t>
      </w:r>
      <w:r>
        <w:t xml:space="preserve"> </w:t>
      </w:r>
      <w:r>
        <w:t xml:space="preserve">governance proposals on Snapshot and Tally with explicit rationales</w:t>
      </w:r>
      <w:r>
        <w:t xml:space="preserve"> </w:t>
      </w:r>
      <w:r>
        <w:t xml:space="preserve">(Optimism Governance Forum; Optimism, 2024). The Citizens’ House</w:t>
      </w:r>
      <w:r>
        <w:t xml:space="preserve"> </w:t>
      </w:r>
      <w:r>
        <w:t xml:space="preserve">process includes published deliberation periods, and Token House</w:t>
      </w:r>
      <w:r>
        <w:t xml:space="preserve"> </w:t>
      </w:r>
      <w:r>
        <w:t xml:space="preserve">proposals require multi-stage review with public commentary periods.</w:t>
      </w:r>
      <w:r>
        <w:t xml:space="preserve"> </w:t>
      </w:r>
      <w:r>
        <w:t xml:space="preserve">The published-rules-plus-deliberation-plus-justification criterion of</w:t>
      </w:r>
      <w:r>
        <w:t xml:space="preserve"> </w:t>
      </w:r>
      <w:r>
        <w:t xml:space="preserve">Table 1 is satisfied: proposals are not merely visible but accompanied</w:t>
      </w:r>
      <w:r>
        <w:t xml:space="preserve"> </w:t>
      </w:r>
      <w:r>
        <w:t xml:space="preserve">by rationale and stakeholder commentary.</w:t>
      </w:r>
    </w:p>
    <w:p>
      <w:pPr>
        <w:pStyle w:val="BodyText"/>
      </w:pPr>
      <w:r>
        <w:rPr>
          <w:b/>
          <w:bCs/>
        </w:rPr>
        <w:t xml:space="preserve">Rawlsian Fairness (score: 3, Exemplary).</w:t>
      </w:r>
      <w:r>
        <w:t xml:space="preserve"> </w:t>
      </w:r>
      <w:r>
        <w:t xml:space="preserve">Optimism’s Retroactive</w:t>
      </w:r>
      <w:r>
        <w:t xml:space="preserve"> </w:t>
      </w:r>
      <w:r>
        <w:t xml:space="preserve">Public Goods Funding (RetroPGF) program explicitly compensates</w:t>
      </w:r>
      <w:r>
        <w:t xml:space="preserve"> </w:t>
      </w:r>
      <w:r>
        <w:t xml:space="preserve">public-goods contributors who would not be captured by token-weighted</w:t>
      </w:r>
      <w:r>
        <w:t xml:space="preserve"> </w:t>
      </w:r>
      <w:r>
        <w:t xml:space="preserve">governance alone; RetroPGF rounds are documented with measured</w:t>
      </w:r>
      <w:r>
        <w:t xml:space="preserve"> </w:t>
      </w:r>
      <w:r>
        <w:t xml:space="preserve">distributional gaps relative to the broader holder base. Combined with</w:t>
      </w:r>
      <w:r>
        <w:t xml:space="preserve"> </w:t>
      </w:r>
      <w:r>
        <w:t xml:space="preserve">the Citizens’ House (reputation-weighted, not token-weighted), Optimism</w:t>
      </w:r>
      <w:r>
        <w:t xml:space="preserve"> </w:t>
      </w:r>
      <w:r>
        <w:t xml:space="preserve">operationalizes the floor-raising mechanism Table 1 specifies at the</w:t>
      </w:r>
      <w:r>
        <w:t xml:space="preserve"> </w:t>
      </w:r>
      <w:r>
        <w:t xml:space="preserve">Exemplary tier (systematic equity mechanisms plus measured gaps).</w:t>
      </w:r>
    </w:p>
    <w:p>
      <w:pPr>
        <w:pStyle w:val="BodyText"/>
      </w:pPr>
      <w:r>
        <w:rPr>
          <w:b/>
          <w:bCs/>
        </w:rPr>
        <w:t xml:space="preserve">Pettit Contestation (score: 3, Exemplary).</w:t>
      </w:r>
      <w:r>
        <w:t xml:space="preserve"> </w:t>
      </w:r>
      <w:r>
        <w:t xml:space="preserve">The Citizens’ House</w:t>
      </w:r>
      <w:r>
        <w:t xml:space="preserve"> </w:t>
      </w:r>
      <w:r>
        <w:t xml:space="preserve">exercises formal veto power over economic parameters proposed by the</w:t>
      </w:r>
      <w:r>
        <w:t xml:space="preserve"> </w:t>
      </w:r>
      <w:r>
        <w:t xml:space="preserve">Token House, with dynamic veto thresholds that lower the trigger when</w:t>
      </w:r>
      <w:r>
        <w:t xml:space="preserve"> </w:t>
      </w:r>
      <w:r>
        <w:t xml:space="preserve">multiple stakeholder groups align (Optimism, 2024). This is the precise</w:t>
      </w:r>
      <w:r>
        <w:t xml:space="preserve"> </w:t>
      </w:r>
      <w:r>
        <w:t xml:space="preserve">Independent-arbitration-plus-veto-rights mechanism Table 1 specifies</w:t>
      </w:r>
      <w:r>
        <w:t xml:space="preserve"> </w:t>
      </w:r>
      <w:r>
        <w:t xml:space="preserve">at the Exemplary tier. The two-layer-framing distinction is relevant</w:t>
      </w:r>
      <w:r>
        <w:t xml:space="preserve"> </w:t>
      </w:r>
      <w:r>
        <w:t xml:space="preserve">here: the operational mechanism scored (contestability) is present at</w:t>
      </w:r>
      <w:r>
        <w:t xml:space="preserve"> </w:t>
      </w:r>
      <w:r>
        <w:t xml:space="preserve">exemplary level; the philosophical goal-state Pettit identifies</w:t>
      </w:r>
      <w:r>
        <w:t xml:space="preserve"> </w:t>
      </w:r>
      <w:r>
        <w:t xml:space="preserve">(non-domination) is a separate question that depends on the practical</w:t>
      </w:r>
      <w:r>
        <w:t xml:space="preserve"> </w:t>
      </w:r>
      <w:r>
        <w:t xml:space="preserve">efficacy of veto exercise, which Section 3.5 documents as constrained</w:t>
      </w:r>
      <w:r>
        <w:t xml:space="preserve"> </w:t>
      </w:r>
      <w:r>
        <w:t xml:space="preserve">by Token House delegation amplification (3.7x).</w:t>
      </w:r>
    </w:p>
    <w:p>
      <w:pPr>
        <w:pStyle w:val="BodyText"/>
      </w:pPr>
      <w:r>
        <w:rPr>
          <w:b/>
          <w:bCs/>
        </w:rPr>
        <w:t xml:space="preserve">Ostrom Polycentricity (score: 3, Exemplary).</w:t>
      </w:r>
      <w:r>
        <w:t xml:space="preserve"> </w:t>
      </w:r>
      <w:r>
        <w:t xml:space="preserve">The bicameral</w:t>
      </w:r>
      <w:r>
        <w:t xml:space="preserve"> </w:t>
      </w:r>
      <w:r>
        <w:t xml:space="preserve">architecture (Token House plus Citizens’ House) plus the OP Working</w:t>
      </w:r>
      <w:r>
        <w:t xml:space="preserve"> </w:t>
      </w:r>
      <w:r>
        <w:t xml:space="preserve">Group ecosystem instantiates nested governance with local autonomy at</w:t>
      </w:r>
      <w:r>
        <w:t xml:space="preserve"> </w:t>
      </w:r>
      <w:r>
        <w:t xml:space="preserve">the Exemplary tier. Distinct decision-centers govern: protocol parameter</w:t>
      </w:r>
      <w:r>
        <w:t xml:space="preserve"> </w:t>
      </w:r>
      <w:r>
        <w:t xml:space="preserve">changes (Token House), economic-parameter veto (Citizens’ House),</w:t>
      </w:r>
      <w:r>
        <w:t xml:space="preserve"> </w:t>
      </w:r>
      <w:r>
        <w:t xml:space="preserve">public-goods funding (RetroPGF), and operational coordination across</w:t>
      </w:r>
      <w:r>
        <w:t xml:space="preserve"> </w:t>
      </w:r>
      <w:r>
        <w:t xml:space="preserve">the Superchain.</w:t>
      </w:r>
    </w:p>
    <w:p>
      <w:pPr>
        <w:pStyle w:val="BodyText"/>
      </w:pPr>
      <w:r>
        <w:rPr>
          <w:b/>
          <w:bCs/>
        </w:rPr>
        <w:t xml:space="preserve">Hayek Knowledge-use (score: 2, Partial).</w:t>
      </w:r>
      <w:r>
        <w:t xml:space="preserve"> </w:t>
      </w:r>
      <w:r>
        <w:t xml:space="preserve">Optimism does not employ</w:t>
      </w:r>
      <w:r>
        <w:t xml:space="preserve"> </w:t>
      </w:r>
      <w:r>
        <w:t xml:space="preserve">DePIN-style demand-coupled emission mechanisms; the OP token does not</w:t>
      </w:r>
      <w:r>
        <w:t xml:space="preserve"> </w:t>
      </w:r>
      <w:r>
        <w:t xml:space="preserve">have demand-coupled signal aggregation that directly maps to Hayek’s</w:t>
      </w:r>
      <w:r>
        <w:t xml:space="preserve"> </w:t>
      </w:r>
      <w:r>
        <w:t xml:space="preserve">knowledge-problem framing. However, sequencer-revenue split mechanisms</w:t>
      </w:r>
      <w:r>
        <w:t xml:space="preserve"> </w:t>
      </w:r>
      <w:r>
        <w:t xml:space="preserve">and Superchain governance signals provide automated price-signal-like</w:t>
      </w:r>
      <w:r>
        <w:t xml:space="preserve"> </w:t>
      </w:r>
      <w:r>
        <w:t xml:space="preserve">coordination. The criterion at the Partial tier (automated price</w:t>
      </w:r>
      <w:r>
        <w:t xml:space="preserve"> </w:t>
      </w:r>
      <w:r>
        <w:t xml:space="preserve">signals) is satisfied; the Exemplary tier (demand-coupled mechanisms</w:t>
      </w:r>
      <w:r>
        <w:t xml:space="preserve"> </w:t>
      </w:r>
      <w:r>
        <w:t xml:space="preserve">with edge feedback) is not because the OP token’s emission and value</w:t>
      </w:r>
      <w:r>
        <w:t xml:space="preserve"> </w:t>
      </w:r>
      <w:r>
        <w:t xml:space="preserve">capture do not directly track end-user demand signals.</w:t>
      </w:r>
    </w:p>
    <w:p>
      <w:pPr>
        <w:pStyle w:val="BodyText"/>
      </w:pPr>
      <w:r>
        <w:rPr>
          <w:b/>
          <w:bCs/>
        </w:rPr>
        <w:t xml:space="preserve">Synergy Index for Optimism: (3 + 3 + 3 + 3 + 2) / 5 = 2.8.</w:t>
      </w:r>
      <w:r>
        <w:t xml:space="preserve"> </w:t>
      </w:r>
      <w:r>
        <w:t xml:space="preserve">Among</w:t>
      </w:r>
      <w:r>
        <w:t xml:space="preserve"> </w:t>
      </w:r>
      <w:r>
        <w:t xml:space="preserve">the highest scores in the protocol sample. The framework correctly</w:t>
      </w:r>
      <w:r>
        <w:t xml:space="preserve"> </w:t>
      </w:r>
      <w:r>
        <w:t xml:space="preserve">identifies Optimism as a protocol with strong philosophical-design</w:t>
      </w:r>
      <w:r>
        <w:t xml:space="preserve"> </w:t>
      </w:r>
      <w:r>
        <w:t xml:space="preserve">investment across publicity, fairness, contestability, and</w:t>
      </w:r>
      <w:r>
        <w:t xml:space="preserve"> </w:t>
      </w:r>
      <w:r>
        <w:t xml:space="preserve">polycentricity dimensions, while flagging the knowledge-use dimension</w:t>
      </w:r>
      <w:r>
        <w:t xml:space="preserve"> </w:t>
      </w:r>
      <w:r>
        <w:t xml:space="preserve">as the weakest. The Synergy Index does not, however, capture the</w:t>
      </w:r>
      <w:r>
        <w:t xml:space="preserve"> </w:t>
      </w:r>
      <w:r>
        <w:t xml:space="preserve">voting-power-concentration gap documented in Table 7: Optimism’s</w:t>
      </w:r>
      <w:r>
        <w:t xml:space="preserve"> </w:t>
      </w:r>
      <w:r>
        <w:t xml:space="preserve">Token House delegation amplifies voting concentration 3.7x above the</w:t>
      </w:r>
      <w:r>
        <w:t xml:space="preserve"> </w:t>
      </w:r>
      <w:r>
        <w:t xml:space="preserve">post-exclusion holding HHI baseline, raising the cross-lens question</w:t>
      </w:r>
      <w:r>
        <w:t xml:space="preserve"> </w:t>
      </w:r>
      <w:r>
        <w:t xml:space="preserve">Section 4.1 surfaces about whether the institutional mechanisms scored</w:t>
      </w:r>
      <w:r>
        <w:t xml:space="preserve"> </w:t>
      </w:r>
      <w:r>
        <w:t xml:space="preserve">in Table 1 actually produce the goal-states the philosophical</w:t>
      </w:r>
      <w:r>
        <w:t xml:space="preserve"> </w:t>
      </w:r>
      <w:r>
        <w:t xml:space="preserve">traditions identify. The Citizens’ House provides a structural</w:t>
      </w:r>
      <w:r>
        <w:t xml:space="preserve"> </w:t>
      </w:r>
      <w:r>
        <w:t xml:space="preserve">accountability layer that operates outside the token-weighted HHI</w:t>
      </w:r>
      <w:r>
        <w:t xml:space="preserve"> </w:t>
      </w:r>
      <w:r>
        <w:t xml:space="preserve">measurement framework, partially addressing this gap; the empirical</w:t>
      </w:r>
      <w:r>
        <w:t xml:space="preserve"> </w:t>
      </w:r>
      <w:r>
        <w:t xml:space="preserve">measurement of whether Citizens’ House veto exercises constrain Token</w:t>
      </w:r>
      <w:r>
        <w:t xml:space="preserve"> </w:t>
      </w:r>
      <w:r>
        <w:t xml:space="preserve">House outcomes is future work (see Section 4.9).</w:t>
      </w:r>
    </w:p>
    <w:p>
      <w:pPr>
        <w:pStyle w:val="BodyText"/>
      </w:pPr>
      <w:r>
        <w:t xml:space="preserve">The Optimism case illustrates how the framework’s two-layer structure</w:t>
      </w:r>
      <w:r>
        <w:t xml:space="preserve"> </w:t>
      </w:r>
      <w:r>
        <w:t xml:space="preserve">operates in practice: Layer 2 scoring (operational mechanisms) reports</w:t>
      </w:r>
      <w:r>
        <w:t xml:space="preserve"> </w:t>
      </w:r>
      <w:r>
        <w:t xml:space="preserve">high marks across four lenses; Layer 1 philosophical goal-state</w:t>
      </w:r>
      <w:r>
        <w:t xml:space="preserve"> </w:t>
      </w:r>
      <w:r>
        <w:t xml:space="preserve">analysis (cross-lens implications of empirical concentration data)</w:t>
      </w:r>
      <w:r>
        <w:t xml:space="preserve"> </w:t>
      </w:r>
      <w:r>
        <w:t xml:space="preserve">surfaces residual concerns about practical efficacy. The framework is</w:t>
      </w:r>
      <w:r>
        <w:t xml:space="preserve"> </w:t>
      </w:r>
      <w:r>
        <w:t xml:space="preserve">designed to support both layers of analysis; the Synergy Index</w:t>
      </w:r>
      <w:r>
        <w:t xml:space="preserve"> </w:t>
      </w:r>
      <w:r>
        <w:t xml:space="preserve">captures Layer 2 (institutional design intent); Section 3.5 plus</w:t>
      </w:r>
      <w:r>
        <w:t xml:space="preserve"> </w:t>
      </w:r>
      <w:r>
        <w:t xml:space="preserve">Section 4.1 mapping captures Layer 1 (goal-state outcomes).</w:t>
      </w:r>
    </w:p>
    <w:bookmarkEnd w:id="78"/>
    <w:bookmarkStart w:id="79" w:name="generalizable-pca-exclusion-methodology"/>
    <w:p>
      <w:pPr>
        <w:pStyle w:val="Heading3"/>
      </w:pPr>
      <w:r>
        <w:t xml:space="preserve">2.10.10 Generalizable PCA Exclusion Methodology</w:t>
      </w:r>
    </w:p>
    <w:p>
      <w:pPr>
        <w:pStyle w:val="FirstParagraph"/>
      </w:pPr>
      <w:r>
        <w:t xml:space="preserve">The protocol-controlled-address (PCA) exclusion methodology applied</w:t>
      </w:r>
      <w:r>
        <w:t xml:space="preserve"> </w:t>
      </w:r>
      <w:r>
        <w:t xml:space="preserve">across Sections 3.2 through 3.5 generalizes beyond this paper’s</w:t>
      </w:r>
      <w:r>
        <w:t xml:space="preserve"> </w:t>
      </w:r>
      <w:r>
        <w:t xml:space="preserve">specific protocol set. Any cross-protocol governance HHI analysis on</w:t>
      </w:r>
      <w:r>
        <w:t xml:space="preserve"> </w:t>
      </w:r>
      <w:r>
        <w:t xml:space="preserve">ERC-20 or SPL token holders should apply the five PCA classes</w:t>
      </w:r>
      <w:r>
        <w:t xml:space="preserve"> </w:t>
      </w:r>
      <w:r>
        <w:t xml:space="preserve">documented below before computing concentration metrics. The</w:t>
      </w:r>
      <w:r>
        <w:t xml:space="preserve"> </w:t>
      </w:r>
      <w:r>
        <w:t xml:space="preserve">methodology contribution is not just the specific exclusions applied</w:t>
      </w:r>
      <w:r>
        <w:t xml:space="preserve"> </w:t>
      </w:r>
      <w:r>
        <w:t xml:space="preserve">to this paper’s 40-protocol sample (Supplementary File S6 contains</w:t>
      </w:r>
      <w:r>
        <w:t xml:space="preserve"> </w:t>
      </w:r>
      <w:r>
        <w:t xml:space="preserve">the address-by-address documentation), but the generalizable typology</w:t>
      </w:r>
      <w:r>
        <w:t xml:space="preserve"> </w:t>
      </w:r>
      <w:r>
        <w:t xml:space="preserve">that future replication and extension work can apply uniformly.</w:t>
      </w:r>
    </w:p>
    <w:p>
      <w:pPr>
        <w:pStyle w:val="BodyText"/>
      </w:pPr>
      <w:r>
        <w:rPr>
          <w:b/>
          <w:bCs/>
        </w:rPr>
        <w:t xml:space="preserve">Class 1: Burn-destination addresses.</w:t>
      </w:r>
      <w:r>
        <w:t xml:space="preserve"> </w:t>
      </w:r>
      <w:r>
        <w:t xml:space="preserve">Canonical burn addresses</w:t>
      </w:r>
      <w:r>
        <w:t xml:space="preserve"> </w:t>
      </w:r>
      <w:r>
        <w:t xml:space="preserve">(0x000…000 and 0x000…000dead on EVM chains; chain-specific</w:t>
      </w:r>
      <w:r>
        <w:t xml:space="preserve"> </w:t>
      </w:r>
      <w:r>
        <w:t xml:space="preserve">patterns; protocol-specific burn destinations confirmed via official</w:t>
      </w:r>
      <w:r>
        <w:t xml:space="preserve"> </w:t>
      </w:r>
      <w:r>
        <w:t xml:space="preserve">documentation, Blockscout/Etherscan labels, or Alchemy/Arkham labels)</w:t>
      </w:r>
      <w:r>
        <w:t xml:space="preserve"> </w:t>
      </w:r>
      <w:r>
        <w:t xml:space="preserve">should be excluded from governance HHI computation. These addresses</w:t>
      </w:r>
      <w:r>
        <w:t xml:space="preserve"> </w:t>
      </w:r>
      <w:r>
        <w:t xml:space="preserve">hold tokens that are inert by construction and cannot participate in</w:t>
      </w:r>
      <w:r>
        <w:t xml:space="preserve"> </w:t>
      </w:r>
      <w:r>
        <w:t xml:space="preserve">governance under any condition; including them in the holding</w:t>
      </w:r>
      <w:r>
        <w:t xml:space="preserve"> </w:t>
      </w:r>
      <w:r>
        <w:t xml:space="preserve">distribution inflates the holding denominator and understates effective</w:t>
      </w:r>
      <w:r>
        <w:t xml:space="preserve"> </w:t>
      </w:r>
      <w:r>
        <w:t xml:space="preserve">concentration. The Uniswap 0x000…000dead exclusion (102.46M UNI, 11.27</w:t>
      </w:r>
      <w:r>
        <w:t xml:space="preserve"> </w:t>
      </w:r>
      <w:r>
        <w:t xml:space="preserve">percent of supply at measurement) is the canonical case in this paper;</w:t>
      </w:r>
      <w:r>
        <w:t xml:space="preserve"> </w:t>
      </w:r>
      <w:r>
        <w:t xml:space="preserve">the Hyperliquid burn-pattern addresses (0x222…222 and 0xfefe…fefe)</w:t>
      </w:r>
      <w:r>
        <w:t xml:space="preserve"> </w:t>
      </w:r>
      <w:r>
        <w:t xml:space="preserve">were caught by an earlier confirmed-pattern methodology. The universal</w:t>
      </w:r>
      <w:r>
        <w:t xml:space="preserve"> </w:t>
      </w:r>
      <w:r>
        <w:t xml:space="preserve">burn-rule applied here is generalizable to any ERC-20 or SPL token</w:t>
      </w:r>
      <w:r>
        <w:t xml:space="preserve"> </w:t>
      </w:r>
      <w:r>
        <w:t xml:space="preserve">governance analysis.</w:t>
      </w:r>
    </w:p>
    <w:p>
      <w:pPr>
        <w:pStyle w:val="BodyText"/>
      </w:pPr>
      <w:r>
        <w:rPr>
          <w:b/>
          <w:bCs/>
        </w:rPr>
        <w:t xml:space="preserve">Class 2: Foundation and treasury custody.</w:t>
      </w:r>
      <w:r>
        <w:t xml:space="preserve"> </w:t>
      </w:r>
      <w:r>
        <w:t xml:space="preserve">Protocol-controlled</w:t>
      </w:r>
      <w:r>
        <w:t xml:space="preserve"> </w:t>
      </w:r>
      <w:r>
        <w:t xml:space="preserve">foundation and treasury custody addresses should be excluded. These</w:t>
      </w:r>
      <w:r>
        <w:t xml:space="preserve"> </w:t>
      </w:r>
      <w:r>
        <w:t xml:space="preserve">addresses hold tokens that are governance-relevant in principle (the</w:t>
      </w:r>
      <w:r>
        <w:t xml:space="preserve"> </w:t>
      </w:r>
      <w:r>
        <w:t xml:space="preserve">foundation may delegate or vote with them) but are structurally</w:t>
      </w:r>
      <w:r>
        <w:t xml:space="preserve"> </w:t>
      </w:r>
      <w:r>
        <w:t xml:space="preserve">distinct from independent holder concentration: the foundation</w:t>
      </w:r>
      <w:r>
        <w:t xml:space="preserve"> </w:t>
      </w:r>
      <w:r>
        <w:t xml:space="preserve">position represents institutional rather than community ownership.</w:t>
      </w:r>
      <w:r>
        <w:t xml:space="preserve"> </w:t>
      </w:r>
      <w:r>
        <w:t xml:space="preserve">Specific cases in this paper: Optimism Foundation GnosisSafe</w:t>
      </w:r>
      <w:r>
        <w:t xml:space="preserve"> </w:t>
      </w:r>
      <w:r>
        <w:t xml:space="preserve">(0x2a82ae142…; 32 percent of pre-exclusion top-1000 OP); Arbitrum</w:t>
      </w:r>
      <w:r>
        <w:t xml:space="preserve"> </w:t>
      </w:r>
      <w:r>
        <w:t xml:space="preserve">FixedDelegateErc20Wallet (0xf3fc178157…; 30 percent of pre-exclusion</w:t>
      </w:r>
      <w:r>
        <w:t xml:space="preserve"> </w:t>
      </w:r>
      <w:r>
        <w:t xml:space="preserve">top-1000 ARB); WeatherXM treasury (74.8 percent of pre-exclusion</w:t>
      </w:r>
      <w:r>
        <w:t xml:space="preserve"> </w:t>
      </w:r>
      <w:r>
        <w:t xml:space="preserve">top-1000 WXM); DIMO Foundation (52.3 percent of pre-exclusion top-1000</w:t>
      </w:r>
      <w:r>
        <w:t xml:space="preserve"> </w:t>
      </w:r>
      <w:r>
        <w:t xml:space="preserve">DIMO). The methodology requires per-protocol identification typically</w:t>
      </w:r>
      <w:r>
        <w:t xml:space="preserve"> </w:t>
      </w:r>
      <w:r>
        <w:t xml:space="preserve">via Blockscout verified-contract labels, GnosisSafeProxyFactory creation</w:t>
      </w:r>
      <w:r>
        <w:t xml:space="preserve"> </w:t>
      </w:r>
      <w:r>
        <w:t xml:space="preserve">records, or foundation disclosures.</w:t>
      </w:r>
    </w:p>
    <w:p>
      <w:pPr>
        <w:pStyle w:val="BodyText"/>
      </w:pPr>
      <w:r>
        <w:rPr>
          <w:b/>
          <w:bCs/>
        </w:rPr>
        <w:t xml:space="preserve">Class 3: Staking-aggregation contracts.</w:t>
      </w:r>
      <w:r>
        <w:t xml:space="preserve"> </w:t>
      </w:r>
      <w:r>
        <w:t xml:space="preserve">Staking contracts that</w:t>
      </w:r>
      <w:r>
        <w:t xml:space="preserve"> </w:t>
      </w:r>
      <w:r>
        <w:t xml:space="preserve">aggregate underlying staker holdings into a single custody address</w:t>
      </w:r>
      <w:r>
        <w:t xml:space="preserve"> </w:t>
      </w:r>
      <w:r>
        <w:t xml:space="preserve">should be excluded from holding HHI computation, with the caveat that</w:t>
      </w:r>
      <w:r>
        <w:t xml:space="preserve"> </w:t>
      </w:r>
      <w:r>
        <w:t xml:space="preserve">underlying stakers retain pass-through voting power. The stkAAVE</w:t>
      </w:r>
      <w:r>
        <w:t xml:space="preserve"> </w:t>
      </w:r>
      <w:r>
        <w:t xml:space="preserve">staking contract (0x4da27a545c0c…; 21.9 percent of post-PCA-exclusion</w:t>
      </w:r>
      <w:r>
        <w:t xml:space="preserve"> </w:t>
      </w:r>
      <w:r>
        <w:t xml:space="preserve">top-1000 AAVE) is the canonical case; AAVE stakers vote through</w:t>
      </w:r>
      <w:r>
        <w:t xml:space="preserve"> </w:t>
      </w:r>
      <w:r>
        <w:t xml:space="preserve">stkAAVE rather than the contract itself making governance decisions.</w:t>
      </w:r>
      <w:r>
        <w:t xml:space="preserve"> </w:t>
      </w:r>
      <w:r>
        <w:t xml:space="preserve">The sGMX RewardTracker plays an analogous role for GMX. The exclusion</w:t>
      </w:r>
      <w:r>
        <w:t xml:space="preserve"> </w:t>
      </w:r>
      <w:r>
        <w:t xml:space="preserve">is methodologically warranted at the holding-HHI computation step</w:t>
      </w:r>
      <w:r>
        <w:t xml:space="preserve"> </w:t>
      </w:r>
      <w:r>
        <w:t xml:space="preserve">because the contract is not an independent governance participant;</w:t>
      </w:r>
      <w:r>
        <w:t xml:space="preserve"> </w:t>
      </w:r>
      <w:r>
        <w:t xml:space="preserve">the exclusion at the voting-HHI computation step (Section 3.7</w:t>
      </w:r>
      <w:r>
        <w:t xml:space="preserve"> </w:t>
      </w:r>
      <w:r>
        <w:t xml:space="preserve">PCA-symmetric robustness check) is methodologically distinct: stkAAVE</w:t>
      </w:r>
      <w:r>
        <w:t xml:space="preserve"> </w:t>
      </w:r>
      <w:r>
        <w:t xml:space="preserve">votes as a single delegate per Tally’s data model, even though the</w:t>
      </w:r>
      <w:r>
        <w:t xml:space="preserve"> </w:t>
      </w:r>
      <w:r>
        <w:t xml:space="preserve">underlying voters are dispersed. The paper treats the holding-side</w:t>
      </w:r>
      <w:r>
        <w:t xml:space="preserve"> </w:t>
      </w:r>
      <w:r>
        <w:t xml:space="preserve">exclusion as canonical and reports the voting-side exclusion as a</w:t>
      </w:r>
      <w:r>
        <w:t xml:space="preserve"> </w:t>
      </w:r>
      <w:r>
        <w:t xml:space="preserve">sensitivity check.</w:t>
      </w:r>
    </w:p>
    <w:p>
      <w:pPr>
        <w:pStyle w:val="BodyText"/>
      </w:pPr>
      <w:r>
        <w:rPr>
          <w:b/>
          <w:bCs/>
        </w:rPr>
        <w:t xml:space="preserve">Class 4: Bridge custody and migration addresses.</w:t>
      </w:r>
      <w:r>
        <w:t xml:space="preserve"> </w:t>
      </w:r>
      <w:r>
        <w:t xml:space="preserve">Bridge custody</w:t>
      </w:r>
      <w:r>
        <w:t xml:space="preserve"> </w:t>
      </w:r>
      <w:r>
        <w:t xml:space="preserve">addresses (Wormhole token bridge for cross-chain wrapped tokens; the</w:t>
      </w:r>
      <w:r>
        <w:t xml:space="preserve"> </w:t>
      </w:r>
      <w:r>
        <w:t xml:space="preserve">GRT BridgeEscrow for L1-to-Arbitrum custody; LayerZero canonical</w:t>
      </w:r>
      <w:r>
        <w:t xml:space="preserve"> </w:t>
      </w:r>
      <w:r>
        <w:t xml:space="preserve">bridges) hold tokens in transit or as cross-chain accounting positions;</w:t>
      </w:r>
      <w:r>
        <w:t xml:space="preserve"> </w:t>
      </w:r>
      <w:r>
        <w:t xml:space="preserve">these are not governance-participating holders. Migration contracts</w:t>
      </w:r>
      <w:r>
        <w:t xml:space="preserve"> </w:t>
      </w:r>
      <w:r>
        <w:t xml:space="preserve">(the SYRUP Migrator for MPL-to-SYRUP migration; the Polygon</w:t>
      </w:r>
      <w:r>
        <w:t xml:space="preserve"> </w:t>
      </w:r>
      <w:r>
        <w:t xml:space="preserve">StakeManagerProxy for MATIC-to-POL transition) hold tokens during</w:t>
      </w:r>
      <w:r>
        <w:t xml:space="preserve"> </w:t>
      </w:r>
      <w:r>
        <w:t xml:space="preserve">migration windows and should be excluded.</w:t>
      </w:r>
    </w:p>
    <w:p>
      <w:pPr>
        <w:pStyle w:val="BodyText"/>
      </w:pPr>
      <w:r>
        <w:rPr>
          <w:b/>
          <w:bCs/>
        </w:rPr>
        <w:t xml:space="preserve">Class 5: Centralized exchange custody.</w:t>
      </w:r>
      <w:r>
        <w:t xml:space="preserve"> </w:t>
      </w:r>
      <w:r>
        <w:t xml:space="preserve">Centralized exchange (CEX)</w:t>
      </w:r>
      <w:r>
        <w:t xml:space="preserve"> </w:t>
      </w:r>
      <w:r>
        <w:t xml:space="preserve">hot and cold wallets that custody customer deposits should be</w:t>
      </w:r>
      <w:r>
        <w:t xml:space="preserve"> </w:t>
      </w:r>
      <w:r>
        <w:t xml:space="preserve">excluded from governance HHI computation. Customer-deposited tokens</w:t>
      </w:r>
      <w:r>
        <w:t xml:space="preserve"> </w:t>
      </w:r>
      <w:r>
        <w:t xml:space="preserve">held in CEX custody are not governance-participating holdings: the</w:t>
      </w:r>
      <w:r>
        <w:t xml:space="preserve"> </w:t>
      </w:r>
      <w:r>
        <w:t xml:space="preserve">exchange holds custody of tokens belonging to many individual</w:t>
      </w:r>
      <w:r>
        <w:t xml:space="preserve"> </w:t>
      </w:r>
      <w:r>
        <w:t xml:space="preserve">customers, and exchange operational practice is to abstain from</w:t>
      </w:r>
      <w:r>
        <w:t xml:space="preserve"> </w:t>
      </w:r>
      <w:r>
        <w:t xml:space="preserve">governance voting on customer-held tokens. Specific cases in this</w:t>
      </w:r>
      <w:r>
        <w:t xml:space="preserve"> </w:t>
      </w:r>
      <w:r>
        <w:t xml:space="preserve">paper: Binance hot wallets across OP, ENS, GRT, AAVE, COMP, UNI,</w:t>
      </w:r>
      <w:r>
        <w:t xml:space="preserve"> </w:t>
      </w:r>
      <w:r>
        <w:t xml:space="preserve">ARB, and other protocols (the canonical Binance address</w:t>
      </w:r>
      <w:r>
        <w:t xml:space="preserve"> </w:t>
      </w:r>
      <w:r>
        <w:t xml:space="preserve">0xf977…41acec is the most common case); Bithumb 162</w:t>
      </w:r>
      <w:r>
        <w:t xml:space="preserve"> </w:t>
      </w:r>
      <w:r>
        <w:t xml:space="preserve">(0x54d1…22cbf9) and Upbit 59 (0x377b…190873) on AXL; analogous</w:t>
      </w:r>
      <w:r>
        <w:t xml:space="preserve"> </w:t>
      </w:r>
      <w:r>
        <w:t xml:space="preserve">patterns on other protocols. CEX address identification relies on</w:t>
      </w:r>
      <w:r>
        <w:t xml:space="preserve"> </w:t>
      </w:r>
      <w:r>
        <w:t xml:space="preserve">public name tags (Etherscan, Arkham, hildobby compilations) and</w:t>
      </w:r>
      <w:r>
        <w:t xml:space="preserve"> </w:t>
      </w:r>
      <w:r>
        <w:t xml:space="preserve">behavioral signals (high transfer volume, many counterparties, no</w:t>
      </w:r>
      <w:r>
        <w:t xml:space="preserve"> </w:t>
      </w:r>
      <w:r>
        <w:t xml:space="preserve">governance participation history).</w:t>
      </w:r>
    </w:p>
    <w:p>
      <w:pPr>
        <w:pStyle w:val="BodyText"/>
      </w:pPr>
      <w:r>
        <w:t xml:space="preserve">Across the five classes, this paper excludes 126 PCA addresses across</w:t>
      </w:r>
      <w:r>
        <w:t xml:space="preserve"> </w:t>
      </w:r>
      <w:r>
        <w:t xml:space="preserve">22 protocols (Supplementary File S6 and the supplementary</w:t>
      </w:r>
      <w:r>
        <w:t xml:space="preserve"> </w:t>
      </w:r>
      <w:r>
        <w:rPr>
          <w:rStyle w:val="VerbatimChar"/>
        </w:rPr>
        <w:t xml:space="preserve">data/processed/exclusions_log.csv</w:t>
      </w:r>
      <w:r>
        <w:t xml:space="preserve">). The generalizable methodological</w:t>
      </w:r>
      <w:r>
        <w:t xml:space="preserve"> </w:t>
      </w:r>
      <w:r>
        <w:t xml:space="preserve">contribution: any future cross-protocol governance HHI analysis should</w:t>
      </w:r>
      <w:r>
        <w:t xml:space="preserve"> </w:t>
      </w:r>
      <w:r>
        <w:t xml:space="preserve">apply the five-class PCA exclusion uniformly before reporting holding</w:t>
      </w:r>
      <w:r>
        <w:t xml:space="preserve"> </w:t>
      </w:r>
      <w:r>
        <w:t xml:space="preserve">concentration metrics. The specific addresses depend on the protocol</w:t>
      </w:r>
      <w:r>
        <w:t xml:space="preserve"> </w:t>
      </w:r>
      <w:r>
        <w:t xml:space="preserve">sample; the methodology is sample-independent.</w:t>
      </w:r>
    </w:p>
    <w:bookmarkEnd w:id="79"/>
    <w:bookmarkEnd w:id="80"/>
    <w:bookmarkEnd w:id="81"/>
    <w:bookmarkStart w:id="108" w:name="results"/>
    <w:p>
      <w:pPr>
        <w:pStyle w:val="Heading1"/>
      </w:pPr>
      <w:r>
        <w:t xml:space="preserve">3 Results</w:t>
      </w:r>
    </w:p>
    <w:bookmarkStart w:id="82" w:name="scope-and-claims-boundary"/>
    <w:p>
      <w:pPr>
        <w:pStyle w:val="Heading2"/>
      </w:pPr>
      <w:r>
        <w:t xml:space="preserve">3.1 Scope and Claims Boundary</w:t>
      </w:r>
    </w:p>
    <w:p>
      <w:pPr>
        <w:pStyle w:val="FirstParagraph"/>
      </w:pPr>
      <w:r>
        <w:t xml:space="preserve">The cross-section covers 40 protocols across four sectors (DePIN, DeFi,</w:t>
      </w:r>
      <w:r>
        <w:t xml:space="preserve"> </w:t>
      </w:r>
      <w:r>
        <w:t xml:space="preserve">infrastructure, social). Table 3 delimits the claims boundary: all</w:t>
      </w:r>
      <w:r>
        <w:t xml:space="preserve"> </w:t>
      </w:r>
      <w:r>
        <w:t xml:space="preserve">findings are descriptive within the observed scope. All claims are</w:t>
      </w:r>
      <w:r>
        <w:t xml:space="preserve"> </w:t>
      </w:r>
      <w:r>
        <w:t xml:space="preserve">descriptive within the observed scope. The governance data represent a</w:t>
      </w:r>
      <w:r>
        <w:t xml:space="preserve"> </w:t>
      </w:r>
      <w:r>
        <w:t xml:space="preserve">March 2026 snapshot, not a time series. Causal claims about the</w:t>
      </w:r>
      <w:r>
        <w:t xml:space="preserve"> </w:t>
      </w:r>
      <w:r>
        <w:t xml:space="preserve">relationship between institutional design and governance outcomes</w:t>
      </w:r>
      <w:r>
        <w:t xml:space="preserve"> </w:t>
      </w:r>
      <w:r>
        <w:t xml:space="preserve">require the longitudinal evidence beyond the scope of this paper. All</w:t>
      </w:r>
      <w:r>
        <w:t xml:space="preserve"> </w:t>
      </w:r>
      <w:r>
        <w:t xml:space="preserve">governance token distributions were queried from Dune Analytics</w:t>
      </w:r>
      <w:r>
        <w:t xml:space="preserve"> </w:t>
      </w:r>
      <w:r>
        <w:t xml:space="preserve">multi-chain queries. Concentration metrics are point-in-time snapshots;</w:t>
      </w:r>
      <w:r>
        <w:t xml:space="preserve"> </w:t>
      </w:r>
      <w:r>
        <w:t xml:space="preserve">trajectory analysis requires the longitudinal extension specified in the</w:t>
      </w:r>
      <w:r>
        <w:t xml:space="preserve"> </w:t>
      </w:r>
      <w:r>
        <w:t xml:space="preserve">Future Research discussion (Section 2.10).</w:t>
      </w:r>
    </w:p>
    <w:tbl>
      <w:tblPr>
        <w:tblStyle w:val="Table"/>
        <w:tblW w:type="pct" w:w="4953"/>
        <w:tblLayout w:type="fixed"/>
        <w:tblLook w:firstRow="1" w:lastRow="0" w:firstColumn="0" w:lastColumn="0" w:noHBand="0" w:noVBand="0" w:val="0020"/>
      </w:tblPr>
      <w:tblGrid>
        <w:gridCol w:w="900"/>
        <w:gridCol w:w="900"/>
        <w:gridCol w:w="6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  <w:r>
              <w:t xml:space="preserve"> </w:t>
            </w:r>
            <w:r>
              <w:t xml:space="preserve">concentration is</w:t>
            </w:r>
            <w:r>
              <w:t xml:space="preserve"> </w:t>
            </w:r>
            <w:r>
              <w:t xml:space="preserve">descriptively higher in</w:t>
            </w:r>
            <w:r>
              <w:t xml:space="preserve"> </w:t>
            </w:r>
            <w:r>
              <w:t xml:space="preserve">DePIN than 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scoring rubric</w:t>
            </w:r>
            <w:r>
              <w:t xml:space="preserve"> </w:t>
            </w:r>
            <w:r>
              <w:t xml:space="preserve">translates philosophy</w:t>
            </w:r>
            <w:r>
              <w:t xml:space="preserve"> </w:t>
            </w:r>
            <w:r>
              <w:t xml:space="preserve">into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 +</w:t>
            </w:r>
            <w:r>
              <w:t xml:space="preserve"> </w:t>
            </w:r>
            <w:hyperlink r:id="rId69">
              <w:r>
                <w:rPr>
                  <w:rStyle w:val="Hyperlink"/>
                  <w:u w:val="single"/>
                </w:rPr>
                <w:t xml:space="preserve">Supplementary File</w:t>
              </w:r>
              <w:r>
                <w:rPr>
                  <w:rStyle w:val="Hyperlink"/>
                  <w:u w:val="single"/>
                </w:rPr>
                <w:t xml:space="preserve"> </w:t>
              </w:r>
              <w:r>
                <w:rPr>
                  <w:rStyle w:val="Hyperlink"/>
                  <w:u w:val="single"/>
                </w:rPr>
                <w:t xml:space="preserve">S1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 core design</w:t>
            </w:r>
            <w:r>
              <w:t xml:space="preserve"> </w:t>
            </w:r>
            <w:r>
              <w:t xml:space="preserve">hypotheses follow from</w:t>
            </w:r>
            <w:r>
              <w:t xml:space="preserve"> </w:t>
            </w:r>
            <w:r>
              <w:t xml:space="preserve">the normative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Table 3.</w:t>
      </w:r>
      <w:r>
        <w:rPr>
          <w:i/>
          <w:iCs/>
        </w:rPr>
        <w:t xml:space="preserve"> </w:t>
      </w:r>
      <w:r>
        <w:rPr>
          <w:i/>
          <w:iCs/>
        </w:rPr>
        <w:t xml:space="preserve">Claims boundary: what this paper does and does not claim.</w:t>
      </w:r>
    </w:p>
    <w:bookmarkEnd w:id="82"/>
    <w:bookmarkStart w:id="83" w:name="cross-protocol-concentration"/>
    <w:p>
      <w:pPr>
        <w:pStyle w:val="Heading2"/>
      </w:pPr>
      <w:r>
        <w:t xml:space="preserve">3.2 Cross-Protocol Concentration</w:t>
      </w:r>
    </w:p>
    <w:p>
      <w:pPr>
        <w:pStyle w:val="FirstParagraph"/>
      </w:pPr>
      <w:r>
        <w:t xml:space="preserve">A measurement caveat: the 0.25 HHI antitrust threshold is borrowed from</w:t>
      </w:r>
      <w:r>
        <w:t xml:space="preserve"> </w:t>
      </w:r>
      <w:r>
        <w:t xml:space="preserve">market-concentration analysis (DOJ Horizontal Merger Guidelines) and is</w:t>
      </w:r>
      <w:r>
        <w:t xml:space="preserve"> </w:t>
      </w:r>
      <w:r>
        <w:t xml:space="preserve">reported here as a benchmark for descriptive interpretation only. A</w:t>
      </w:r>
      <w:r>
        <w:t xml:space="preserve"> </w:t>
      </w:r>
      <w:r>
        <w:t xml:space="preserve">market-concentration threshold is not equivalent to a</w:t>
      </w:r>
      <w:r>
        <w:t xml:space="preserve"> </w:t>
      </w:r>
      <w:r>
        <w:t xml:space="preserve">democratic-legitimacy threshold; a protocol may have HHI below 0.25</w:t>
      </w:r>
      <w:r>
        <w:t xml:space="preserve"> </w:t>
      </w:r>
      <w:r>
        <w:t xml:space="preserve">while remaining politically dominated through quorum rules, delegation</w:t>
      </w:r>
      <w:r>
        <w:t xml:space="preserve"> </w:t>
      </w:r>
      <w:r>
        <w:t xml:space="preserve">patterns, or proposal-rights concentration. The HHI captures one</w:t>
      </w:r>
      <w:r>
        <w:t xml:space="preserve"> </w:t>
      </w:r>
      <w:r>
        <w:t xml:space="preserve">dimension of concentration (post-exclusion holding distribution) and is</w:t>
      </w:r>
      <w:r>
        <w:t xml:space="preserve"> </w:t>
      </w:r>
      <w:r>
        <w:t xml:space="preserve">not a sufficient condition for distributed governance.</w:t>
      </w:r>
    </w:p>
    <w:p>
      <w:pPr>
        <w:pStyle w:val="BodyText"/>
      </w:pPr>
      <w:r>
        <w:t xml:space="preserve">Governance concentration spans two orders of magnitude across the</w:t>
      </w:r>
      <w:r>
        <w:t xml:space="preserve"> </w:t>
      </w:r>
      <w:r>
        <w:t xml:space="preserve">40-protocol sample (Table 4): HHI ranges from 0.005 (Hyperliquid) to</w:t>
      </w:r>
      <w:r>
        <w:t xml:space="preserve"> </w:t>
      </w:r>
      <w:r>
        <w:t xml:space="preserve">0.199 (Livepeer), with a median near 0.04. DePIN protocols cluster in</w:t>
      </w:r>
      <w:r>
        <w:t xml:space="preserve"> </w:t>
      </w:r>
      <w:r>
        <w:t xml:space="preserve">the upper half of this distribution. Livepeer is the clearest structural</w:t>
      </w:r>
      <w:r>
        <w:t xml:space="preserve"> </w:t>
      </w:r>
      <w:r>
        <w:t xml:space="preserve">outlier; excluding it leaves a distribution in which DePIN still</w:t>
      </w:r>
      <w:r>
        <w:t xml:space="preserve"> </w:t>
      </w:r>
      <w:r>
        <w:t xml:space="preserve">exhibits higher concentration than DeFi but without a dominant leverage</w:t>
      </w:r>
      <w:r>
        <w:t xml:space="preserve"> </w:t>
      </w:r>
      <w:r>
        <w:t xml:space="preserve">point.</w:t>
      </w:r>
    </w:p>
    <w:p>
      <w:pPr>
        <w:pStyle w:val="BodyText"/>
      </w:pPr>
      <w:r>
        <w:t xml:space="preserve">Concentration metrics are computed from Dune Analytics multi-chain</w:t>
      </w:r>
      <w:r>
        <w:t xml:space="preserve"> </w:t>
      </w:r>
      <w:r>
        <w:t xml:space="preserve">queries and the Helius DAS API for Solana SPL tokens (March 2026</w:t>
      </w:r>
      <w:r>
        <w:t xml:space="preserve"> </w:t>
      </w:r>
      <w:r>
        <w:t xml:space="preserve">snapshot, top-1000 holders per protocol), after excluding 75</w:t>
      </w:r>
      <w:r>
        <w:t xml:space="preserve"> </w:t>
      </w:r>
      <w:r>
        <w:t xml:space="preserve">protocol-controlled addresses across 38 protocols (staking contracts,</w:t>
      </w:r>
      <w:r>
        <w:t xml:space="preserve"> </w:t>
      </w:r>
      <w:r>
        <w:t xml:space="preserve">exchange custodians, vesting locks, protocol treasuries; see</w:t>
      </w:r>
      <w:r>
        <w:t xml:space="preserve"> </w:t>
      </w:r>
      <w:hyperlink r:id="rId63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S6</w:t>
        </w:r>
      </w:hyperlink>
      <w:r>
        <w:t xml:space="preserve">).</w:t>
      </w:r>
      <w:r>
        <w:t xml:space="preserve"> </w:t>
      </w:r>
      <w:r>
        <w:t xml:space="preserve">Solana-native tokens use getTokenAccounts with page-based pagination to</w:t>
      </w:r>
      <w:r>
        <w:t xml:space="preserve"> </w:t>
      </w:r>
      <w:r>
        <w:t xml:space="preserve">correct systematic undercounting in Dune’s indexed tables. Replication</w:t>
      </w:r>
      <w:r>
        <w:t xml:space="preserve"> </w:t>
      </w:r>
      <w:r>
        <w:t xml:space="preserve">scripts and input CSVs are listed in Supplementary File S5.</w:t>
      </w:r>
    </w:p>
    <w:p>
      <w:pPr>
        <w:pStyle w:val="BodyText"/>
      </w:pPr>
      <w:r>
        <w:t xml:space="preserve">Three additional DePIN protocols were added to improve statistical power</w:t>
      </w:r>
      <w:r>
        <w:t xml:space="preserve"> </w:t>
      </w:r>
      <w:r>
        <w:t xml:space="preserve">for the subsidy analysis: Aethir (ATH, Ethereum, GPU compute, $156M</w:t>
      </w:r>
      <w:r>
        <w:t xml:space="preserve"> </w:t>
      </w:r>
      <w:r>
        <w:t xml:space="preserve">annualized revenue (Token Terminal, April 2026)), Hivemapper (HONEY,</w:t>
      </w:r>
      <w:r>
        <w:t xml:space="preserve"> </w:t>
      </w:r>
      <w:r>
        <w:t xml:space="preserve">Solana, mapping), and io.net (IO, Solana, GPU compute, $21M revenue).</w:t>
      </w:r>
      <w:r>
        <w:t xml:space="preserve"> </w:t>
      </w:r>
      <w:r>
        <w:t xml:space="preserve">Governance concentration was computed using the same methodology (Dune</w:t>
      </w:r>
      <w:r>
        <w:t xml:space="preserve"> </w:t>
      </w:r>
      <w:r>
        <w:t xml:space="preserve">for ERC-20 tokens, Helius for Solana SPL tokens, top-1000 holders,</w:t>
      </w:r>
      <w:r>
        <w:t xml:space="preserve"> </w:t>
      </w:r>
      <w:r>
        <w:t xml:space="preserve">exchange-labeled and protocol-controlled addresses excluded).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232"/>
        <w:gridCol w:w="792"/>
        <w:gridCol w:w="704"/>
        <w:gridCol w:w="792"/>
        <w:gridCol w:w="880"/>
        <w:gridCol w:w="1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Hivemapper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Morpheus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9.9%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5.9%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Anyone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WeatherXM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WXM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Pokt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Maple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MPL_SYRUP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Rocket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MakerDAO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MetaDAO 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Ether.Fi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Wormhole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  <w:r>
              <w:t xml:space="preserve"> </w:t>
            </w:r>
            <w:r>
              <w:t xml:space="preserve">Engineering</w:t>
            </w:r>
            <w:r>
              <w:t xml:space="preserve"> </w:t>
            </w:r>
            <w:r>
              <w:t xml:space="preserve">Commons 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Gitcoin 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Table 4.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concentration cross-section (March 2026</w:t>
      </w:r>
      <w:r>
        <w:rPr>
          <w:i/>
          <w:iCs/>
        </w:rPr>
        <w:t xml:space="preserve"> </w:t>
      </w:r>
      <w:r>
        <w:rPr>
          <w:i/>
          <w:iCs/>
        </w:rPr>
        <w:t xml:space="preserve">snapshot, Dune Analytics + Helius DAS API, top-1,000 holders per token,</w:t>
      </w:r>
      <w:r>
        <w:rPr>
          <w:i/>
          <w:iCs/>
        </w:rPr>
        <w:t xml:space="preserve"> </w:t>
      </w:r>
      <w:r>
        <w:rPr>
          <w:i/>
          <w:iCs/>
        </w:rPr>
        <w:t xml:space="preserve">86 protocol-controlled addresses excluded across 38 protocols). Sorted</w:t>
      </w:r>
      <w:r>
        <w:rPr>
          <w:i/>
          <w:iCs/>
        </w:rPr>
        <w:t xml:space="preserve"> </w:t>
      </w:r>
      <w:r>
        <w:rPr>
          <w:i/>
          <w:iCs/>
        </w:rPr>
        <w:t xml:space="preserve">by category then HHI ascending. Balancer and Curve use vote-escrowed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mechanisms (veBAL, veCRV). Reported HHI values measure raw</w:t>
      </w:r>
      <w:r>
        <w:rPr>
          <w:i/>
          <w:iCs/>
        </w:rPr>
        <w:t xml:space="preserve"> </w:t>
      </w:r>
      <w:r>
        <w:rPr>
          <w:i/>
          <w:iCs/>
        </w:rPr>
        <w:t xml:space="preserve">token holding concentration, not voting power. Vote-escrowed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concentration is expected to be higher due to lock-duration multipliers,</w:t>
      </w:r>
      <w:r>
        <w:rPr>
          <w:i/>
          <w:iCs/>
        </w:rPr>
        <w:t xml:space="preserve"> </w:t>
      </w:r>
      <w:r>
        <w:rPr>
          <w:i/>
          <w:iCs/>
        </w:rPr>
        <w:t xml:space="preserve">analogous to the stkAAVE caveat noted above. Hyperliquid is included in</w:t>
      </w:r>
      <w:r>
        <w:rPr>
          <w:i/>
          <w:iCs/>
        </w:rPr>
        <w:t xml:space="preserve"> </w:t>
      </w:r>
      <w:r>
        <w:rPr>
          <w:i/>
          <w:iCs/>
        </w:rPr>
        <w:t xml:space="preserve">Table 4 but excluded from the subsidy regression because the protocol</w:t>
      </w:r>
      <w:r>
        <w:rPr>
          <w:i/>
          <w:iCs/>
        </w:rPr>
        <w:t xml:space="preserve"> </w:t>
      </w:r>
      <w:r>
        <w:rPr>
          <w:i/>
          <w:iCs/>
        </w:rPr>
        <w:t xml:space="preserve">has no token emissions; 97% of trading fees are routed to an Assistance</w:t>
      </w:r>
      <w:r>
        <w:rPr>
          <w:i/>
          <w:iCs/>
        </w:rPr>
        <w:t xml:space="preserve"> </w:t>
      </w:r>
      <w:r>
        <w:rPr>
          <w:i/>
          <w:iCs/>
        </w:rPr>
        <w:t xml:space="preserve">Fund that purchases and permanently burns HYPE tokens, treated as a sink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 in the framework. Hivemapper (HONEY), io.net (IO), and Aethir (ATH)</w:t>
      </w:r>
      <w:r>
        <w:rPr>
          <w:i/>
          <w:iCs/>
        </w:rPr>
        <w:t xml:space="preserve"> </w:t>
      </w:r>
      <w:r>
        <w:rPr>
          <w:i/>
          <w:iCs/>
        </w:rPr>
        <w:t xml:space="preserve">appear as full Table 4 rows above following supplementary</w:t>
      </w:r>
      <w:r>
        <w:rPr>
          <w:i/>
          <w:iCs/>
        </w:rPr>
        <w:t xml:space="preserve"> </w:t>
      </w:r>
      <w:r>
        <w:rPr>
          <w:i/>
          <w:iCs/>
        </w:rPr>
        <w:t xml:space="preserve">holder-list collection in the R2 cycle: Hivemapper and io.net via</w:t>
      </w:r>
      <w:r>
        <w:rPr>
          <w:i/>
          <w:iCs/>
        </w:rPr>
        <w:t xml:space="preserve"> </w:t>
      </w:r>
      <w:r>
        <w:rPr>
          <w:i/>
          <w:iCs/>
        </w:rPr>
        <w:t xml:space="preserve">Helius DAS API (90,680 HONEY holders; 84,861 IO holders); Aethir via</w:t>
      </w:r>
      <w:r>
        <w:rPr>
          <w:i/>
          <w:iCs/>
        </w:rPr>
        <w:t xml:space="preserve"> </w:t>
      </w:r>
      <w:r>
        <w:rPr>
          <w:i/>
          <w:iCs/>
        </w:rPr>
        <w:t xml:space="preserve">Dune erc20_ethereum.evt_transfer net-balance aggregation (1,000</w:t>
      </w:r>
      <w:r>
        <w:rPr>
          <w:i/>
          <w:iCs/>
        </w:rPr>
        <w:t xml:space="preserve"> </w:t>
      </w:r>
      <w:r>
        <w:rPr>
          <w:i/>
          <w:iCs/>
        </w:rPr>
        <w:t xml:space="preserve">holders pulled). All three were footnote-only in the R1 submission</w:t>
      </w:r>
      <w:r>
        <w:rPr>
          <w:i/>
          <w:iCs/>
        </w:rPr>
        <w:t xml:space="preserve"> </w:t>
      </w:r>
      <w:r>
        <w:rPr>
          <w:i/>
          <w:iCs/>
        </w:rPr>
        <w:t xml:space="preserve">because the original Dune holder-list extraction did not include them.</w:t>
      </w:r>
      <w:r>
        <w:rPr>
          <w:i/>
          <w:iCs/>
        </w:rPr>
        <w:t xml:space="preserve"> </w:t>
      </w:r>
      <w:r>
        <w:rPr>
          <w:i/>
          <w:iCs/>
        </w:rPr>
        <w:t xml:space="preserve">The Aethir HHI (0.153) reported here reflects the May 2026 Dune pull</w:t>
      </w:r>
      <w:r>
        <w:rPr>
          <w:i/>
          <w:iCs/>
        </w:rPr>
        <w:t xml:space="preserve"> </w:t>
      </w:r>
      <w:r>
        <w:rPr>
          <w:i/>
          <w:iCs/>
        </w:rPr>
        <w:t xml:space="preserve">and is slightly below the R1 footnote value of 0.168 (March 2026</w:t>
      </w:r>
      <w:r>
        <w:rPr>
          <w:i/>
          <w:iCs/>
        </w:rPr>
        <w:t xml:space="preserve"> </w:t>
      </w:r>
      <w:r>
        <w:rPr>
          <w:i/>
          <w:iCs/>
        </w:rPr>
        <w:t xml:space="preserve">cascade snapshot); the 2-month snapshot drift is consistent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Tally and Snapshot drift documented in Section 2.10.3.</w:t>
      </w:r>
    </w:p>
    <w:p>
      <w:pPr>
        <w:pStyle w:val="BodyText"/>
      </w:pPr>
      <w:r>
        <w:t xml:space="preserve">Table 4 notes:</w:t>
      </w:r>
    </w:p>
    <w:p>
      <w:pPr>
        <w:pStyle w:val="BodyText"/>
      </w:pPr>
      <w:r>
        <w:t xml:space="preserve">† = futarchy governance (MetaDAO).</w:t>
      </w:r>
    </w:p>
    <w:p>
      <w:pPr>
        <w:pStyle w:val="BodyText"/>
      </w:pPr>
      <w:r>
        <w:t xml:space="preserve">‡ (in protocol name column) = survivorship-bias control (TEC, Gitcoin).</w:t>
      </w:r>
    </w:p>
    <w:p>
      <w:pPr>
        <w:pStyle w:val="BodyText"/>
      </w:pPr>
      <w:r>
        <w:t xml:space="preserve">Methodology notes: HHI for Curve reflects raw CRV holdings;</w:t>
      </w:r>
      <w:r>
        <w:t xml:space="preserve"> </w:t>
      </w:r>
      <w:r>
        <w:t xml:space="preserve">veCRV-weighted voting concentration is approximately 0.26 computed</w:t>
      </w:r>
      <w:r>
        <w:t xml:space="preserve"> </w:t>
      </w:r>
      <w:r>
        <w:t xml:space="preserve">from cumulative CRV deposit volume across the top-50 historical</w:t>
      </w:r>
      <w:r>
        <w:t xml:space="preserve"> </w:t>
      </w:r>
      <w:r>
        <w:t xml:space="preserve">veCRV lockers (Convex 48%, Yearn 14%, Stake DAO 9%, with the</w:t>
      </w:r>
      <w:r>
        <w:t xml:space="preserve"> </w:t>
      </w:r>
      <w:r>
        <w:t xml:space="preserve">remaining top-50 lockers each at less than 4%); the methodology is</w:t>
      </w:r>
      <w:r>
        <w:t xml:space="preserve"> </w:t>
      </w:r>
      <w:r>
        <w:t xml:space="preserve">discussed in Section 4.1. HHI for Uniswap reflects post-burn-rule exclusion of</w:t>
      </w:r>
      <w:r>
        <w:t xml:space="preserve"> </w:t>
      </w:r>
      <w:r>
        <w:t xml:space="preserve">0x000...dead (102.46M UNI, 11.27% of supply). Top-1% and Top-10%</w:t>
      </w:r>
      <w:r>
        <w:t xml:space="preserve"> </w:t>
      </w:r>
      <w:r>
        <w:t xml:space="preserve">columns for AAVE, UNI, ARB, GRT, and OP report post-exclusion shares,</w:t>
      </w:r>
      <w:r>
        <w:t xml:space="preserve"> </w:t>
      </w:r>
      <w:r>
        <w:t xml:space="preserve">applying the same protocol-controlled-address exclusion methodology used</w:t>
      </w:r>
      <w:r>
        <w:t xml:space="preserve"> </w:t>
      </w:r>
      <w:r>
        <w:t xml:space="preserve">for HHI computation.</w:t>
      </w:r>
    </w:p>
    <w:p>
      <w:pPr>
        <w:pStyle w:val="BodyText"/>
      </w:pPr>
      <w:r>
        <w:t xml:space="preserve">HHI ranges from 0.005 to 0.199 across the full sample. Among DeFi</w:t>
      </w:r>
      <w:r>
        <w:t xml:space="preserve"> </w:t>
      </w:r>
      <w:r>
        <w:t xml:space="preserve">governance tokens, HHI ranges from 0.005 (Hyperliquid, after excluding</w:t>
      </w:r>
      <w:r>
        <w:t xml:space="preserve"> </w:t>
      </w:r>
      <w:r>
        <w:t xml:space="preserve">the Assistance Fund and burn addresses) to 0.117 (Jupiter). Curve’s</w:t>
      </w:r>
      <w:r>
        <w:t xml:space="preserve"> </w:t>
      </w:r>
      <w:r>
        <w:t xml:space="preserve">raw CRV holding HHI of 0.017 reflects the post-Convex-exclusion</w:t>
      </w:r>
      <w:r>
        <w:t xml:space="preserve"> </w:t>
      </w:r>
      <w:r>
        <w:t xml:space="preserve">distribution; the veCRV-weighted voting concentration is substantially</w:t>
      </w:r>
      <w:r>
        <w:t xml:space="preserve"> </w:t>
      </w:r>
      <w:r>
        <w:t xml:space="preserve">higher (approximately 0.26 computed from cumulative deposit volume</w:t>
      </w:r>
      <w:r>
        <w:t xml:space="preserve"> </w:t>
      </w:r>
      <w:r>
        <w:t xml:space="preserve">across the top-50 veCRV lockers; Section 4.1), and is discussed in Section 4.1. DePIN protocols span</w:t>
      </w:r>
      <w:r>
        <w:t xml:space="preserve"> </w:t>
      </w:r>
      <w:r>
        <w:t xml:space="preserve">a similar range: 0.017 (Hivemapper) to 0.199 (Livepeer); Morpheus AI</w:t>
      </w:r>
      <w:r>
        <w:t xml:space="preserve"> </w:t>
      </w:r>
      <w:r>
        <w:t xml:space="preserve">registers 0.031 after excluding four protocol-controlled addresses.</w:t>
      </w:r>
    </w:p>
    <w:p>
      <w:pPr>
        <w:pStyle w:val="BodyText"/>
      </w:pPr>
      <w:r>
        <w:t xml:space="preserve">Several protocols previously appearing highly concentrated show moderate</w:t>
      </w:r>
      <w:r>
        <w:t xml:space="preserve"> </w:t>
      </w:r>
      <w:r>
        <w:t xml:space="preserve">concentration once measurement artifacts are removed. After correcting</w:t>
      </w:r>
      <w:r>
        <w:t xml:space="preserve"> </w:t>
      </w:r>
      <w:r>
        <w:t xml:space="preserve">for holder-list truncation (Solana tokens) and protocol-controlled</w:t>
      </w:r>
      <w:r>
        <w:t xml:space="preserve"> </w:t>
      </w:r>
      <w:r>
        <w:t xml:space="preserve">address contamination (19 protocols), the DePIN-DeFi concentration gap</w:t>
      </w:r>
      <w:r>
        <w:t xml:space="preserve"> </w:t>
      </w:r>
      <w:r>
        <w:t xml:space="preserve">narrows substantially: DRIFT (0.419 uncorrected to 0.101 corrected,</w:t>
      </w:r>
      <w:r>
        <w:t xml:space="preserve"> </w:t>
      </w:r>
      <w:r>
        <w:t xml:space="preserve">reflecting Helius enumeration of 27,888 holders versus 104 from Dune), W</w:t>
      </w:r>
      <w:r>
        <w:t xml:space="preserve"> </w:t>
      </w:r>
      <w:r>
        <w:t xml:space="preserve">(0.126 to 0.015), and GRASS (0.132 to 0.035). The exclusion methodology</w:t>
      </w:r>
      <w:r>
        <w:t xml:space="preserve"> </w:t>
      </w:r>
      <w:r>
        <w:t xml:space="preserve">(</w:t>
      </w:r>
      <w:hyperlink r:id="rId63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S6</w:t>
        </w:r>
      </w:hyperlink>
      <w:r>
        <w:t xml:space="preserve">)</w:t>
      </w:r>
      <w:r>
        <w:t xml:space="preserve"> </w:t>
      </w:r>
      <w:r>
        <w:t xml:space="preserve">is particularly consequential for protocols with large foundation</w:t>
      </w:r>
      <w:r>
        <w:t xml:space="preserve"> </w:t>
      </w:r>
      <w:r>
        <w:t xml:space="preserve">treasuries or exchange custodian addresses in the top-10 holders.</w:t>
      </w:r>
    </w:p>
    <w:p>
      <w:pPr>
        <w:pStyle w:val="BodyText"/>
      </w:pPr>
      <w:r>
        <w:t xml:space="preserve">Several protocols demonstrate that low governance concentration is</w:t>
      </w:r>
      <w:r>
        <w:t xml:space="preserve"> </w:t>
      </w:r>
      <w:r>
        <w:t xml:space="preserve">achievable across sectors. Hyperliquid (HHI 0.005), Uniswap (0.010), and</w:t>
      </w:r>
      <w:r>
        <w:t xml:space="preserve"> </w:t>
      </w:r>
      <w:r>
        <w:t xml:space="preserve">Uniswap (0.010) in DeFi; Optimism (0.009), Arbitrum (0.012), LayerZero</w:t>
      </w:r>
      <w:r>
        <w:t xml:space="preserve"> </w:t>
      </w:r>
      <w:r>
        <w:t xml:space="preserve">(0.015), and Wormhole (0.015) in L1/L2 infrastructure; and Hivemapper</w:t>
      </w:r>
      <w:r>
        <w:t xml:space="preserve"> </w:t>
      </w:r>
      <w:r>
        <w:t xml:space="preserve">(0.017) in DePIN all achieve HHI below 0.02. These counterexamples</w:t>
      </w:r>
      <w:r>
        <w:t xml:space="preserve"> </w:t>
      </w:r>
      <w:r>
        <w:t xml:space="preserve">indicate that low governance concentration is achievable across multiple</w:t>
      </w:r>
      <w:r>
        <w:t xml:space="preserve"> </w:t>
      </w:r>
      <w:r>
        <w:t xml:space="preserve">sectors, constraining explanations that treat high concentration as</w:t>
      </w:r>
      <w:r>
        <w:t xml:space="preserve"> </w:t>
      </w:r>
      <w:r>
        <w:t xml:space="preserve">structurally inevitable in any single sector. The fourth sector, social</w:t>
      </w:r>
      <w:r>
        <w:t xml:space="preserve"> </w:t>
      </w:r>
      <w:r>
        <w:t xml:space="preserve">token protocols, is too small in the sample (N = 2) to support</w:t>
      </w:r>
      <w:r>
        <w:t xml:space="preserve"> </w:t>
      </w:r>
      <w:r>
        <w:t xml:space="preserve">independent sector-level claims.</w:t>
      </w:r>
    </w:p>
    <w:p>
      <w:pPr>
        <w:pStyle w:val="BodyText"/>
      </w:pPr>
      <w:r>
        <w:t xml:space="preserve">Three measurement choices affect these results and merit attention as</w:t>
      </w:r>
      <w:r>
        <w:t xml:space="preserve"> </w:t>
      </w:r>
      <w:r>
        <w:t xml:space="preserve">scope conditions. First, Top-N cutoffs at 1,000 holders may undercount</w:t>
      </w:r>
      <w:r>
        <w:t xml:space="preserve"> </w:t>
      </w:r>
      <w:r>
        <w:t xml:space="preserve">long-tail holders; increasing the cutoff to 10,000 addresses would</w:t>
      </w:r>
      <w:r>
        <w:t xml:space="preserve"> </w:t>
      </w:r>
      <w:r>
        <w:t xml:space="preserve">change absolute HHI values but is unlikely to change the rank ordering.</w:t>
      </w:r>
      <w:r>
        <w:t xml:space="preserve"> </w:t>
      </w:r>
      <w:r>
        <w:t xml:space="preserve">Second, the snapshot methodology captures a single point in time;</w:t>
      </w:r>
      <w:r>
        <w:t xml:space="preserve"> </w:t>
      </w:r>
      <w:r>
        <w:t xml:space="preserve">several protocols (notably DIMO) have announced token distribution</w:t>
      </w:r>
      <w:r>
        <w:t xml:space="preserve"> </w:t>
      </w:r>
      <w:r>
        <w:t xml:space="preserve">programs that may reduce concentration over subsequent months. Third,</w:t>
      </w:r>
      <w:r>
        <w:t xml:space="preserve"> </w:t>
      </w:r>
      <w:r>
        <w:t xml:space="preserve">the analysis uses raw token holdings; for protocols with delegation</w:t>
      </w:r>
      <w:r>
        <w:t xml:space="preserve"> </w:t>
      </w:r>
      <w:r>
        <w:t xml:space="preserve">(Compound, Uniswap), delegated voting power may differ from raw</w:t>
      </w:r>
      <w:r>
        <w:t xml:space="preserve"> </w:t>
      </w:r>
      <w:r>
        <w:t xml:space="preserve">holdings. We use delegated power where available, but not all protocols</w:t>
      </w:r>
      <w:r>
        <w:t xml:space="preserve"> </w:t>
      </w:r>
      <w:r>
        <w:t xml:space="preserve">instrument delegation.</w:t>
      </w:r>
    </w:p>
    <w:bookmarkEnd w:id="83"/>
    <w:bookmarkStart w:id="87" w:name="depin-vs.-defi-contrast"/>
    <w:p>
      <w:pPr>
        <w:pStyle w:val="Heading2"/>
      </w:pPr>
      <w:r>
        <w:t xml:space="preserve">3.3 DePIN vs. DeFi Contrast</w:t>
      </w:r>
    </w:p>
    <w:p>
      <w:pPr>
        <w:pStyle w:val="FirstParagraph"/>
      </w:pPr>
      <w:r>
        <w:t xml:space="preserve">DePIN protocols have roughly twice the governance concentration of DeFi</w:t>
      </w:r>
      <w:r>
        <w:t xml:space="preserve"> </w:t>
      </w:r>
      <w:r>
        <w:t xml:space="preserve">protocols (mean HHI 0.085 vs. 0.031; Mann-Whitney p = 0.016, Cohen’s d =</w:t>
      </w:r>
      <w:r>
        <w:t xml:space="preserve"> </w:t>
      </w:r>
      <w:r>
        <w:t xml:space="preserve">1.03, N = 15/15). The gap holds after adjusting for protocol age,</w:t>
      </w:r>
      <w:r>
        <w:t xml:space="preserve"> </w:t>
      </w:r>
      <w:r>
        <w:t xml:space="preserve">valuation, and insider allocation (Table 6, Models 1-3). Prior review</w:t>
      </w:r>
      <w:r>
        <w:t xml:space="preserve"> </w:t>
      </w:r>
      <w:r>
        <w:t xml:space="preserve">work documents that DePIN sectors vary in tokenomic architecture</w:t>
      </w:r>
      <w:r>
        <w:t xml:space="preserve"> </w:t>
      </w:r>
      <w:r>
        <w:t xml:space="preserve">(Alshater, 2026): storage networks prioritize staking, wireless coverage</w:t>
      </w:r>
      <w:r>
        <w:t xml:space="preserve"> </w:t>
      </w:r>
      <w:r>
        <w:t xml:space="preserve">emphasizes service verification, compute networks focus on billing. The</w:t>
      </w:r>
      <w:r>
        <w:t xml:space="preserve"> </w:t>
      </w:r>
      <w:r>
        <w:t xml:space="preserve">concentration gap between DePIN and DeFi is not implied by this sectoral</w:t>
      </w:r>
      <w:r>
        <w:t xml:space="preserve"> </w:t>
      </w:r>
      <w:r>
        <w:t xml:space="preserve">variation; it is a separate finding about who holds governance tokens.</w:t>
      </w:r>
    </w:p>
    <w:p>
      <w:pPr>
        <w:pStyle w:val="BodyText"/>
      </w:pPr>
      <w:r>
        <w:t xml:space="preserve">The sector difference is robust to sample composition: the Mann-Whitney</w:t>
      </w:r>
      <w:r>
        <w:t xml:space="preserve"> </w:t>
      </w:r>
      <w:r>
        <w:t xml:space="preserve">result holds across all 30 leave-one-out (LOO) iterations, and a</w:t>
      </w:r>
      <w:r>
        <w:t xml:space="preserve"> </w:t>
      </w:r>
      <w:r>
        <w:t xml:space="preserve">permutation test yields p = 0.004. One candidate mechanism: in</w:t>
      </w:r>
      <w:r>
        <w:t xml:space="preserve"> </w:t>
      </w:r>
      <w:r>
        <w:t xml:space="preserve">capital-intensive networks, scale economies produce concentrated market</w:t>
      </w:r>
      <w:r>
        <w:t xml:space="preserve"> </w:t>
      </w:r>
      <w:r>
        <w:t xml:space="preserve">shares (Arnosti &amp; Weinberg, 2022). Fleet operators deploying hundreds of</w:t>
      </w:r>
      <w:r>
        <w:t xml:space="preserve"> </w:t>
      </w:r>
      <w:r>
        <w:t xml:space="preserve">devices achieve lower per-unit costs than solo participants, consistent</w:t>
      </w:r>
      <w:r>
        <w:t xml:space="preserve"> </w:t>
      </w:r>
      <w:r>
        <w:t xml:space="preserve">with the concentration gap observed here.</w:t>
      </w:r>
    </w:p>
    <w:p>
      <w:pPr>
        <w:pStyle w:val="BodyText"/>
      </w:pPr>
      <w:r>
        <w:drawing>
          <wp:inline>
            <wp:extent cx="5486400" cy="6298047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media/exhibit_sector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9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4.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concentration (HHI) by sector. DePIN mean</w:t>
      </w:r>
      <w:r>
        <w:rPr>
          <w:i/>
          <w:iCs/>
        </w:rPr>
        <w:t xml:space="preserve"> </w:t>
      </w:r>
      <w:r>
        <w:rPr>
          <w:i/>
          <w:iCs/>
        </w:rPr>
        <w:t xml:space="preserve">(0.091) exceeds DeFi mean (0.041), with distributions overlapping</w:t>
      </w:r>
      <w:r>
        <w:rPr>
          <w:i/>
          <w:iCs/>
        </w:rPr>
        <w:t xml:space="preserve"> </w:t>
      </w:r>
      <w:r>
        <w:rPr>
          <w:i/>
          <w:iCs/>
        </w:rPr>
        <w:t xml:space="preserve">substantially: 8 of 15 DePIN protocols fall within the DeFi range. The</w:t>
      </w:r>
      <w:r>
        <w:rPr>
          <w:i/>
          <w:iCs/>
        </w:rPr>
        <w:t xml:space="preserve"> </w:t>
      </w:r>
      <w:r>
        <w:rPr>
          <w:i/>
          <w:iCs/>
        </w:rPr>
        <w:t xml:space="preserve">Mann-Whitney test (p = 0.016, d = 1.10) is robust to sample composition</w:t>
      </w:r>
      <w:r>
        <w:rPr>
          <w:i/>
          <w:iCs/>
        </w:rPr>
        <w:t xml:space="preserve"> </w:t>
      </w:r>
      <w:r>
        <w:rPr>
          <w:i/>
          <w:iCs/>
        </w:rPr>
        <w:t xml:space="preserve">(significant in all 30 leave-one-out iterations). Reading the figure:</w:t>
      </w:r>
      <w:r>
        <w:rPr>
          <w:i/>
          <w:iCs/>
        </w:rPr>
        <w:t xml:space="preserve"> </w:t>
      </w:r>
      <w:r>
        <w:rPr>
          <w:i/>
          <w:iCs/>
        </w:rPr>
        <w:t xml:space="preserve">box plots show the concentration distribution within each sector; the</w:t>
      </w:r>
      <w:r>
        <w:rPr>
          <w:i/>
          <w:iCs/>
        </w:rPr>
        <w:t xml:space="preserve"> </w:t>
      </w:r>
      <w:r>
        <w:rPr>
          <w:i/>
          <w:iCs/>
        </w:rPr>
        <w:t xml:space="preserve">DePIN-DeFi gap is visible in median position despite overlap in tails.</w:t>
      </w:r>
    </w:p>
    <w:p>
      <w:pPr>
        <w:pStyle w:val="BodyText"/>
      </w:pPr>
      <w:r>
        <w:t xml:space="preserve">DePIN governance concentration is also significantly higher than L1/L2</w:t>
      </w:r>
      <w:r>
        <w:t xml:space="preserve"> </w:t>
      </w:r>
      <w:r>
        <w:t xml:space="preserve">infrastructure protocols (mean HHI 0.035, N=8): Welch t-test p = 0.016,</w:t>
      </w:r>
      <w:r>
        <w:t xml:space="preserve"> </w:t>
      </w:r>
      <w:r>
        <w:t xml:space="preserve">Cohen’s d = 1.09; Mann-Whitney p = 0.005. This divergence is driven by</w:t>
      </w:r>
      <w:r>
        <w:t xml:space="preserve"> </w:t>
      </w:r>
      <w:r>
        <w:t xml:space="preserve">post-exclusion infrastructure HHIs: ARB (0.012), OP (0.009), and GRT</w:t>
      </w:r>
      <w:r>
        <w:t xml:space="preserve"> </w:t>
      </w:r>
      <w:r>
        <w:t xml:space="preserve">(0.033) show distributed holdings once foundation and bridge addresses</w:t>
      </w:r>
      <w:r>
        <w:t xml:space="preserve"> </w:t>
      </w:r>
      <w:r>
        <w:t xml:space="preserve">are excluded.</w:t>
      </w:r>
    </w:p>
    <w:p>
      <w:pPr>
        <w:pStyle w:val="BodyText"/>
      </w:pPr>
      <w:r>
        <w:t xml:space="preserve">Revenue dynamics reinforce this structural contrast: during 2025’s</w:t>
      </w:r>
      <w:r>
        <w:t xml:space="preserve"> </w:t>
      </w:r>
      <w:r>
        <w:t xml:space="preserve">market downturn, Helium’s onchain revenue grew over 800% while leading</w:t>
      </w:r>
      <w:r>
        <w:t xml:space="preserve"> </w:t>
      </w:r>
      <w:r>
        <w:t xml:space="preserve">DeFi protocol fees declined 27-70% over the same period (Bane &amp; Gala,</w:t>
      </w:r>
      <w:r>
        <w:t xml:space="preserve"> </w:t>
      </w:r>
      <w:r>
        <w:t xml:space="preserve">2026), suggesting that physical infrastructure revenue streams exhibit</w:t>
      </w:r>
      <w:r>
        <w:t xml:space="preserve"> </w:t>
      </w:r>
      <w:r>
        <w:t xml:space="preserve">countercyclical properties absent in purely financial protocols.</w:t>
      </w:r>
    </w:p>
    <w:p>
      <w:pPr>
        <w:pStyle w:val="BodyText"/>
      </w:pPr>
      <w:r>
        <w:t xml:space="preserve">This concentration gap is not explained by protocol maturity: Compound</w:t>
      </w:r>
      <w:r>
        <w:t xml:space="preserve"> </w:t>
      </w:r>
      <w:r>
        <w:t xml:space="preserve">(2018 launch, HHI 0.027) and MakerDAO (2017, HHI 0.045) are older than</w:t>
      </w:r>
      <w:r>
        <w:t xml:space="preserve"> </w:t>
      </w:r>
      <w:r>
        <w:t xml:space="preserve">DIMO (2022, HHI 0.038) and WeatherXM (2024, HHI 0.148), yet maintain far</w:t>
      </w:r>
      <w:r>
        <w:t xml:space="preserve"> </w:t>
      </w:r>
      <w:r>
        <w:t xml:space="preserve">lower concentration. One candidate explanation is distribution design</w:t>
      </w:r>
      <w:r>
        <w:t xml:space="preserve"> </w:t>
      </w:r>
      <w:r>
        <w:t xml:space="preserve">(Table 4): DePIN token allocations frequently reserve large shares for</w:t>
      </w:r>
      <w:r>
        <w:t xml:space="preserve"> </w:t>
      </w:r>
      <w:r>
        <w:t xml:space="preserve">founding teams and early investors, while DeFi protocols have had longer</w:t>
      </w:r>
      <w:r>
        <w:t xml:space="preserve"> </w:t>
      </w:r>
      <w:r>
        <w:t xml:space="preserve">periods of community distribution through liquidity mining, delegation,</w:t>
      </w:r>
      <w:r>
        <w:t xml:space="preserve"> </w:t>
      </w:r>
      <w:r>
        <w:t xml:space="preserve">and governance participation incentives. However, the regression</w:t>
      </w:r>
      <w:r>
        <w:t xml:space="preserve"> </w:t>
      </w:r>
      <w:r>
        <w:t xml:space="preserve">analysis below finds no significant correlation between insider</w:t>
      </w:r>
      <w:r>
        <w:t xml:space="preserve"> </w:t>
      </w:r>
      <w:r>
        <w:t xml:space="preserve">allocation share and HHI (Section 3.4), suggesting that the distribution</w:t>
      </w:r>
      <w:r>
        <w:t xml:space="preserve"> </w:t>
      </w:r>
      <w:r>
        <w:t xml:space="preserve">design channel operates through qualitative mechanisms not captured by</w:t>
      </w:r>
      <w:r>
        <w:t xml:space="preserve"> </w:t>
      </w:r>
      <w:r>
        <w:t xml:space="preserve">the allocation percentage alone. The Anyone Protocol counterexample</w:t>
      </w:r>
      <w:r>
        <w:t xml:space="preserve"> </w:t>
      </w:r>
      <w:r>
        <w:t xml:space="preserve">supports this interpretation: its low concentration (HHI 0.040) is</w:t>
      </w:r>
      <w:r>
        <w:t xml:space="preserve"> </w:t>
      </w:r>
      <w:r>
        <w:t xml:space="preserve">consistent with governance mechanism choices (delegation incentives,</w:t>
      </w:r>
      <w:r>
        <w:t xml:space="preserve"> </w:t>
      </w:r>
      <w:r>
        <w:t xml:space="preserve">activity-based caps, distribution schedule structure) that most DePIN</w:t>
      </w:r>
      <w:r>
        <w:t xml:space="preserve"> </w:t>
      </w:r>
      <w:r>
        <w:t xml:space="preserve">protocols have not adopted.</w:t>
      </w:r>
    </w:p>
    <w:p>
      <w:pPr>
        <w:pStyle w:val="BodyText"/>
      </w:pPr>
      <w:r>
        <w:t xml:space="preserve">This governance mechanism interpretation aligns with practitioner</w:t>
      </w:r>
      <w:r>
        <w:t xml:space="preserve"> </w:t>
      </w:r>
      <w:r>
        <w:t xml:space="preserve">evidence from points-based token distribution programs (Sawinyh, 2025).</w:t>
      </w:r>
      <w:r>
        <w:t xml:space="preserve"> </w:t>
      </w:r>
      <w:r>
        <w:t xml:space="preserve">Mature DeFi protocols distributed tokens through multi-season liquidity</w:t>
      </w:r>
      <w:r>
        <w:t xml:space="preserve"> </w:t>
      </w:r>
      <w:r>
        <w:t xml:space="preserve">mining programs, safety module staking, and delegation incentives that</w:t>
      </w:r>
      <w:r>
        <w:t xml:space="preserve"> </w:t>
      </w:r>
      <w:r>
        <w:t xml:space="preserve">implement sub-linear scaling (diminishing returns per marginal dollar</w:t>
      </w:r>
      <w:r>
        <w:t xml:space="preserve"> </w:t>
      </w:r>
      <w:r>
        <w:t xml:space="preserve">deposited), activity-based caps, and time-weighted multipliers; these</w:t>
      </w:r>
      <w:r>
        <w:t xml:space="preserve"> </w:t>
      </w:r>
      <w:r>
        <w:t xml:space="preserve">mechanisms structurally compress holding concentration over years. DePIN</w:t>
      </w:r>
      <w:r>
        <w:t xml:space="preserve"> </w:t>
      </w:r>
      <w:r>
        <w:t xml:space="preserve">protocols that allocated tokens through conventional venture rounds,</w:t>
      </w:r>
      <w:r>
        <w:t xml:space="preserve"> </w:t>
      </w:r>
      <w:r>
        <w:t xml:space="preserve">reserving 30 to 50 percent for founding teams and early investors with</w:t>
      </w:r>
      <w:r>
        <w:t xml:space="preserve"> </w:t>
      </w:r>
      <w:r>
        <w:t xml:space="preserve">cliff-based vesting, bypassed these distribution-broadening mechanisms</w:t>
      </w:r>
      <w:r>
        <w:t xml:space="preserve"> </w:t>
      </w:r>
      <w:r>
        <w:t xml:space="preserve">entirely. The governance concentration patterns in Table 4 may reflect</w:t>
      </w:r>
      <w:r>
        <w:t xml:space="preserve"> </w:t>
      </w:r>
      <w:r>
        <w:t xml:space="preserve">distribution mechanism design operating through the sector channel:</w:t>
      </w:r>
      <w:r>
        <w:t xml:space="preserve"> </w:t>
      </w:r>
      <w:r>
        <w:t xml:space="preserve">Table 6 shows DePIN membership predicts concentration at p &lt; 0.05 after</w:t>
      </w:r>
      <w:r>
        <w:t xml:space="preserve"> </w:t>
      </w:r>
      <w:r>
        <w:t xml:space="preserve">adjusting for protocol age, valuation, and insider allocation. However,</w:t>
      </w:r>
      <w:r>
        <w:t xml:space="preserve"> </w:t>
      </w:r>
      <w:r>
        <w:t xml:space="preserve">the regression null on insider allocation (Section 3.4) cautions against</w:t>
      </w:r>
      <w:r>
        <w:t xml:space="preserve"> </w:t>
      </w:r>
      <w:r>
        <w:t xml:space="preserve">treating initial token allocation as a complete measure of distribution</w:t>
      </w:r>
      <w:r>
        <w:t xml:space="preserve"> </w:t>
      </w:r>
      <w:r>
        <w:t xml:space="preserve">design: compression mechanisms (sub-linear scaling, activity-based caps,</w:t>
      </w:r>
      <w:r>
        <w:t xml:space="preserve"> </w:t>
      </w:r>
      <w:r>
        <w:t xml:space="preserve">delegation incentives) operate through ongoing protocol governance, not</w:t>
      </w:r>
      <w:r>
        <w:t xml:space="preserve"> </w:t>
      </w:r>
      <w:r>
        <w:t xml:space="preserve">through the initial percentage split alone.</w:t>
      </w:r>
    </w:p>
    <w:bookmarkEnd w:id="87"/>
    <w:bookmarkStart w:id="91" w:name="X0512d682b8d60c380581486ebd4d749e54e6a89"/>
    <w:p>
      <w:pPr>
        <w:pStyle w:val="Heading2"/>
      </w:pPr>
      <w:r>
        <w:t xml:space="preserve">3.4 Allocation Design and Post-Distribution Dynamics</w:t>
      </w:r>
    </w:p>
    <w:p>
      <w:pPr>
        <w:pStyle w:val="FirstParagraph"/>
      </w:pPr>
      <w:r>
        <w:t xml:space="preserve">Methodological note on AAVE: the stkAAVE staking contract is excluded</w:t>
      </w:r>
      <w:r>
        <w:t xml:space="preserve"> </w:t>
      </w:r>
      <w:r>
        <w:t xml:space="preserve">from the holding Herfindahl-Hirschman Index per the</w:t>
      </w:r>
      <w:r>
        <w:t xml:space="preserve"> </w:t>
      </w:r>
      <w:r>
        <w:t xml:space="preserve">protocol-controlled-address rule, but stakers retain pass-through voting</w:t>
      </w:r>
      <w:r>
        <w:t xml:space="preserve"> </w:t>
      </w:r>
      <w:r>
        <w:t xml:space="preserve">power. The reported AAVE holding HHI of 0.020 therefore understates</w:t>
      </w:r>
      <w:r>
        <w:t xml:space="preserve"> </w:t>
      </w:r>
      <w:r>
        <w:t xml:space="preserve">effective governance concentration; reconstructing the staker</w:t>
      </w:r>
      <w:r>
        <w:t xml:space="preserve"> </w:t>
      </w:r>
      <w:r>
        <w:t xml:space="preserve">distribution would require parsing all stkAAVE deposit events, which is</w:t>
      </w:r>
      <w:r>
        <w:t xml:space="preserve"> </w:t>
      </w:r>
      <w:r>
        <w:t xml:space="preserve">deferred to follow-up work. The companion Tally-sourced AAVE delegation</w:t>
      </w:r>
      <w:r>
        <w:t xml:space="preserve"> </w:t>
      </w:r>
      <w:r>
        <w:t xml:space="preserve">HHI of 0.076 in Table 7 partially closes this gap by capturing</w:t>
      </w:r>
      <w:r>
        <w:t xml:space="preserve"> </w:t>
      </w:r>
      <w:r>
        <w:t xml:space="preserve">concentration in delegated voting rather than raw token holdings.</w:t>
      </w:r>
    </w:p>
    <w:p>
      <w:pPr>
        <w:pStyle w:val="BodyText"/>
      </w:pPr>
      <w:r>
        <w:t xml:space="preserve">Initial token allocation design does not predict governance</w:t>
      </w:r>
      <w:r>
        <w:t xml:space="preserve"> </w:t>
      </w:r>
      <w:r>
        <w:t xml:space="preserve">concentration. The percentage of total supply allocated to team and</w:t>
      </w:r>
      <w:r>
        <w:t xml:space="preserve"> </w:t>
      </w:r>
      <w:r>
        <w:t xml:space="preserve">investors at launch shows no significant association with</w:t>
      </w:r>
      <w:r>
        <w:t xml:space="preserve"> </w:t>
      </w:r>
      <w:r>
        <w:t xml:space="preserve">post-distribution HHI (Pearson r = 0.17, p = 0.32, N = 37; Spearman rho</w:t>
      </w:r>
      <w:r>
        <w:t xml:space="preserve"> </w:t>
      </w:r>
      <w:r>
        <w:t xml:space="preserve">= 0.07, p = 0.69). This null persists across alternative specifications:</w:t>
      </w:r>
      <w:r>
        <w:t xml:space="preserve"> </w:t>
      </w:r>
      <w:r>
        <w:t xml:space="preserve">token unlock progress, float-adjusted concentration, and the interaction</w:t>
      </w:r>
      <w:r>
        <w:t xml:space="preserve"> </w:t>
      </w:r>
      <w:r>
        <w:t xml:space="preserve">of allocation with protocol maturity all produce coefficients</w:t>
      </w:r>
      <w:r>
        <w:t xml:space="preserve"> </w:t>
      </w:r>
      <w:r>
        <w:t xml:space="preserve">indistinguishable from zero (Table 6, Models 1 through 3; Table 5</w:t>
      </w:r>
      <w:r>
        <w:t xml:space="preserve"> </w:t>
      </w:r>
      <w:r>
        <w:t xml:space="preserve">summarizes the bivariate battery). Statistically Validated Network</w:t>
      </w:r>
      <w:r>
        <w:t xml:space="preserve"> </w:t>
      </w:r>
      <w:r>
        <w:t xml:space="preserve">analysis across DeFi protocols documents that governance concentration</w:t>
      </w:r>
      <w:r>
        <w:t xml:space="preserve"> </w:t>
      </w:r>
      <w:r>
        <w:t xml:space="preserve">shifts dynamically in correlation with total value locked and secondary</w:t>
      </w:r>
      <w:r>
        <w:t xml:space="preserve"> </w:t>
      </w:r>
      <w:r>
        <w:t xml:space="preserve">market valuations (Eisermann et al., 2025), consistent with the</w:t>
      </w:r>
      <w:r>
        <w:t xml:space="preserve"> </w:t>
      </w:r>
      <w:r>
        <w:t xml:space="preserve">post-distribution market dynamics that render initial allocation design</w:t>
      </w:r>
      <w:r>
        <w:t xml:space="preserve"> </w:t>
      </w:r>
      <w:r>
        <w:t xml:space="preserve">uninformative in the cross-section.</w:t>
      </w:r>
    </w:p>
    <w:tbl>
      <w:tblPr>
        <w:tblStyle w:val="Table"/>
        <w:tblW w:type="pct" w:w="4896"/>
        <w:tblLayout w:type="fixed"/>
        <w:tblLook w:firstRow="1" w:lastRow="0" w:firstColumn="0" w:lastColumn="0" w:noHBand="0" w:noVBand="0" w:val="0020"/>
      </w:tblPr>
      <w:tblGrid>
        <w:gridCol w:w="1732"/>
        <w:gridCol w:w="1237"/>
        <w:gridCol w:w="1320"/>
        <w:gridCol w:w="825"/>
        <w:gridCol w:w="66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Covariate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allocation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allocation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 allocation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maturity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Circ/total supply</w:t>
            </w:r>
            <w:r>
              <w:t xml:space="preserve"> </w:t>
            </w: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MCap/FDV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Exclusion-adjusted</w:t>
            </w:r>
            <w:r>
              <w:t xml:space="preserve"> </w:t>
            </w: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count</w:t>
            </w:r>
            <w:r>
              <w:t xml:space="preserve"> </w:t>
            </w:r>
            <w:r>
              <w:t xml:space="preserve">fraction (top-10)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 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Non-insider HHI, V1</w:t>
            </w:r>
            <w:r>
              <w:t xml:space="preserve"> </w:t>
            </w:r>
            <w:r>
              <w:t xml:space="preserve">(count)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 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Tautology-checked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Non-insider HHI, V2</w:t>
            </w:r>
            <w:r>
              <w:t xml:space="preserve"> </w:t>
            </w:r>
            <w:r>
              <w:t xml:space="preserve">(balance)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 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survive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Subsidy ratio</w:t>
            </w:r>
            <w:r>
              <w:t xml:space="preserve"> </w:t>
            </w:r>
            <w:r>
              <w:t xml:space="preserve">(cross-sector)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Fragile (LPT-driven)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Subsidy ratio (TT</w:t>
            </w:r>
            <w:r>
              <w:t xml:space="preserve"> </w:t>
            </w:r>
            <w:r>
              <w:t xml:space="preserve">expanded)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(robustness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Subsidy ratio (excl.</w:t>
            </w:r>
            <w:r>
              <w:t xml:space="preserve"> </w:t>
            </w:r>
            <w:r>
              <w:t xml:space="preserve">Livepeer)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DePIN sector (dummy)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Mann-Whitney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U=172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(30/30 LOO)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HHI-Gini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Table 5.</w:t>
      </w:r>
      <w:r>
        <w:rPr>
          <w:i/>
          <w:iCs/>
        </w:rPr>
        <w:t xml:space="preserve"> </w:t>
      </w:r>
      <w:r>
        <w:rPr>
          <w:i/>
          <w:iCs/>
        </w:rPr>
        <w:t xml:space="preserve">Bivariate associations between protocol characteristics</w:t>
      </w:r>
      <w:r>
        <w:rPr>
          <w:i/>
          <w:iCs/>
        </w:rPr>
        <w:t xml:space="preserve"> </w:t>
      </w:r>
      <w:r>
        <w:rPr>
          <w:i/>
          <w:iCs/>
        </w:rPr>
        <w:t xml:space="preserve">and governance concentration (HHI). Allocation, maturity, and float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specifications are null. Insider wallet presence is significant but the</w:t>
      </w:r>
      <w:r>
        <w:rPr>
          <w:i/>
          <w:iCs/>
        </w:rPr>
        <w:t xml:space="preserve"> </w:t>
      </w:r>
      <w:r>
        <w:rPr>
          <w:i/>
          <w:iCs/>
        </w:rPr>
        <w:t xml:space="preserve">balance-based measure does not survive a tautology check (Section 3.4).</w:t>
      </w:r>
      <w:r>
        <w:rPr>
          <w:i/>
          <w:iCs/>
        </w:rPr>
        <w:t xml:space="preserve"> </w:t>
      </w:r>
      <w:r>
        <w:rPr>
          <w:i/>
          <w:iCs/>
        </w:rPr>
        <w:t xml:space="preserve">Subsidy is significant in levels but driven entirely by Livepeer</w:t>
      </w:r>
      <w:r>
        <w:rPr>
          <w:i/>
          <w:iCs/>
        </w:rPr>
        <w:t xml:space="preserve"> </w:t>
      </w:r>
      <w:r>
        <w:rPr>
          <w:i/>
          <w:iCs/>
        </w:rPr>
        <w:t xml:space="preserve">(Section 3.7). * LOO-robust (39/39). MCap = market capitalization; FDV</w:t>
      </w:r>
      <w:r>
        <w:rPr>
          <w:i/>
          <w:iCs/>
        </w:rPr>
        <w:t xml:space="preserve"> </w:t>
      </w:r>
      <w:r>
        <w:rPr>
          <w:i/>
          <w:iCs/>
        </w:rPr>
        <w:t xml:space="preserve">= fully diluted valuation.</w:t>
      </w:r>
    </w:p>
    <w:p>
      <w:pPr>
        <w:pStyle w:val="BodyText"/>
      </w:pPr>
      <w:r>
        <w:t xml:space="preserve">To understand why allocation is uninformative, we classify each</w:t>
      </w:r>
      <w:r>
        <w:t xml:space="preserve"> </w:t>
      </w:r>
      <w:r>
        <w:t xml:space="preserve">protocol’s top-10 post-exclusion holders using a three-tier methodology:</w:t>
      </w:r>
      <w:r>
        <w:t xml:space="preserve"> </w:t>
      </w:r>
      <w:r>
        <w:t xml:space="preserve">Tier 1 identifies addresses via Blockscout labels and Dune exchange</w:t>
      </w:r>
      <w:r>
        <w:t xml:space="preserve"> </w:t>
      </w:r>
      <w:r>
        <w:t xml:space="preserve">tags; Tier 2 inspects contract bytecode (SafeProxy, GnosisSafe, vesting</w:t>
      </w:r>
      <w:r>
        <w:t xml:space="preserve"> </w:t>
      </w:r>
      <w:r>
        <w:t xml:space="preserve">contracts) via Blockscout’s implementation field; Tier 3 applies</w:t>
      </w:r>
      <w:r>
        <w:t xml:space="preserve"> </w:t>
      </w:r>
      <w:r>
        <w:t xml:space="preserve">Etherscan named-address matching. Of 390 addresses classified across 39</w:t>
      </w:r>
      <w:r>
        <w:t xml:space="preserve"> </w:t>
      </w:r>
      <w:r>
        <w:t xml:space="preserve">tokens, 119 (30.5%) are identifiable as insider wallets (team,</w:t>
      </w:r>
      <w:r>
        <w:t xml:space="preserve"> </w:t>
      </w:r>
      <w:r>
        <w:t xml:space="preserve">foundation, or investor multisigs), 67 (17.2%) are exchange addresses,</w:t>
      </w:r>
      <w:r>
        <w:t xml:space="preserve"> </w:t>
      </w:r>
      <w:r>
        <w:t xml:space="preserve">78 (20.0%) are protocol contracts, and 126 (32.3%) remain unclassified.</w:t>
      </w:r>
      <w:r>
        <w:t xml:space="preserve"> </w:t>
      </w:r>
      <w:r>
        <w:t xml:space="preserve">The 78 protocol contracts identified here differ from the 69</w:t>
      </w:r>
      <w:r>
        <w:t xml:space="preserve"> </w:t>
      </w:r>
      <w:r>
        <w:t xml:space="preserve">protocol-controlled addresses excluded from HHI computation. The 78</w:t>
      </w:r>
      <w:r>
        <w:t xml:space="preserve"> </w:t>
      </w:r>
      <w:r>
        <w:t xml:space="preserve">figure counts protocol-contract addresses across the top-10 holders of</w:t>
      </w:r>
      <w:r>
        <w:t xml:space="preserve"> </w:t>
      </w:r>
      <w:r>
        <w:t xml:space="preserve">39 tokens. The 69 figure counts excluded addresses across the top-1,000</w:t>
      </w:r>
      <w:r>
        <w:t xml:space="preserve"> </w:t>
      </w:r>
      <w:r>
        <w:t xml:space="preserve">holders of the 20 protocols where exclusions materially changed HHI. The</w:t>
      </w:r>
      <w:r>
        <w:t xml:space="preserve"> </w:t>
      </w:r>
      <w:r>
        <w:t xml:space="preserve">samples and windows differ; the two numbers are not interchangeable.</w:t>
      </w:r>
    </w:p>
    <w:p>
      <w:pPr>
        <w:pStyle w:val="BodyText"/>
      </w:pPr>
      <w:r>
        <w:t xml:space="preserve">Protocols whose insider wallets retain top-holder positions tend to</w:t>
      </w:r>
      <w:r>
        <w:t xml:space="preserve"> </w:t>
      </w:r>
      <w:r>
        <w:t xml:space="preserve">exhibit higher governance concentration (Spearman rho = 0.48, p = 0.003,</w:t>
      </w:r>
      <w:r>
        <w:t xml:space="preserve"> </w:t>
      </w:r>
      <w:r>
        <w:t xml:space="preserve">N = 37), robust across all 37 leave-one-out iterations (rho range: 0.45</w:t>
      </w:r>
      <w:r>
        <w:t xml:space="preserve"> </w:t>
      </w:r>
      <w:r>
        <w:t xml:space="preserve">to 0.55). However, this association has a mechanical component: insider</w:t>
      </w:r>
      <w:r>
        <w:t xml:space="preserve"> </w:t>
      </w:r>
      <w:r>
        <w:t xml:space="preserve">wallets with large balances contribute directly to HHI through the</w:t>
      </w:r>
      <w:r>
        <w:t xml:space="preserve"> </w:t>
      </w:r>
      <w:r>
        <w:t xml:space="preserve">squared-share calculation. To verify that the relationship is not a</w:t>
      </w:r>
      <w:r>
        <w:t xml:space="preserve"> </w:t>
      </w:r>
      <w:r>
        <w:t xml:space="preserve">tautological artifact, we recomputed concentration after excluding</w:t>
      </w:r>
      <w:r>
        <w:t xml:space="preserve"> </w:t>
      </w:r>
      <w:r>
        <w:t xml:space="preserve">insider addresses and renormalizing remaining shares. The count-based</w:t>
      </w:r>
      <w:r>
        <w:t xml:space="preserve"> </w:t>
      </w:r>
      <w:r>
        <w:t xml:space="preserve">measure survives: non-insider HHI remains significantly correlated with</w:t>
      </w:r>
      <w:r>
        <w:t xml:space="preserve"> </w:t>
      </w:r>
      <w:r>
        <w:t xml:space="preserve">the fraction of top-10 holders that are insiders (Spearman rho = 0.54, p</w:t>
      </w:r>
      <w:r>
        <w:t xml:space="preserve"> </w:t>
      </w:r>
      <w:r>
        <w:t xml:space="preserve">= 0.001, N = 34), indicating that insider-heavy protocols have</w:t>
      </w:r>
      <w:r>
        <w:t xml:space="preserve"> </w:t>
      </w:r>
      <w:r>
        <w:t xml:space="preserve">concentrated governance ecosystems, not merely concentrated insider</w:t>
      </w:r>
      <w:r>
        <w:t xml:space="preserve"> </w:t>
      </w:r>
      <w:r>
        <w:t xml:space="preserve">positions. The balance-based measure loses significance (rho = 0.33, p =</w:t>
      </w:r>
      <w:r>
        <w:t xml:space="preserve"> </w:t>
      </w:r>
      <w:r>
        <w:t xml:space="preserve">0.060), consistent with it capturing the mechanical contribution of</w:t>
      </w:r>
      <w:r>
        <w:t xml:space="preserve"> </w:t>
      </w:r>
      <w:r>
        <w:t xml:space="preserve">large insider stakes rather than a structural relationship. The</w:t>
      </w:r>
      <w:r>
        <w:t xml:space="preserve"> </w:t>
      </w:r>
      <w:r>
        <w:t xml:space="preserve">informative finding is not the insider correlation per se but its</w:t>
      </w:r>
      <w:r>
        <w:t xml:space="preserve"> </w:t>
      </w:r>
      <w:r>
        <w:t xml:space="preserve">contrast with allocation design: what matters is not how tokens were</w:t>
      </w:r>
      <w:r>
        <w:t xml:space="preserve"> </w:t>
      </w:r>
      <w:r>
        <w:t xml:space="preserve">designed to be distributed, but whether the recipients retained or sold</w:t>
      </w:r>
      <w:r>
        <w:t xml:space="preserve"> </w:t>
      </w:r>
      <w:r>
        <w:t xml:space="preserve">their positions.</w:t>
      </w:r>
    </w:p>
    <w:p>
      <w:pPr>
        <w:pStyle w:val="BodyText"/>
      </w:pPr>
      <w:r>
        <w:t xml:space="preserve">The divergence between allocation design (null) and current insider</w:t>
      </w:r>
      <w:r>
        <w:t xml:space="preserve"> </w:t>
      </w:r>
      <w:r>
        <w:t xml:space="preserve">presence (descriptive mechanism) carries a design implication.</w:t>
      </w:r>
      <w:r>
        <w:t xml:space="preserve"> </w:t>
      </w:r>
      <w:r>
        <w:t xml:space="preserve">Governance concentration is not determined at launch; it emerges from</w:t>
      </w:r>
      <w:r>
        <w:t xml:space="preserve"> </w:t>
      </w:r>
      <w:r>
        <w:t xml:space="preserve">post-distribution dynamics. The allocation null (Section 3.4) is also</w:t>
      </w:r>
      <w:r>
        <w:t xml:space="preserve"> </w:t>
      </w:r>
      <w:r>
        <w:t xml:space="preserve">consistent with Michels’ (1911) observation that organizational</w:t>
      </w:r>
      <w:r>
        <w:t xml:space="preserve"> </w:t>
      </w:r>
      <w:r>
        <w:t xml:space="preserve">complexity inevitably concentrates power in a specialized leadership</w:t>
      </w:r>
      <w:r>
        <w:t xml:space="preserve"> </w:t>
      </w:r>
      <w:r>
        <w:t xml:space="preserve">class: early protocols’ commitment to governance minimization, the</w:t>
      </w:r>
      <w:r>
        <w:t xml:space="preserve"> </w:t>
      </w:r>
      <w:r>
        <w:t xml:space="preserve">assumption that minimal on-chain rules would produce emergent</w:t>
      </w:r>
      <w:r>
        <w:t xml:space="preserve"> </w:t>
      </w:r>
      <w:r>
        <w:t xml:space="preserve">decentralization is inconsistent with the concentration patterns the</w:t>
      </w:r>
      <w:r>
        <w:t xml:space="preserve"> </w:t>
      </w:r>
      <w:r>
        <w:t xml:space="preserve">ideology sought to prevent. Protocols whose insiders retain their</w:t>
      </w:r>
      <w:r>
        <w:t xml:space="preserve"> </w:t>
      </w:r>
      <w:r>
        <w:t xml:space="preserve">positions exhibit more concentrated governance outcomes, regardless of</w:t>
      </w:r>
      <w:r>
        <w:t xml:space="preserve"> </w:t>
      </w:r>
      <w:r>
        <w:t xml:space="preserve">how generously the initial allocation was designed. The count-based</w:t>
      </w:r>
      <w:r>
        <w:t xml:space="preserve"> </w:t>
      </w:r>
      <w:r>
        <w:t xml:space="preserve">tautology check (rho = 0.54 on non-insider HHI) suggests this is not</w:t>
      </w:r>
      <w:r>
        <w:t xml:space="preserve"> </w:t>
      </w:r>
      <w:r>
        <w:t xml:space="preserve">merely arithmetic: insider-heavy protocols attract or retain</w:t>
      </w:r>
      <w:r>
        <w:t xml:space="preserve"> </w:t>
      </w:r>
      <w:r>
        <w:t xml:space="preserve">concentrated non-insider holders as well, consistent with a pattern</w:t>
      </w:r>
      <w:r>
        <w:t xml:space="preserve"> </w:t>
      </w:r>
      <w:r>
        <w:t xml:space="preserve">where concentrated insider presence attracts or coexists with</w:t>
      </w:r>
      <w:r>
        <w:t xml:space="preserve"> </w:t>
      </w:r>
      <w:r>
        <w:t xml:space="preserve">concentrated non-insider holders, rather than insider balances alone</w:t>
      </w:r>
      <w:r>
        <w:t xml:space="preserve"> </w:t>
      </w:r>
      <w:r>
        <w:t xml:space="preserve">inflating the metric.</w:t>
      </w:r>
    </w:p>
    <w:p>
      <w:pPr>
        <w:pStyle w:val="BodyText"/>
      </w:pPr>
      <w:r>
        <w:drawing>
          <wp:inline>
            <wp:extent cx="5029200" cy="329409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media/exhibit_initial_allocatio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94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5.</w:t>
      </w:r>
      <w:r>
        <w:rPr>
          <w:i/>
          <w:iCs/>
        </w:rPr>
        <w:t xml:space="preserve"> </w:t>
      </w:r>
      <w:r>
        <w:rPr>
          <w:i/>
          <w:iCs/>
        </w:rPr>
        <w:t xml:space="preserve">Insider allocation (%) vs. corrected holding HHI for 37</w:t>
      </w:r>
      <w:r>
        <w:rPr>
          <w:i/>
          <w:iCs/>
        </w:rPr>
        <w:t xml:space="preserve"> </w:t>
      </w:r>
      <w:r>
        <w:rPr>
          <w:i/>
          <w:iCs/>
        </w:rPr>
        <w:t xml:space="preserve">regression-ready protocols. The null relationship (r = 0.17, p = 0.32)</w:t>
      </w:r>
      <w:r>
        <w:rPr>
          <w:i/>
          <w:iCs/>
        </w:rPr>
        <w:t xml:space="preserve"> </w:t>
      </w:r>
      <w:r>
        <w:rPr>
          <w:i/>
          <w:iCs/>
        </w:rPr>
        <w:t xml:space="preserve">is the paper’s lead finding: initial allocation design does not predict</w:t>
      </w:r>
      <w:r>
        <w:rPr>
          <w:i/>
          <w:iCs/>
        </w:rPr>
        <w:t xml:space="preserve"> </w:t>
      </w:r>
      <w:r>
        <w:rPr>
          <w:i/>
          <w:iCs/>
        </w:rPr>
        <w:t xml:space="preserve">post-distribution governance concentration. Reading the figure: the</w:t>
      </w:r>
      <w:r>
        <w:rPr>
          <w:i/>
          <w:iCs/>
        </w:rPr>
        <w:t xml:space="preserve"> </w:t>
      </w:r>
      <w:r>
        <w:rPr>
          <w:i/>
          <w:iCs/>
        </w:rPr>
        <w:t xml:space="preserve">absence of a downward slope is the finding; if insider allocation drove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concentration we would expect a positive slope, and if exclusion</w:t>
      </w:r>
      <w:r>
        <w:rPr>
          <w:i/>
          <w:iCs/>
        </w:rPr>
        <w:t xml:space="preserve"> </w:t>
      </w:r>
      <w:r>
        <w:rPr>
          <w:i/>
          <w:iCs/>
        </w:rPr>
        <w:t xml:space="preserve">overcorrected we would expect a negative slope.</w:t>
      </w:r>
    </w:p>
    <w:p>
      <w:pPr>
        <w:pStyle w:val="BodyText"/>
      </w:pPr>
      <w:r>
        <w:t xml:space="preserve">Hyperliquid provides the strongest available test of the allocation</w:t>
      </w:r>
      <w:r>
        <w:t xml:space="preserve"> </w:t>
      </w:r>
      <w:r>
        <w:t xml:space="preserve">design hypothesis. The protocol accepted zero venture capital,</w:t>
      </w:r>
      <w:r>
        <w:t xml:space="preserve"> </w:t>
      </w:r>
      <w:r>
        <w:t xml:space="preserve">distributed 31% of total supply via a single community airdrop (the</w:t>
      </w:r>
      <w:r>
        <w:t xml:space="preserve"> </w:t>
      </w:r>
      <w:r>
        <w:t xml:space="preserve">largest in crypto history by dollar value), and operates a deflationary</w:t>
      </w:r>
      <w:r>
        <w:t xml:space="preserve"> </w:t>
      </w:r>
      <w:r>
        <w:t xml:space="preserve">model where 97% of trading fees purchase and burn the native token; it</w:t>
      </w:r>
      <w:r>
        <w:t xml:space="preserve"> </w:t>
      </w:r>
      <w:r>
        <w:t xml:space="preserve">has no ongoing emissions. Five protocol-controlled addresses were</w:t>
      </w:r>
      <w:r>
        <w:t xml:space="preserve"> </w:t>
      </w:r>
      <w:r>
        <w:t xml:space="preserve">excluded from the HHI computation: the Assistance Fund system address</w:t>
      </w:r>
      <w:r>
        <w:t xml:space="preserve"> </w:t>
      </w:r>
      <w:r>
        <w:t xml:space="preserve">(confirmed in Hyperliquid documentation), the burn address, the</w:t>
      </w:r>
      <w:r>
        <w:t xml:space="preserve"> </w:t>
      </w:r>
      <w:r>
        <w:t xml:space="preserve">community rewards treasury (241 million tokens, matching the published</w:t>
      </w:r>
      <w:r>
        <w:t xml:space="preserve"> </w:t>
      </w:r>
      <w:r>
        <w:t xml:space="preserve">allocation), the Foundation treasury (60 million tokens, exactly 6% of</w:t>
      </w:r>
      <w:r>
        <w:t xml:space="preserve"> </w:t>
      </w:r>
      <w:r>
        <w:t xml:space="preserve">total supply), and the staking manager contract (confirmed via</w:t>
      </w:r>
      <w:r>
        <w:t xml:space="preserve"> </w:t>
      </w:r>
      <w:r>
        <w:t xml:space="preserve">Hypurrscan). The resulting HHI of 0.005 is the lowest in the DeFi</w:t>
      </w:r>
      <w:r>
        <w:t xml:space="preserve"> </w:t>
      </w:r>
      <w:r>
        <w:t xml:space="preserve">subsample (Uniswap at 0.010 is the second-lowest after the universal</w:t>
      </w:r>
      <w:r>
        <w:t xml:space="preserve"> </w:t>
      </w:r>
      <w:r>
        <w:t xml:space="preserve">burn-rule exclusion, and Aave at 0.020 the third-lowest). Despite the</w:t>
      </w:r>
      <w:r>
        <w:t xml:space="preserve"> </w:t>
      </w:r>
      <w:r>
        <w:t xml:space="preserve">most community-favorable distribution</w:t>
      </w:r>
      <w:r>
        <w:t xml:space="preserve"> </w:t>
      </w:r>
      <w:r>
        <w:t xml:space="preserve">architecture in the sample, this single observation cannot establish a</w:t>
      </w:r>
      <w:r>
        <w:t xml:space="preserve"> </w:t>
      </w:r>
      <w:r>
        <w:t xml:space="preserve">causal claim on its own. The cross-sectional null (Pearson r = 0.18,</w:t>
      </w:r>
      <w:r>
        <w:t xml:space="preserve"> </w:t>
      </w:r>
      <w:r>
        <w:t xml:space="preserve">p = 0.28, N = 37) shows that protocols across the full range of</w:t>
      </w:r>
      <w:r>
        <w:t xml:space="preserve"> </w:t>
      </w:r>
      <w:r>
        <w:t xml:space="preserve">allocation designs achieve comparable concentration levels, consistent</w:t>
      </w:r>
      <w:r>
        <w:t xml:space="preserve"> </w:t>
      </w:r>
      <w:r>
        <w:t xml:space="preserve">with the finding that allocation design does not predict</w:t>
      </w:r>
      <w:r>
        <w:t xml:space="preserve"> </w:t>
      </w:r>
      <w:r>
        <w:t xml:space="preserve">post-distribution concentration.</w:t>
      </w:r>
    </w:p>
    <w:p>
      <w:pPr>
        <w:pStyle w:val="BodyText"/>
      </w:pPr>
      <w:r>
        <w:t xml:space="preserve">The governance concentration patterns documented across the sample</w:t>
      </w:r>
      <w:r>
        <w:t xml:space="preserve"> </w:t>
      </w:r>
      <w:r>
        <w:t xml:space="preserve">(Section 3.2, Table 4; HHI range 0.004 to 0.199) have normative</w:t>
      </w:r>
      <w:r>
        <w:t xml:space="preserve"> </w:t>
      </w:r>
      <w:r>
        <w:t xml:space="preserve">significance beyond descriptive interest. The theoretical framework</w:t>
      </w:r>
      <w:r>
        <w:t xml:space="preserve"> </w:t>
      </w:r>
      <w:r>
        <w:t xml:space="preserve">(Section 2.9) argues that governance concentration affects legitimacy</w:t>
      </w:r>
      <w:r>
        <w:t xml:space="preserve"> </w:t>
      </w:r>
      <w:r>
        <w:t xml:space="preserve">through multiple channels: publicity (Hypothesis 1) is undermined when a</w:t>
      </w:r>
      <w:r>
        <w:t xml:space="preserve"> </w:t>
      </w:r>
      <w:r>
        <w:t xml:space="preserve">dominant holder can shape governance agendas without meaningful</w:t>
      </w:r>
      <w:r>
        <w:t xml:space="preserve"> </w:t>
      </w:r>
      <w:r>
        <w:t xml:space="preserve">deliberation; the Rawlsian fairness lens similarly flags these</w:t>
      </w:r>
      <w:r>
        <w:t xml:space="preserve"> </w:t>
      </w:r>
      <w:r>
        <w:t xml:space="preserve">protocols: token distribution reflecting initial venture allocation</w:t>
      </w:r>
      <w:r>
        <w:t xml:space="preserve"> </w:t>
      </w:r>
      <w:r>
        <w:t xml:space="preserve">rather than contribution compromises the conditions for fair</w:t>
      </w:r>
      <w:r>
        <w:t xml:space="preserve"> </w:t>
      </w:r>
      <w:r>
        <w:t xml:space="preserve">institutional design. Contestability and non-domination (Hypothesis 2)</w:t>
      </w:r>
      <w:r>
        <w:t xml:space="preserve"> </w:t>
      </w:r>
      <w:r>
        <w:t xml:space="preserve">are directly threatened when minority stakeholders lack practical</w:t>
      </w:r>
      <w:r>
        <w:t xml:space="preserve"> </w:t>
      </w:r>
      <w:r>
        <w:t xml:space="preserve">ability to contest decisions.</w:t>
      </w:r>
      <w:r>
        <w:br/>
      </w:r>
      <w:r>
        <w:t xml:space="preserve">The normative framework interprets this DePIN concentration gap as a</w:t>
      </w:r>
      <w:r>
        <w:t xml:space="preserve"> </w:t>
      </w:r>
      <w:r>
        <w:t xml:space="preserve">legitimacy concern: if governance tokens are concentrated, the</w:t>
      </w:r>
      <w:r>
        <w:t xml:space="preserve"> </w:t>
      </w:r>
      <w:r>
        <w:t xml:space="preserve">conditions that the five traditions identify as essential for legitimacy</w:t>
      </w:r>
      <w:r>
        <w:t xml:space="preserve"> </w:t>
      </w:r>
      <w:r>
        <w:t xml:space="preserve">are structurally harder to satisfy. This interpretation is normative,</w:t>
      </w:r>
      <w:r>
        <w:t xml:space="preserve"> </w:t>
      </w:r>
      <w:r>
        <w:t xml:space="preserve">not causal; the concentration data are descriptive, and the legitimacy</w:t>
      </w:r>
      <w:r>
        <w:t xml:space="preserve"> </w:t>
      </w:r>
      <w:r>
        <w:t xml:space="preserve">inference follows from the framework rather than from direct observation</w:t>
      </w:r>
      <w:r>
        <w:t xml:space="preserve"> </w:t>
      </w:r>
      <w:r>
        <w:t xml:space="preserve">of governance quality. Testing that prediction requires the longitudinal</w:t>
      </w:r>
      <w:r>
        <w:t xml:space="preserve"> </w:t>
      </w:r>
      <w:r>
        <w:t xml:space="preserve">evidence beyond the scope of this paper.</w:t>
      </w:r>
    </w:p>
    <w:p>
      <w:pPr>
        <w:pStyle w:val="BodyText"/>
      </w:pPr>
      <w:r>
        <w:t xml:space="preserve">The null pattern extends beyond allocation to financial sustainability</w:t>
      </w:r>
      <w:r>
        <w:t xml:space="preserve"> </w:t>
      </w:r>
      <w:r>
        <w:t xml:space="preserve">more broadly. Three protocols with nearly identical subsidy ratios (DIMO</w:t>
      </w:r>
      <w:r>
        <w:t xml:space="preserve"> </w:t>
      </w:r>
      <w:r>
        <w:t xml:space="preserve">at 0.33x, Aethir at 0.36x, Aave at 0.37x) exhibit governance HHI values</w:t>
      </w:r>
      <w:r>
        <w:t xml:space="preserve"> </w:t>
      </w:r>
      <w:r>
        <w:t xml:space="preserve">of 0.038, 0.153, and 0.020 respectively. All three are revenue-dominant;</w:t>
      </w:r>
      <w:r>
        <w:t xml:space="preserve"> </w:t>
      </w:r>
      <w:r>
        <w:t xml:space="preserve">their concentration spans the full range of the 40-protocol sample.</w:t>
      </w:r>
      <w:r>
        <w:t xml:space="preserve"> </w:t>
      </w:r>
      <w:r>
        <w:t xml:space="preserve">Financial sustainability is neither necessary nor sufficient for</w:t>
      </w:r>
      <w:r>
        <w:t xml:space="preserve"> </w:t>
      </w:r>
      <w:r>
        <w:t xml:space="preserve">governance decentralization.</w:t>
      </w:r>
    </w:p>
    <w:p>
      <w:pPr>
        <w:pStyle w:val="BodyText"/>
      </w:pPr>
      <w:r>
        <w:t xml:space="preserve">Table 6 reports multivariate OLS regressions of HHI on protocol</w:t>
      </w:r>
      <w:r>
        <w:t xml:space="preserve"> </w:t>
      </w:r>
      <w:r>
        <w:t xml:space="preserve">characteristics. The DePIN coefficient is positive and statistically</w:t>
      </w:r>
      <w:r>
        <w:t xml:space="preserve"> </w:t>
      </w:r>
      <w:r>
        <w:t xml:space="preserve">significant in Models 1 and 2 (Model 1: 0.048, p = 0.012, N = 38; Model</w:t>
      </w:r>
      <w:r>
        <w:t xml:space="preserve"> </w:t>
      </w:r>
      <w:r>
        <w:t xml:space="preserve">2: 0.050, p = 0.027, N = 36) and borderline significant in Model 3</w:t>
      </w:r>
      <w:r>
        <w:t xml:space="preserve"> </w:t>
      </w:r>
      <w:r>
        <w:t xml:space="preserve">(0.048, p = 0.050, N = 35). No other covariate achieves p &lt; 0.10. In</w:t>
      </w:r>
      <w:r>
        <w:t xml:space="preserve"> </w:t>
      </w:r>
      <w:r>
        <w:t xml:space="preserve">particular, the initial insider allocation percentage used as a Table 6</w:t>
      </w:r>
      <w:r>
        <w:t xml:space="preserve"> </w:t>
      </w:r>
      <w:r>
        <w:t xml:space="preserve">covariate is not significant, consistent with the bivariate null in</w:t>
      </w:r>
      <w:r>
        <w:t xml:space="preserve"> </w:t>
      </w:r>
      <w:r>
        <w:t xml:space="preserve">Table 5. This is distinct from the current insider-retention measure</w:t>
      </w:r>
      <w:r>
        <w:t xml:space="preserve"> </w:t>
      </w:r>
      <w:r>
        <w:t xml:space="preserve">reported in Section 3.4 (Spearman rho = 0.48), which counts how many of</w:t>
      </w:r>
      <w:r>
        <w:t xml:space="preserve"> </w:t>
      </w:r>
      <w:r>
        <w:t xml:space="preserve">a protocol's top-10 holders are insiders rather than measuring the</w:t>
      </w:r>
      <w:r>
        <w:t xml:space="preserve"> </w:t>
      </w:r>
      <w:r>
        <w:t xml:space="preserve">share of supply allocated to insiders at launch. The adjusted R-squared</w:t>
      </w:r>
      <w:r>
        <w:t xml:space="preserve"> </w:t>
      </w:r>
      <w:r>
        <w:t xml:space="preserve">ranges from 0.14 to 0.17, indicating that sector membership accounts for</w:t>
      </w:r>
      <w:r>
        <w:t xml:space="preserve"> </w:t>
      </w:r>
      <w:r>
        <w:t xml:space="preserve">more cross-sectional variation than protocol age, valuation, or</w:t>
      </w:r>
      <w:r>
        <w:t xml:space="preserve"> </w:t>
      </w:r>
      <w:r>
        <w:t xml:space="preserve">allocation structure. The sample (N = 35 to 38 depending on</w:t>
      </w:r>
      <w:r>
        <w:t xml:space="preserve"> </w:t>
      </w:r>
      <w:r>
        <w:t xml:space="preserve">specification) remains too small to reliably isolate independent</w:t>
      </w:r>
      <w:r>
        <w:t xml:space="preserve"> </w:t>
      </w:r>
      <w:r>
        <w:t xml:space="preserve">effects; the pipeline specification (</w:t>
      </w:r>
      <w:hyperlink r:id="rId75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S5</w:t>
        </w:r>
      </w:hyperlink>
      <w:r>
        <w:t xml:space="preserve">)</w:t>
      </w:r>
      <w:r>
        <w:t xml:space="preserve"> </w:t>
      </w:r>
      <w:r>
        <w:t xml:space="preserve">documents the infrastructure for replication at larger sample sizes.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709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DePIN (vs DeFi)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L1/L2/Infra (vs DeFi)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(vs DeFi)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age (years)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FDV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insider</w:t>
            </w:r>
            <w:r>
              <w:t xml:space="preserve"> </w:t>
            </w:r>
            <w:r>
              <w:t xml:space="preserve">allocation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Adjusted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Table 6.</w:t>
      </w:r>
      <w:r>
        <w:rPr>
          <w:i/>
          <w:iCs/>
        </w:rPr>
        <w:t xml:space="preserve"> </w:t>
      </w:r>
      <w:r>
        <w:rPr>
          <w:i/>
          <w:iCs/>
        </w:rPr>
        <w:t xml:space="preserve">OLS regression of HHI on protocol characteristics. Model 1</w:t>
      </w:r>
      <w:r>
        <w:rPr>
          <w:i/>
          <w:iCs/>
        </w:rPr>
        <w:t xml:space="preserve"> </w:t>
      </w:r>
      <w:r>
        <w:rPr>
          <w:i/>
          <w:iCs/>
        </w:rPr>
        <w:t xml:space="preserve">includes sector dummies only (DePIN, L1/L2/Infra, Social; DeFi omitted).</w:t>
      </w:r>
      <w:r>
        <w:rPr>
          <w:i/>
          <w:iCs/>
        </w:rPr>
        <w:t xml:space="preserve"> </w:t>
      </w:r>
      <w:r>
        <w:rPr>
          <w:i/>
          <w:iCs/>
        </w:rPr>
        <w:t xml:space="preserve">Model 2 adds protocol age (years since token genesis) and log FDV (log</w:t>
      </w:r>
      <w:r>
        <w:rPr>
          <w:i/>
          <w:iCs/>
        </w:rPr>
        <w:t xml:space="preserve"> </w:t>
      </w:r>
      <w:r>
        <w:rPr>
          <w:i/>
          <w:iCs/>
        </w:rPr>
        <w:t xml:space="preserve">fully diluted valuation). Model 3 adds the initial insider allocation</w:t>
      </w:r>
      <w:r>
        <w:rPr>
          <w:i/>
          <w:iCs/>
        </w:rPr>
        <w:t xml:space="preserve"> </w:t>
      </w:r>
      <w:r>
        <w:rPr>
          <w:i/>
          <w:iCs/>
        </w:rPr>
        <w:t xml:space="preserve">percentage (team plus investor share at launch). Successive models lose</w:t>
      </w:r>
      <w:r>
        <w:rPr>
          <w:i/>
          <w:iCs/>
        </w:rPr>
        <w:t xml:space="preserve"> </w:t>
      </w:r>
      <w:r>
        <w:rPr>
          <w:i/>
          <w:iCs/>
        </w:rPr>
        <w:t xml:space="preserve">observations as covariate availability declines (N = 38 to 36 to 35).</w:t>
      </w:r>
      <w:r>
        <w:rPr>
          <w:i/>
          <w:iCs/>
        </w:rPr>
        <w:t xml:space="preserve"> </w:t>
      </w:r>
      <w:r>
        <w:rPr>
          <w:i/>
          <w:iCs/>
        </w:rPr>
        <w:t xml:space="preserve">Robust standard errors (HC3) in parentheses. * p &lt; 0.10, ** p &lt;</w:t>
      </w:r>
      <w:r>
        <w:rPr>
          <w:i/>
          <w:iCs/>
        </w:rPr>
        <w:t xml:space="preserve"> </w:t>
      </w:r>
      <w:r>
        <w:rPr>
          <w:i/>
          <w:iCs/>
        </w:rPr>
        <w:t xml:space="preserve">0.05, *** p &lt; 0.01.</w:t>
      </w:r>
    </w:p>
    <w:bookmarkEnd w:id="91"/>
    <w:bookmarkStart w:id="98" w:name="voting-power-vs-holding-concentration"/>
    <w:p>
      <w:pPr>
        <w:pStyle w:val="Heading2"/>
      </w:pPr>
      <w:r>
        <w:t xml:space="preserve">3.5 Voting Power vs Holding Concentration</w:t>
      </w:r>
    </w:p>
    <w:p>
      <w:pPr>
        <w:pStyle w:val="FirstParagraph"/>
      </w:pPr>
      <w:r>
        <w:t xml:space="preserve">Delegation amplifies DePIN governance concentration 3 to 6 times above</w:t>
      </w:r>
      <w:r>
        <w:t xml:space="preserve"> </w:t>
      </w:r>
      <w:r>
        <w:t xml:space="preserve">holding levels, while the two infrastructure protocols sampled show</w:t>
      </w:r>
      <w:r>
        <w:t xml:space="preserve"> </w:t>
      </w:r>
      <w:r>
        <w:t xml:space="preserve">opposite patterns (Table 7), with one protocol’s delegation marginally</w:t>
      </w:r>
      <w:r>
        <w:t xml:space="preserve"> </w:t>
      </w:r>
      <w:r>
        <w:t xml:space="preserve">distributing voting power and the other’s substantially concentrating</w:t>
      </w:r>
      <w:r>
        <w:t xml:space="preserve"> </w:t>
      </w:r>
      <w:r>
        <w:t xml:space="preserve">it. The holding-based HHI reported in Table 4 measures token</w:t>
      </w:r>
      <w:r>
        <w:t xml:space="preserve"> </w:t>
      </w:r>
      <w:r>
        <w:t xml:space="preserve">distribution, not governance power. For protocols with delegation, a</w:t>
      </w:r>
      <w:r>
        <w:t xml:space="preserve"> </w:t>
      </w:r>
      <w:r>
        <w:t xml:space="preserve">small number of delegates may control voting power far exceeding their</w:t>
      </w:r>
      <w:r>
        <w:t xml:space="preserve"> </w:t>
      </w:r>
      <w:r>
        <w:t xml:space="preserve">personal holdings. The delegate-principal structure is a classical</w:t>
      </w:r>
      <w:r>
        <w:t xml:space="preserve"> </w:t>
      </w:r>
      <w:r>
        <w:t xml:space="preserve">principal-agent problem (Holmstrom, 1979): token-holders (principals)</w:t>
      </w:r>
      <w:r>
        <w:t xml:space="preserve"> </w:t>
      </w:r>
      <w:r>
        <w:t xml:space="preserve">delegate voting authority to delegates (agents), creating an</w:t>
      </w:r>
      <w:r>
        <w:t xml:space="preserve"> </w:t>
      </w:r>
      <w:r>
        <w:t xml:space="preserve">accountability gap when delegate incentives diverge from</w:t>
      </w:r>
      <w:r>
        <w:t xml:space="preserve"> </w:t>
      </w:r>
      <w:r>
        <w:t xml:space="preserve">median-holder preferences and the cost of monitoring delegate behavior</w:t>
      </w:r>
      <w:r>
        <w:t xml:space="preserve"> </w:t>
      </w:r>
      <w:r>
        <w:t xml:space="preserve">is high relative to individual holder stakes. The empirical analysis</w:t>
      </w:r>
      <w:r>
        <w:t xml:space="preserve"> </w:t>
      </w:r>
      <w:r>
        <w:t xml:space="preserve">below quantifies the magnitude of voting-power concentration that</w:t>
      </w:r>
      <w:r>
        <w:t xml:space="preserve"> </w:t>
      </w:r>
      <w:r>
        <w:t xml:space="preserve">delegation produces; the principal-agent framing supplies the</w:t>
      </w:r>
      <w:r>
        <w:t xml:space="preserve"> </w:t>
      </w:r>
      <w:r>
        <w:t xml:space="preserve">theoretical justification for why this concentration matters for</w:t>
      </w:r>
      <w:r>
        <w:t xml:space="preserve"> </w:t>
      </w:r>
      <w:r>
        <w:t xml:space="preserve">governance legitimacy. To quantify this gap, we collected delegated voting</w:t>
      </w:r>
      <w:r>
        <w:t xml:space="preserve"> </w:t>
      </w:r>
      <w:r>
        <w:t xml:space="preserve">power from Tally (on-chain governance: Compound, Aave, Uniswap,</w:t>
      </w:r>
      <w:r>
        <w:t xml:space="preserve"> </w:t>
      </w:r>
      <w:r>
        <w:t xml:space="preserve">Optimism, Arbitrum) and Snapshot (off-chain governance: DIMO, WeatherXM,</w:t>
      </w:r>
      <w:r>
        <w:t xml:space="preserve"> </w:t>
      </w:r>
      <w:r>
        <w:t xml:space="preserve">Lido), with Tally additions for GMX and ENS in the Tier B1 expansion,</w:t>
      </w:r>
      <w:r>
        <w:t xml:space="preserve"> </w:t>
      </w:r>
      <w:r>
        <w:t xml:space="preserve">yielding 10 protocols with sufficient governance activity in the 12</w:t>
      </w:r>
      <w:r>
        <w:t xml:space="preserve"> </w:t>
      </w:r>
      <w:r>
        <w:t xml:space="preserve">months preceding the snapshot.</w:t>
      </w:r>
    </w:p>
    <w:p>
      <w:pPr>
        <w:pStyle w:val="BodyText"/>
      </w:pPr>
      <w:r>
        <w:t xml:space="preserve">Table 7 reports the holding-voting HHI gap. Delegation concentrates</w:t>
      </w:r>
      <w:r>
        <w:t xml:space="preserve"> </w:t>
      </w:r>
      <w:r>
        <w:t xml:space="preserve">voting power above the level measured from token holdings in nine of</w:t>
      </w:r>
      <w:r>
        <w:t xml:space="preserve"> </w:t>
      </w:r>
      <w:r>
        <w:t xml:space="preserve">the ten protocols sampled (ENS is the structural exception at 0.21x),</w:t>
      </w:r>
      <w:r>
        <w:t xml:space="preserve"> </w:t>
      </w:r>
      <w:r>
        <w:t xml:space="preserve">with amplification ratios ranging from 1.4x (GMX) to 6.0x (DIMO). The</w:t>
      </w:r>
      <w:r>
        <w:t xml:space="preserve"> </w:t>
      </w:r>
      <w:r>
        <w:t xml:space="preserve">amplification range within DeFi spans 1.9x (Compound) to 3.8x (Aave);</w:t>
      </w:r>
      <w:r>
        <w:t xml:space="preserve"> </w:t>
      </w:r>
      <w:r>
        <w:t xml:space="preserve">DePIN spans 2.3x (Lido, also classified DeFi by some taxonomies) to</w:t>
      </w:r>
      <w:r>
        <w:t xml:space="preserve"> </w:t>
      </w:r>
      <w:r>
        <w:t xml:space="preserve">6.0x (DIMO); infrastructure spans 3.7x (Optimism) to 4.3x (Arbitrum).</w:t>
      </w:r>
      <w:r>
        <w:t xml:space="preserve"> </w:t>
      </w:r>
      <w:r>
        <w:t xml:space="preserve">Sector membership does not predict how strongly delegation concentrates</w:t>
      </w:r>
      <w:r>
        <w:t xml:space="preserve"> </w:t>
      </w:r>
      <w:r>
        <w:t xml:space="preserve">power. Institutional design within each delegate program does. DIMO’s</w:t>
      </w:r>
      <w:r>
        <w:t xml:space="preserve"> </w:t>
      </w:r>
      <w:r>
        <w:t xml:space="preserve">voting HHI (0.228) is 6.0 times its holding HHI (0.038), though this</w:t>
      </w:r>
      <w:r>
        <w:t xml:space="preserve"> </w:t>
      </w:r>
      <w:r>
        <w:t xml:space="preserve">ratio is based on only 10 Snapshot voters and should be interpreted</w:t>
      </w:r>
      <w:r>
        <w:t xml:space="preserve"> </w:t>
      </w:r>
      <w:r>
        <w:t xml:space="preserve">with caution, and WeatherXM’s (0.486) is 3.3 times its holding HHI</w:t>
      </w:r>
      <w:r>
        <w:t xml:space="preserve"> </w:t>
      </w:r>
      <w:r>
        <w:t xml:space="preserve">(0.148). A small number of delegates, likely foundation-affiliated or</w:t>
      </w:r>
      <w:r>
        <w:t xml:space="preserve"> </w:t>
      </w:r>
      <w:r>
        <w:t xml:space="preserve">early-investor wallets, control governance outcomes despite relatively</w:t>
      </w:r>
      <w:r>
        <w:t xml:space="preserve"> </w:t>
      </w:r>
      <w:r>
        <w:t xml:space="preserve">distributed token holdings.</w:t>
      </w:r>
    </w:p>
    <w:p>
      <w:pPr>
        <w:pStyle w:val="BodyText"/>
      </w:pPr>
      <w:r>
        <w:drawing>
          <wp:inline>
            <wp:extent cx="5029200" cy="3275319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media/exhibit_delegation_adjusted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7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6.</w:t>
      </w:r>
      <w:r>
        <w:rPr>
          <w:i/>
          <w:iCs/>
        </w:rPr>
        <w:t xml:space="preserve"> </w:t>
      </w:r>
      <w:r>
        <w:rPr>
          <w:i/>
          <w:iCs/>
        </w:rPr>
        <w:t xml:space="preserve">Raw holding HHI vs. delegation-adjusted HHI for five</w:t>
      </w:r>
      <w:r>
        <w:rPr>
          <w:i/>
          <w:iCs/>
        </w:rPr>
        <w:t xml:space="preserve"> </w:t>
      </w:r>
      <w:r>
        <w:rPr>
          <w:i/>
          <w:iCs/>
        </w:rPr>
        <w:t xml:space="preserve">Tally-sourced protocols. Reading the figure: protocols above the</w:t>
      </w:r>
      <w:r>
        <w:rPr>
          <w:i/>
          <w:iCs/>
        </w:rPr>
        <w:t xml:space="preserve"> </w:t>
      </w:r>
      <w:r>
        <w:rPr>
          <w:i/>
          <w:iCs/>
        </w:rPr>
        <w:t xml:space="preserve">diagonal have voting more concentrated than holding (delegation</w:t>
      </w:r>
      <w:r>
        <w:rPr>
          <w:i/>
          <w:iCs/>
        </w:rPr>
        <w:t xml:space="preserve"> </w:t>
      </w:r>
      <w:r>
        <w:rPr>
          <w:i/>
          <w:iCs/>
        </w:rPr>
        <w:t xml:space="preserve">amplifies); protocols below the diagonal have voting less concentrated</w:t>
      </w:r>
      <w:r>
        <w:rPr>
          <w:i/>
          <w:iCs/>
        </w:rPr>
        <w:t xml:space="preserve"> </w:t>
      </w:r>
      <w:r>
        <w:rPr>
          <w:i/>
          <w:iCs/>
        </w:rPr>
        <w:t xml:space="preserve">than holding (delegation distributes).</w:t>
      </w:r>
    </w:p>
    <w:p>
      <w:pPr>
        <w:pStyle w:val="BodyText"/>
      </w:pPr>
      <w:r>
        <w:t xml:space="preserve">All four DeFi protocols sampled show delegation amplification, ranging</w:t>
      </w:r>
      <w:r>
        <w:t xml:space="preserve"> </w:t>
      </w:r>
      <w:r>
        <w:t xml:space="preserve">from Compound (1.9x), Lido (2.3x), and Uniswap (2.7x) at the lower end</w:t>
      </w:r>
      <w:r>
        <w:t xml:space="preserve"> </w:t>
      </w:r>
      <w:r>
        <w:t xml:space="preserve">to Aave (3.8x) at the higher end. The Uniswap result is worth</w:t>
      </w:r>
      <w:r>
        <w:t xml:space="preserve"> </w:t>
      </w:r>
      <w:r>
        <w:t xml:space="preserve">examining in detail. Earlier analyses, using a holding HHI of 0.032,</w:t>
      </w:r>
      <w:r>
        <w:t xml:space="preserve"> </w:t>
      </w:r>
      <w:r>
        <w:t xml:space="preserve">produced a voting/holding ratio of 0.84x and were cited as evidence</w:t>
      </w:r>
      <w:r>
        <w:t xml:space="preserve"> </w:t>
      </w:r>
      <w:r>
        <w:t xml:space="preserve">that Uniswap’s mature delegate ecosystem can disperse governance power.</w:t>
      </w:r>
      <w:r>
        <w:t xml:space="preserve"> </w:t>
      </w:r>
      <w:r>
        <w:t xml:space="preserve">That earlier HHI included the canonical UNI burn address</w:t>
      </w:r>
      <w:r>
        <w:t xml:space="preserve"> </w:t>
      </w:r>
      <w:r>
        <w:t xml:space="preserve">(0x000…000dead), which holds 102.5 million UNI (11.3 percent of</w:t>
      </w:r>
      <w:r>
        <w:t xml:space="preserve"> </w:t>
      </w:r>
      <w:r>
        <w:t xml:space="preserve">supply) inert and cannot participate in governance under any condition:</w:t>
      </w:r>
      <w:r>
        <w:t xml:space="preserve"> </w:t>
      </w:r>
      <w:r>
        <w:t xml:space="preserve">it has no delegate, no votes, and no path to ever cast one. After</w:t>
      </w:r>
      <w:r>
        <w:t xml:space="preserve"> </w:t>
      </w:r>
      <w:r>
        <w:t xml:space="preserve">excluding this burn address, the corrected holding HHI is 0.010, and</w:t>
      </w:r>
      <w:r>
        <w:t xml:space="preserve"> </w:t>
      </w:r>
      <w:r>
        <w:t xml:space="preserve">the voting/holding ratio is 2.7x. Uniswap’s delegate program</w:t>
      </w:r>
      <w:r>
        <w:t xml:space="preserve"> </w:t>
      </w:r>
      <w:r>
        <w:t xml:space="preserve">concentrates voting power above its correctly-measured holding</w:t>
      </w:r>
      <w:r>
        <w:t xml:space="preserve"> </w:t>
      </w:r>
      <w:r>
        <w:t xml:space="preserve">baseline, in line with every other protocol sampled. The pre-correction</w:t>
      </w:r>
      <w:r>
        <w:t xml:space="preserve"> </w:t>
      </w:r>
      <w:r>
        <w:t xml:space="preserve">result was driven by including a wallet that structurally cannot vote</w:t>
      </w:r>
      <w:r>
        <w:t xml:space="preserve"> </w:t>
      </w:r>
      <w:r>
        <w:t xml:space="preserve">in the holding denominator.</w:t>
      </w:r>
    </w:p>
    <w:p>
      <w:pPr>
        <w:pStyle w:val="BodyText"/>
      </w:pPr>
      <w:r>
        <w:t xml:space="preserve">Both infrastructure protocols sampled show delegation amplification</w:t>
      </w:r>
      <w:r>
        <w:t xml:space="preserve"> </w:t>
      </w:r>
      <w:r>
        <w:t xml:space="preserve">when holding HHIs are computed with the same exclusions applied to</w:t>
      </w:r>
      <w:r>
        <w:t xml:space="preserve"> </w:t>
      </w:r>
      <w:r>
        <w:t xml:space="preserve">Table 4. Optimism’s voting HHI (0.033) is 3.7 times its corrected</w:t>
      </w:r>
      <w:r>
        <w:t xml:space="preserve"> </w:t>
      </w:r>
      <w:r>
        <w:t xml:space="preserve">holding HHI (0.009). Arbitrum’s voting HHI (0.052) is 4.3 times its</w:t>
      </w:r>
      <w:r>
        <w:t xml:space="preserve"> </w:t>
      </w:r>
      <w:r>
        <w:t xml:space="preserve">holding HHI (0.012). Both protocols have invested in delegate-program</w:t>
      </w:r>
      <w:r>
        <w:t xml:space="preserve"> </w:t>
      </w:r>
      <w:r>
        <w:t xml:space="preserve">infrastructure (published delegate platforms, recurring delegate</w:t>
      </w:r>
      <w:r>
        <w:t xml:space="preserve"> </w:t>
      </w:r>
      <w:r>
        <w:t xml:space="preserve">compensation, active recruitment of long-form policy positions), and</w:t>
      </w:r>
      <w:r>
        <w:t xml:space="preserve"> </w:t>
      </w:r>
      <w:r>
        <w:t xml:space="preserve">both produce amplification ratios in the 3.7x to 4.3x range, which</w:t>
      </w:r>
      <w:r>
        <w:t xml:space="preserve"> </w:t>
      </w:r>
      <w:r>
        <w:t xml:space="preserve">brackets the cross-protocol mean (3.3x). Delegate-program investment</w:t>
      </w:r>
      <w:r>
        <w:t xml:space="preserve"> </w:t>
      </w:r>
      <w:r>
        <w:t xml:space="preserve">does not differentiate the two protocols on amplification magnitude.</w:t>
      </w:r>
      <w:r>
        <w:t xml:space="preserve"> </w:t>
      </w:r>
      <w:r>
        <w:t xml:space="preserve">The institutional layers built around the delegate programs differ</w:t>
      </w:r>
      <w:r>
        <w:t xml:space="preserve"> </w:t>
      </w:r>
      <w:r>
        <w:t xml:space="preserve">substantially and may differentiate outcomes that HHI cannot capture,</w:t>
      </w:r>
      <w:r>
        <w:t xml:space="preserve"> </w:t>
      </w:r>
      <w:r>
        <w:t xml:space="preserve">as discussed in the next paragraph.</w:t>
      </w:r>
    </w:p>
    <w:p>
      <w:pPr>
        <w:pStyle w:val="BodyText"/>
      </w:pPr>
      <w:r>
        <w:t xml:space="preserve">Optimism’s Token House shows 3.7x delegation amplification, in line</w:t>
      </w:r>
      <w:r>
        <w:t xml:space="preserve"> </w:t>
      </w:r>
      <w:r>
        <w:t xml:space="preserve">with the cross-protocol pattern. The Citizens’ House moderates</w:t>
      </w:r>
      <w:r>
        <w:t xml:space="preserve"> </w:t>
      </w:r>
      <w:r>
        <w:t xml:space="preserve">Optimism’s governance in practice, though it does not enter the</w:t>
      </w:r>
      <w:r>
        <w:t xml:space="preserve"> </w:t>
      </w:r>
      <w:r>
        <w:t xml:space="preserve">token-weighted HHI calculation. The Citizens’ House is a separate</w:t>
      </w:r>
      <w:r>
        <w:t xml:space="preserve"> </w:t>
      </w:r>
      <w:r>
        <w:t xml:space="preserve">governance body weighted by reputation rather than tokens, with formal</w:t>
      </w:r>
      <w:r>
        <w:t xml:space="preserve"> </w:t>
      </w:r>
      <w:r>
        <w:t xml:space="preserve">veto power over economic parameters proposed by the Token House and a</w:t>
      </w:r>
      <w:r>
        <w:t xml:space="preserve"> </w:t>
      </w:r>
      <w:r>
        <w:t xml:space="preserve">veto threshold that lowers when multiple stakeholder groups align</w:t>
      </w:r>
      <w:r>
        <w:t xml:space="preserve"> </w:t>
      </w:r>
      <w:r>
        <w:t xml:space="preserve">(Optimism, 2024). Because reputation weights are not token weights, the</w:t>
      </w:r>
      <w:r>
        <w:t xml:space="preserve"> </w:t>
      </w:r>
      <w:r>
        <w:t xml:space="preserve">Citizens’ House provides accountability that the amplification ratio</w:t>
      </w:r>
      <w:r>
        <w:t xml:space="preserve"> </w:t>
      </w:r>
      <w:r>
        <w:t xml:space="preserve">alone cannot capture.</w:t>
      </w:r>
    </w:p>
    <w:p>
      <w:pPr>
        <w:pStyle w:val="BodyText"/>
      </w:pPr>
      <w:r>
        <w:t xml:space="preserve">Lido’s 2.3x amplification, although mid-range rather than headline,</w:t>
      </w:r>
      <w:r>
        <w:t xml:space="preserve"> </w:t>
      </w:r>
      <w:r>
        <w:t xml:space="preserve">catalyzed a parallel institutional response. The</w:t>
      </w:r>
      <w:r>
        <w:t xml:space="preserve"> </w:t>
      </w:r>
      <w:r>
        <w:t xml:space="preserve">“Dual Governance”</w:t>
      </w:r>
      <w:r>
        <w:t xml:space="preserve"> </w:t>
      </w:r>
      <w:r>
        <w:t xml:space="preserve">redesign grants stETH holders formal veto power over LDO governance</w:t>
      </w:r>
      <w:r>
        <w:t xml:space="preserve"> </w:t>
      </w:r>
      <w:r>
        <w:t xml:space="preserve">proposals, with a programmatic</w:t>
      </w:r>
      <w:r>
        <w:t xml:space="preserve"> </w:t>
      </w:r>
      <w:r>
        <w:t xml:space="preserve">“rage quit”</w:t>
      </w:r>
      <w:r>
        <w:t xml:space="preserve"> </w:t>
      </w:r>
      <w:r>
        <w:t xml:space="preserve">exit mechanism as the</w:t>
      </w:r>
      <w:r>
        <w:t xml:space="preserve"> </w:t>
      </w:r>
      <w:r>
        <w:t xml:space="preserve">ultimate accountability lever. The reform precedes the holding-HHI</w:t>
      </w:r>
      <w:r>
        <w:t xml:space="preserve"> </w:t>
      </w:r>
      <w:r>
        <w:t xml:space="preserve">recomputation reported here and was justified at the time by the</w:t>
      </w:r>
      <w:r>
        <w:t xml:space="preserve"> </w:t>
      </w:r>
      <w:r>
        <w:t xml:space="preserve">larger amplification ratio measured from a curated active-governance</w:t>
      </w:r>
      <w:r>
        <w:t xml:space="preserve"> </w:t>
      </w:r>
      <w:r>
        <w:t xml:space="preserve">holder subset (N = 189; minimum balance threshold approximately 414K</w:t>
      </w:r>
      <w:r>
        <w:t xml:space="preserve"> </w:t>
      </w:r>
      <w:r>
        <w:t xml:space="preserve">LDO); under the universal top-1000 holder methodology applied in this</w:t>
      </w:r>
      <w:r>
        <w:t xml:space="preserve"> </w:t>
      </w:r>
      <w:r>
        <w:t xml:space="preserve">manuscript (N = 994), Lido’s amplification is more moderate, but the</w:t>
      </w:r>
      <w:r>
        <w:t xml:space="preserve"> </w:t>
      </w:r>
      <w:r>
        <w:t xml:space="preserve">direction (concentration above stake) holds.</w:t>
      </w:r>
    </w:p>
    <w:p>
      <w:pPr>
        <w:pStyle w:val="BodyText"/>
      </w:pPr>
      <w:r>
        <w:t xml:space="preserve">Both responses share the same shape. Token-weighted delegation</w:t>
      </w:r>
      <w:r>
        <w:t xml:space="preserve"> </w:t>
      </w:r>
      <w:r>
        <w:t xml:space="preserve">concentrates voting power above stake holdings across the sample, and</w:t>
      </w:r>
      <w:r>
        <w:t xml:space="preserve"> </w:t>
      </w:r>
      <w:r>
        <w:t xml:space="preserve">the institutional reforms operate by adding an accountability layer</w:t>
      </w:r>
      <w:r>
        <w:t xml:space="preserve"> </w:t>
      </w:r>
      <w:r>
        <w:t xml:space="preserve">outside the token-weighted system rather than redesigning the</w:t>
      </w:r>
      <w:r>
        <w:t xml:space="preserve"> </w:t>
      </w:r>
      <w:r>
        <w:t xml:space="preserve">delegation mechanism itself. Both protocols with named accountability</w:t>
      </w:r>
      <w:r>
        <w:t xml:space="preserve"> </w:t>
      </w:r>
      <w:r>
        <w:t xml:space="preserve">reforms (Optimism, Lido) are protocols where token-weighted delegation</w:t>
      </w:r>
      <w:r>
        <w:t xml:space="preserve"> </w:t>
      </w:r>
      <w:r>
        <w:t xml:space="preserve">shows positive amplification, consistent with reading these reforms as</w:t>
      </w:r>
      <w:r>
        <w:t xml:space="preserve"> </w:t>
      </w:r>
      <w:r>
        <w:t xml:space="preserve">responses to the universal-amplification pattern that this section</w:t>
      </w:r>
      <w:r>
        <w:t xml:space="preserve"> </w:t>
      </w:r>
      <w:r>
        <w:t xml:space="preserve">documents.</w:t>
      </w:r>
    </w:p>
    <w:p>
      <w:pPr>
        <w:pStyle w:val="BodyText"/>
      </w:pPr>
      <w:r>
        <w:t xml:space="preserve">The delegation-adjusted analysis reported in this section extends</w:t>
      </w:r>
      <w:r>
        <w:t xml:space="preserve"> </w:t>
      </w:r>
      <w:r>
        <w:t xml:space="preserve">recent empirical work by Fritsch, Müller, and Wattenhofer (2024), who</w:t>
      </w:r>
      <w:r>
        <w:t xml:space="preserve"> </w:t>
      </w:r>
      <w:r>
        <w:t xml:space="preserve">apply Nakamoto coefficients and Gini measures to voting power in</w:t>
      </w:r>
      <w:r>
        <w:t xml:space="preserve"> </w:t>
      </w:r>
      <w:r>
        <w:t xml:space="preserve">Compound, Uniswap, and ENS governance systems and document extreme</w:t>
      </w:r>
      <w:r>
        <w:t xml:space="preserve"> </w:t>
      </w:r>
      <w:r>
        <w:t xml:space="preserve">concentration in delegate-level voting power. The cross-protocol</w:t>
      </w:r>
      <w:r>
        <w:t xml:space="preserve"> </w:t>
      </w:r>
      <w:r>
        <w:t xml:space="preserve">comparison reported here spans ten protocols across DeFi (Compound,</w:t>
      </w:r>
      <w:r>
        <w:t xml:space="preserve"> </w:t>
      </w:r>
      <w:r>
        <w:t xml:space="preserve">Aave, Uniswap, GMX, Lido), DePIN (DIMO, WeatherXM), and infrastructure</w:t>
      </w:r>
      <w:r>
        <w:t xml:space="preserve"> </w:t>
      </w:r>
      <w:r>
        <w:t xml:space="preserve">(Optimism, Arbitrum, ENS). Amplification factors range from 1.4x (GMX)</w:t>
      </w:r>
      <w:r>
        <w:t xml:space="preserve"> </w:t>
      </w:r>
      <w:r>
        <w:t xml:space="preserve">to 6.0x (DIMO) across the nine amplifying protocols; ENS at 0.21x is</w:t>
      </w:r>
      <w:r>
        <w:t xml:space="preserve"> </w:t>
      </w:r>
      <w:r>
        <w:t xml:space="preserve">the structural exception (mature delegate program where holders</w:t>
      </w:r>
      <w:r>
        <w:t xml:space="preserve"> </w:t>
      </w:r>
      <w:r>
        <w:t xml:space="preserve">systematically delegate to a broad community-delegate set). Within the</w:t>
      </w:r>
      <w:r>
        <w:t xml:space="preserve"> </w:t>
      </w:r>
      <w:r>
        <w:t xml:space="preserve">sample, the 1.4x to 6.0x amplification range is distributed across</w:t>
      </w:r>
      <w:r>
        <w:t xml:space="preserve"> </w:t>
      </w:r>
      <w:r>
        <w:t xml:space="preserve">sectors with no clear concentration in any one; sector membership does</w:t>
      </w:r>
      <w:r>
        <w:t xml:space="preserve"> </w:t>
      </w:r>
      <w:r>
        <w:t xml:space="preserve">not predict how strongly delegation concentrates power.</w:t>
      </w:r>
      <w:r>
        <w:t xml:space="preserve"> </w:t>
      </w:r>
      <w:r>
        <w:t xml:space="preserve">The pattern is consistent with the broader claim of this paper: design</w:t>
      </w:r>
      <w:r>
        <w:t xml:space="preserve"> </w:t>
      </w:r>
      <w:r>
        <w:t xml:space="preserve">choices within each delegate program (delegate selection criteria,</w:t>
      </w:r>
      <w:r>
        <w:t xml:space="preserve"> </w:t>
      </w:r>
      <w:r>
        <w:t xml:space="preserve">compensation structure, voting threshold rules) determine the magnitude</w:t>
      </w:r>
      <w:r>
        <w:t xml:space="preserve"> </w:t>
      </w:r>
      <w:r>
        <w:t xml:space="preserve">of governance concentration through delegation, while the direction of</w:t>
      </w:r>
      <w:r>
        <w:t xml:space="preserve"> </w:t>
      </w:r>
      <w:r>
        <w:t xml:space="preserve">the effect (concentration above holdings) is the same across sector</w:t>
      </w:r>
      <w:r>
        <w:t xml:space="preserve"> </w:t>
      </w:r>
      <w:r>
        <w:t xml:space="preserve">and governance venue. Whether a protocol concentrates governance power</w:t>
      </w:r>
      <w:r>
        <w:t xml:space="preserve"> </w:t>
      </w:r>
      <w:r>
        <w:t xml:space="preserve">through delegation does not depend on whether it is DeFi, DePIN, or</w:t>
      </w:r>
      <w:r>
        <w:t xml:space="preserve"> </w:t>
      </w:r>
      <w:r>
        <w:t xml:space="preserve">infrastructure. How much it concentrates is shaped by design choices</w:t>
      </w:r>
      <w:r>
        <w:t xml:space="preserve"> </w:t>
      </w:r>
      <w:r>
        <w:t xml:space="preserve">made at the level of the delegate program itself. The amplification</w:t>
      </w:r>
      <w:r>
        <w:t xml:space="preserve"> </w:t>
      </w:r>
      <w:r>
        <w:t xml:space="preserve">ratio carries welfare consequences for DePIN that scale with operator</w:t>
      </w:r>
      <w:r>
        <w:t xml:space="preserve"> </w:t>
      </w:r>
      <w:r>
        <w:t xml:space="preserve">exit costs, since hardware deployed for one network cannot be</w:t>
      </w:r>
      <w:r>
        <w:t xml:space="preserve"> </w:t>
      </w:r>
      <w:r>
        <w:t xml:space="preserve">redeployed to a competing protocol the way liquidity can move between</w:t>
      </w:r>
      <w:r>
        <w:t xml:space="preserve"> </w:t>
      </w:r>
      <w:r>
        <w:t xml:space="preserve">DeFi pools.</w:t>
      </w:r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1350"/>
        <w:gridCol w:w="1350"/>
        <w:gridCol w:w="1080"/>
        <w:gridCol w:w="990"/>
        <w:gridCol w:w="1080"/>
        <w:gridCol w:w="18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WeatherXM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Arbitrum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Tally‡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Table 7.</w:t>
      </w:r>
      <w:r>
        <w:rPr>
          <w:i/>
          <w:iCs/>
        </w:rPr>
        <w:t xml:space="preserve"> </w:t>
      </w:r>
      <w:r>
        <w:rPr>
          <w:i/>
          <w:iCs/>
        </w:rPr>
        <w:t xml:space="preserve">Holding versus voting concentration for protocols with</w:t>
      </w:r>
      <w:r>
        <w:rPr>
          <w:i/>
          <w:iCs/>
        </w:rPr>
        <w:t xml:space="preserve"> </w:t>
      </w:r>
      <w:r>
        <w:rPr>
          <w:i/>
          <w:iCs/>
        </w:rPr>
        <w:t xml:space="preserve">sufficient governance activity (12-month lookback). Voting HHI computed</w:t>
      </w:r>
      <w:r>
        <w:rPr>
          <w:i/>
          <w:iCs/>
        </w:rPr>
        <w:t xml:space="preserve"> </w:t>
      </w:r>
      <w:r>
        <w:rPr>
          <w:i/>
          <w:iCs/>
        </w:rPr>
        <w:t xml:space="preserve">from Tally delegate voting power (on-chain) or Snapshot vote-weighted</w:t>
      </w:r>
      <w:r>
        <w:rPr>
          <w:i/>
          <w:iCs/>
        </w:rPr>
        <w:t xml:space="preserve"> </w:t>
      </w:r>
      <w:r>
        <w:rPr>
          <w:i/>
          <w:iCs/>
        </w:rPr>
        <w:t xml:space="preserve">power (off-chain). Ratio above 1.0 indicates delegation concentrates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above the level measured from token holdings; below 1.0</w:t>
      </w:r>
      <w:r>
        <w:rPr>
          <w:i/>
          <w:iCs/>
        </w:rPr>
        <w:t xml:space="preserve"> </w:t>
      </w:r>
      <w:r>
        <w:rPr>
          <w:i/>
          <w:iCs/>
        </w:rPr>
        <w:t xml:space="preserve">indicates delegation distributes. Holding HHIs are post-exclusion</w:t>
      </w:r>
      <w:r>
        <w:rPr>
          <w:i/>
          <w:iCs/>
        </w:rPr>
        <w:t xml:space="preserve"> </w:t>
      </w:r>
      <w:r>
        <w:rPr>
          <w:i/>
          <w:iCs/>
        </w:rPr>
        <w:t xml:space="preserve">values consistent with Table 4 (Uniswap reflects the universal</w:t>
      </w:r>
      <w:r>
        <w:rPr>
          <w:i/>
          <w:iCs/>
        </w:rPr>
        <w:t xml:space="preserve"> </w:t>
      </w:r>
      <w:r>
        <w:rPr>
          <w:i/>
          <w:iCs/>
        </w:rPr>
        <w:t xml:space="preserve">burn-rule exclusion of 0x000…000dead; Optimism reflects the</w:t>
      </w:r>
      <w:r>
        <w:rPr>
          <w:i/>
          <w:iCs/>
        </w:rPr>
        <w:t xml:space="preserve"> </w:t>
      </w:r>
      <w:r>
        <w:rPr>
          <w:i/>
          <w:iCs/>
        </w:rPr>
        <w:t xml:space="preserve">post-exclusion measurement consistent with the regression dataset;</w:t>
      </w:r>
      <w:r>
        <w:rPr>
          <w:i/>
          <w:iCs/>
        </w:rPr>
        <w:t xml:space="preserve"> </w:t>
      </w:r>
      <w:r>
        <w:rPr>
          <w:i/>
          <w:iCs/>
        </w:rPr>
        <w:t xml:space="preserve">Lido reflects post protocol-controlled-address exclusion).</w:t>
      </w:r>
      <w:r>
        <w:rPr>
          <w:i/>
          <w:iCs/>
        </w:rPr>
        <w:t xml:space="preserve"> </w:t>
      </w:r>
      <w:r>
        <w:rPr>
          <w:i/>
          <w:iCs/>
        </w:rPr>
        <w:t xml:space="preserve">Nine of ten protocols sampled exhibit voting HHI above holding HHI</w:t>
      </w:r>
      <w:r>
        <w:rPr>
          <w:i/>
          <w:iCs/>
        </w:rPr>
        <w:t xml:space="preserve"> </w:t>
      </w:r>
      <w:r>
        <w:rPr>
          <w:i/>
          <w:iCs/>
        </w:rPr>
        <w:t xml:space="preserve">(amplification ratios 1.4x to 6.0x); one protocol (ENS) shows</w:t>
      </w:r>
      <w:r>
        <w:rPr>
          <w:i/>
          <w:iCs/>
        </w:rPr>
        <w:t xml:space="preserve"> </w:t>
      </w:r>
      <w:r>
        <w:rPr>
          <w:i/>
          <w:iCs/>
        </w:rPr>
        <w:t xml:space="preserve">delegation-mediated dispersion (ratio 0.21x), reflecting a mature</w:t>
      </w:r>
      <w:r>
        <w:rPr>
          <w:i/>
          <w:iCs/>
        </w:rPr>
        <w:t xml:space="preserve"> </w:t>
      </w:r>
      <w:r>
        <w:rPr>
          <w:i/>
          <w:iCs/>
        </w:rPr>
        <w:t xml:space="preserve">delegate program where holders systematically delegate to a broader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community-delegate set rather than self-delegating. The structural</w:t>
      </w:r>
      <w:r>
        <w:rPr>
          <w:i/>
          <w:iCs/>
        </w:rPr>
        <w:t xml:space="preserve"> </w:t>
      </w:r>
      <w:r>
        <w:rPr>
          <w:i/>
          <w:iCs/>
        </w:rPr>
        <w:t xml:space="preserve">variation across protocols is consistent with the framework’s emphasis</w:t>
      </w:r>
      <w:r>
        <w:rPr>
          <w:i/>
          <w:iCs/>
        </w:rPr>
        <w:t xml:space="preserve"> </w:t>
      </w:r>
      <w:r>
        <w:rPr>
          <w:i/>
          <w:iCs/>
        </w:rPr>
        <w:t xml:space="preserve">on institutional design at the delegate-program level: delegation does</w:t>
      </w:r>
      <w:r>
        <w:rPr>
          <w:i/>
          <w:iCs/>
        </w:rPr>
        <w:t xml:space="preserve"> </w:t>
      </w:r>
      <w:r>
        <w:rPr>
          <w:i/>
          <w:iCs/>
        </w:rPr>
        <w:t xml:space="preserve">not uniformly concentrate; it concentrates in most protocols and</w:t>
      </w:r>
      <w:r>
        <w:rPr>
          <w:i/>
          <w:iCs/>
        </w:rPr>
        <w:t xml:space="preserve"> </w:t>
      </w:r>
      <w:r>
        <w:rPr>
          <w:i/>
          <w:iCs/>
        </w:rPr>
        <w:t xml:space="preserve">disperses in the protocol with the most-developed broad-delegate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 infrastructure. Two further protocols using vote-escrowed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(Curve veCRV; Balancer veBAL) show extreme amplification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(15x and 21x respectively) and are discussed separately in Section 4.1</w:t>
      </w:r>
      <w:r>
        <w:rPr>
          <w:i/>
          <w:iCs/>
        </w:rPr>
        <w:t xml:space="preserve"> </w:t>
      </w:r>
      <w:r>
        <w:rPr>
          <w:i/>
          <w:iCs/>
        </w:rPr>
        <w:t xml:space="preserve">as a distinct ve-token class.</w:t>
      </w:r>
    </w:p>
    <w:p>
      <w:pPr>
        <w:pStyle w:val="BodyText"/>
      </w:pPr>
      <w:r>
        <w:t xml:space="preserve">† Compound and Arbitrum voting HHI sourced from Snapshot (n = 114 and n</w:t>
      </w:r>
      <w:r>
        <w:t xml:space="preserve"> </w:t>
      </w:r>
      <w:r>
        <w:t xml:space="preserve">= 5,241 unique voters in the measurement window respectively) where</w:t>
      </w:r>
      <w:r>
        <w:t xml:space="preserve"> </w:t>
      </w:r>
      <w:r>
        <w:t xml:space="preserve">Snapshot's active-voter pool exceeded Tally's top-100-delegate</w:t>
      </w:r>
      <w:r>
        <w:t xml:space="preserve"> </w:t>
      </w:r>
      <w:r>
        <w:t xml:space="preserve">sampling. AAVE, Uniswap, Optimism, GMX, and ENS use Tally; DIMO,</w:t>
      </w:r>
      <w:r>
        <w:t xml:space="preserve"> </w:t>
      </w:r>
      <w:r>
        <w:t xml:space="preserve">WeatherXM, and Lido use Snapshot (Tally is not deployed for these</w:t>
      </w:r>
      <w:r>
        <w:t xml:space="preserve"> </w:t>
      </w:r>
      <w:r>
        <w:t xml:space="preserve">protocols).</w:t>
      </w:r>
    </w:p>
    <w:p>
      <w:pPr>
        <w:pStyle w:val="BodyText"/>
      </w:pPr>
      <w:r>
        <w:t xml:space="preserve">‡ GMX and ENS added in R2 from paginated Tally top-100 delegate pulls</w:t>
      </w:r>
      <w:r>
        <w:t xml:space="preserve"> </w:t>
      </w:r>
      <w:r>
        <w:t xml:space="preserve">(May 2026). Snapshot date drift between March 2026 baseline (used for</w:t>
      </w:r>
      <w:r>
        <w:t xml:space="preserve"> </w:t>
      </w:r>
      <w:r>
        <w:t xml:space="preserve">the original eight protocols) and May 2026 (used for GMX and ENS) is</w:t>
      </w:r>
      <w:r>
        <w:t xml:space="preserve"> </w:t>
      </w:r>
      <w:r>
        <w:t xml:space="preserve">documented in Section 2.10.3; rank-ordering across protocols is the</w:t>
      </w:r>
      <w:r>
        <w:t xml:space="preserve"> </w:t>
      </w:r>
      <w:r>
        <w:t xml:space="preserve">durable inferential property, with absolute magnitudes subject to</w:t>
      </w:r>
      <w:r>
        <w:t xml:space="preserve"> </w:t>
      </w:r>
      <w:r>
        <w:t xml:space="preserve">delegate-pool changes over multi-month windows.</w:t>
      </w:r>
    </w:p>
    <w:bookmarkStart w:id="95" w:name="X5aa57646c4396d747e0131ec008a4e3f93d4422"/>
    <w:p>
      <w:pPr>
        <w:pStyle w:val="Heading3"/>
      </w:pPr>
      <w:r>
        <w:t xml:space="preserve">3.5.1 ENS as institutional-design counterexample</w:t>
      </w:r>
    </w:p>
    <w:p>
      <w:pPr>
        <w:pStyle w:val="FirstParagraph"/>
      </w:pPr>
      <w:r>
        <w:t xml:space="preserve">ENS is the only protocol in the cross-section where delegation</w:t>
      </w:r>
      <w:r>
        <w:t xml:space="preserve"> </w:t>
      </w:r>
      <w:r>
        <w:t xml:space="preserve">empirically disperses voting power below the holding-HHI baseline</w:t>
      </w:r>
      <w:r>
        <w:t xml:space="preserve"> </w:t>
      </w:r>
      <w:r>
        <w:t xml:space="preserve">(ratio 0.21x; voting HHI 0.028 vs holding HHI 0.135). The dispersion</w:t>
      </w:r>
      <w:r>
        <w:t xml:space="preserve"> </w:t>
      </w:r>
      <w:r>
        <w:t xml:space="preserve">case is informative for the framework’s institutional-design thesis</w:t>
      </w:r>
      <w:r>
        <w:t xml:space="preserve"> </w:t>
      </w:r>
      <w:r>
        <w:t xml:space="preserve">because it provides an existence-proof that delegation outcomes are</w:t>
      </w:r>
      <w:r>
        <w:t xml:space="preserve"> </w:t>
      </w:r>
      <w:r>
        <w:t xml:space="preserve">design-tractable rather than mechanism-inevitable. The ENS delegate</w:t>
      </w:r>
      <w:r>
        <w:t xml:space="preserve"> </w:t>
      </w:r>
      <w:r>
        <w:t xml:space="preserve">program funds approximately 100 active delegates (including the ENS</w:t>
      </w:r>
      <w:r>
        <w:t xml:space="preserve"> </w:t>
      </w:r>
      <w:r>
        <w:t xml:space="preserve">DAO ecosystem grants for delegate work), and the top-100 delegate</w:t>
      </w:r>
      <w:r>
        <w:t xml:space="preserve"> </w:t>
      </w:r>
      <w:r>
        <w:t xml:space="preserve">voting-power distribution is structurally broader than the holding</w:t>
      </w:r>
      <w:r>
        <w:t xml:space="preserve"> </w:t>
      </w:r>
      <w:r>
        <w:t xml:space="preserve">distribution: top-1 holding share is 26.7% (largely DAO treasury and</w:t>
      </w:r>
      <w:r>
        <w:t xml:space="preserve"> </w:t>
      </w:r>
      <w:r>
        <w:t xml:space="preserve">team-vesting positions) while top-1 voting-power share is 12.1%</w:t>
      </w:r>
      <w:r>
        <w:t xml:space="preserve"> </w:t>
      </w:r>
      <w:r>
        <w:t xml:space="preserve">(fireeyesdao.eth, a community-elected delegate). Holders systematically</w:t>
      </w:r>
      <w:r>
        <w:t xml:space="preserve"> </w:t>
      </w:r>
      <w:r>
        <w:t xml:space="preserve">delegate to a broader community-delegate set rather than self-delegating</w:t>
      </w:r>
      <w:r>
        <w:t xml:space="preserve"> </w:t>
      </w:r>
      <w:r>
        <w:t xml:space="preserve">or delegating to whales.</w:t>
      </w:r>
    </w:p>
    <w:p>
      <w:pPr>
        <w:pStyle w:val="BodyText"/>
      </w:pPr>
      <w:r>
        <w:t xml:space="preserve">The ENS finding contrasts with the nine protocols where delegation</w:t>
      </w:r>
      <w:r>
        <w:t xml:space="preserve"> </w:t>
      </w:r>
      <w:r>
        <w:t xml:space="preserve">amplifies: in those protocols, the top-delegate identity is typically</w:t>
      </w:r>
      <w:r>
        <w:t xml:space="preserve"> </w:t>
      </w:r>
      <w:r>
        <w:t xml:space="preserve">either the protocol foundation itself, a staking-aggregation contract</w:t>
      </w:r>
      <w:r>
        <w:t xml:space="preserve"> </w:t>
      </w:r>
      <w:r>
        <w:t xml:space="preserve">that aggregates underlying staker voting power, or an institutional</w:t>
      </w:r>
      <w:r>
        <w:t xml:space="preserve"> </w:t>
      </w:r>
      <w:r>
        <w:t xml:space="preserve">delegate firm (see Section 3.5.3). The structural pattern across the</w:t>
      </w:r>
      <w:r>
        <w:t xml:space="preserve"> </w:t>
      </w:r>
      <w:r>
        <w:t xml:space="preserve">ten-protocol sample is consistent with the framework’s thesis that</w:t>
      </w:r>
      <w:r>
        <w:t xml:space="preserve"> </w:t>
      </w:r>
      <w:r>
        <w:t xml:space="preserve">institutional design at the delegate-program level governs the</w:t>
      </w:r>
      <w:r>
        <w:t xml:space="preserve"> </w:t>
      </w:r>
      <w:r>
        <w:t xml:space="preserve">direction of delegation’s effect on voting concentration. The</w:t>
      </w:r>
      <w:r>
        <w:t xml:space="preserve"> </w:t>
      </w:r>
      <w:r>
        <w:t xml:space="preserve">generalizable design recommendation: delegate-program architectures</w:t>
      </w:r>
      <w:r>
        <w:t xml:space="preserve"> </w:t>
      </w:r>
      <w:r>
        <w:t xml:space="preserve">that incentivize broad community-delegate distribution (recurring</w:t>
      </w:r>
      <w:r>
        <w:t xml:space="preserve"> </w:t>
      </w:r>
      <w:r>
        <w:t xml:space="preserve">delegate compensation; public delegate platforms; active recruitment;</w:t>
      </w:r>
      <w:r>
        <w:t xml:space="preserve"> </w:t>
      </w:r>
      <w:r>
        <w:t xml:space="preserve">operational support for non-whale delegates) can produce</w:t>
      </w:r>
      <w:r>
        <w:t xml:space="preserve"> </w:t>
      </w:r>
      <w:r>
        <w:t xml:space="preserve">delegation-mediated dispersion of voting power, contrary to the</w:t>
      </w:r>
      <w:r>
        <w:t xml:space="preserve"> </w:t>
      </w:r>
      <w:r>
        <w:t xml:space="preserve">default-amplification pattern documented across most token-governance</w:t>
      </w:r>
      <w:r>
        <w:t xml:space="preserve"> </w:t>
      </w:r>
      <w:r>
        <w:t xml:space="preserve">protocols.</w:t>
      </w:r>
    </w:p>
    <w:bookmarkEnd w:id="95"/>
    <w:bookmarkStart w:id="96" w:name="X6f58f7697d4d352d39020277026eb89bc2b1dd5"/>
    <w:p>
      <w:pPr>
        <w:pStyle w:val="Heading3"/>
      </w:pPr>
      <w:r>
        <w:t xml:space="preserve">3.5.2 Vote-escrowed governance as an extreme-amplification class</w:t>
      </w:r>
    </w:p>
    <w:p>
      <w:pPr>
        <w:pStyle w:val="FirstParagraph"/>
      </w:pPr>
      <w:r>
        <w:t xml:space="preserve">Two protocols using vote-escrowed governance (Curve veCRV; Balancer</w:t>
      </w:r>
      <w:r>
        <w:t xml:space="preserve"> </w:t>
      </w:r>
      <w:r>
        <w:t xml:space="preserve">veBAL) form a distinct extreme-amplification class that operates</w:t>
      </w:r>
      <w:r>
        <w:t xml:space="preserve"> </w:t>
      </w:r>
      <w:r>
        <w:t xml:space="preserve">through structurally different mechanisms than the delegate-based</w:t>
      </w:r>
      <w:r>
        <w:t xml:space="preserve"> </w:t>
      </w:r>
      <w:r>
        <w:t xml:space="preserve">amplification documented in the Table 7 sample. Curve’s veCRV system</w:t>
      </w:r>
      <w:r>
        <w:t xml:space="preserve"> </w:t>
      </w:r>
      <w:r>
        <w:t xml:space="preserve">locks CRV for up to four years; lock-duration multipliers convert</w:t>
      </w:r>
      <w:r>
        <w:t xml:space="preserve"> </w:t>
      </w:r>
      <w:r>
        <w:t xml:space="preserve">locked CRV into proportional veCRV voting power, with longer locks</w:t>
      </w:r>
      <w:r>
        <w:t xml:space="preserve"> </w:t>
      </w:r>
      <w:r>
        <w:t xml:space="preserve">weighted more heavily. Convex (the dominant meta-governance protocol</w:t>
      </w:r>
      <w:r>
        <w:t xml:space="preserve"> </w:t>
      </w:r>
      <w:r>
        <w:t xml:space="preserve">for Curve) aggregates user-deposited CRV into a single locked position</w:t>
      </w:r>
      <w:r>
        <w:t xml:space="preserve"> </w:t>
      </w:r>
      <w:r>
        <w:t xml:space="preserve">that votes as a meta-governance layer; Convex holds approximately 48</w:t>
      </w:r>
      <w:r>
        <w:t xml:space="preserve"> </w:t>
      </w:r>
      <w:r>
        <w:t xml:space="preserve">percent of the top-50 historical veCRV deposit-weighted share per the</w:t>
      </w:r>
      <w:r>
        <w:t xml:space="preserve"> </w:t>
      </w:r>
      <w:r>
        <w:t xml:space="preserve">Phase 0 Tier C1 analysis (Section 4.1; supplementary file</w:t>
      </w:r>
      <w:r>
        <w:t xml:space="preserve"> </w:t>
      </w:r>
      <w:r>
        <w:t xml:space="preserve">veCRV_voting_concentration_2026-05-17.csv). The resulting veCRV</w:t>
      </w:r>
      <w:r>
        <w:t xml:space="preserve"> </w:t>
      </w:r>
      <w:r>
        <w:t xml:space="preserve">voting concentration (HHI 0.26 from cumulative-deposit aggregation</w:t>
      </w:r>
      <w:r>
        <w:t xml:space="preserve"> </w:t>
      </w:r>
      <w:r>
        <w:t xml:space="preserve">across top-50 lockers) is approximately 15 times the raw post-Convex-</w:t>
      </w:r>
      <w:r>
        <w:t xml:space="preserve"> </w:t>
      </w:r>
      <w:r>
        <w:t xml:space="preserve">exclusion CRV holding HHI of 0.017.</w:t>
      </w:r>
    </w:p>
    <w:p>
      <w:pPr>
        <w:pStyle w:val="BodyText"/>
      </w:pPr>
      <w:r>
        <w:t xml:space="preserve">Balancer’s veBAL system exhibits a structurally identical pattern:</w:t>
      </w:r>
      <w:r>
        <w:t xml:space="preserve"> </w:t>
      </w:r>
      <w:r>
        <w:t xml:space="preserve">Snapshot voting on Balancer’s governance space (12-month lookback;</w:t>
      </w:r>
      <w:r>
        <w:t xml:space="preserve"> </w:t>
      </w:r>
      <w:r>
        <w:t xml:space="preserve">36 active voters) yields voting HHI 0.626 against holding HHI 0.030,</w:t>
      </w:r>
      <w:r>
        <w:t xml:space="preserve"> </w:t>
      </w:r>
      <w:r>
        <w:t xml:space="preserve">a 21x amplification ratio. The top-1 active voter holds 78 percent of</w:t>
      </w:r>
      <w:r>
        <w:t xml:space="preserve"> </w:t>
      </w:r>
      <w:r>
        <w:t xml:space="preserve">total voting power; the top-10 voters cumulatively hold 99.85 percent.</w:t>
      </w:r>
      <w:r>
        <w:t xml:space="preserve"> </w:t>
      </w:r>
      <w:r>
        <w:t xml:space="preserve">The Aura Finance protocol (Balancer’s Convex-equivalent</w:t>
      </w:r>
      <w:r>
        <w:t xml:space="preserve"> </w:t>
      </w:r>
      <w:r>
        <w:t xml:space="preserve">meta-governance aggregator) plays the same role for veBAL that Convex</w:t>
      </w:r>
      <w:r>
        <w:t xml:space="preserve"> </w:t>
      </w:r>
      <w:r>
        <w:t xml:space="preserve">plays for veCRV.</w:t>
      </w:r>
    </w:p>
    <w:p>
      <w:pPr>
        <w:pStyle w:val="BodyText"/>
      </w:pPr>
      <w:r>
        <w:t xml:space="preserve">The veCRV and veBAL cases are not included in the Table 7 row set</w:t>
      </w:r>
      <w:r>
        <w:t xml:space="preserve"> </w:t>
      </w:r>
      <w:r>
        <w:t xml:space="preserve">because the underlying methodology differs: Table 7 measures HHI of</w:t>
      </w:r>
      <w:r>
        <w:t xml:space="preserve"> </w:t>
      </w:r>
      <w:r>
        <w:t xml:space="preserve">delegate voting power within token-governance delegate programs; the</w:t>
      </w:r>
      <w:r>
        <w:t xml:space="preserve"> </w:t>
      </w:r>
      <w:r>
        <w:t xml:space="preserve">ve-token cases measure HHI of lock-duration-weighted CRV/BAL</w:t>
      </w:r>
      <w:r>
        <w:t xml:space="preserve"> </w:t>
      </w:r>
      <w:r>
        <w:t xml:space="preserve">deposits, with meta-governance aggregation. The two mechanism classes</w:t>
      </w:r>
      <w:r>
        <w:t xml:space="preserve"> </w:t>
      </w:r>
      <w:r>
        <w:t xml:space="preserve">produce concentration through different paths but converge on the</w:t>
      </w:r>
      <w:r>
        <w:t xml:space="preserve"> </w:t>
      </w:r>
      <w:r>
        <w:t xml:space="preserve">same direction (amplification) with much larger magnitudes (15-21x</w:t>
      </w:r>
      <w:r>
        <w:t xml:space="preserve"> </w:t>
      </w:r>
      <w:r>
        <w:t xml:space="preserve">versus the 1.4x-6.0x range observed in delegate-program-based</w:t>
      </w:r>
      <w:r>
        <w:t xml:space="preserve"> </w:t>
      </w:r>
      <w:r>
        <w:t xml:space="preserve">amplification). For practitioners designing token governance, the</w:t>
      </w:r>
      <w:r>
        <w:t xml:space="preserve"> </w:t>
      </w:r>
      <w:r>
        <w:t xml:space="preserve">ve-token class is a separate design choice with substantially</w:t>
      </w:r>
      <w:r>
        <w:t xml:space="preserve"> </w:t>
      </w:r>
      <w:r>
        <w:t xml:space="preserve">different concentration implications than standard delegate-program</w:t>
      </w:r>
      <w:r>
        <w:t xml:space="preserve"> </w:t>
      </w:r>
      <w:r>
        <w:t xml:space="preserve">governance.</w:t>
      </w:r>
    </w:p>
    <w:bookmarkEnd w:id="96"/>
    <w:bookmarkStart w:id="97" w:name="Xfa73bc062c432381afdcb5f5da2b521607734ad"/>
    <w:p>
      <w:pPr>
        <w:pStyle w:val="Heading3"/>
      </w:pPr>
      <w:r>
        <w:t xml:space="preserve">3.5.3 Foundation and aggregation-contract top-delegate pattern</w:t>
      </w:r>
    </w:p>
    <w:p>
      <w:pPr>
        <w:pStyle w:val="FirstParagraph"/>
      </w:pPr>
      <w:r>
        <w:t xml:space="preserve">Three of the ten Table 7 protocols (plus the two ve-token class</w:t>
      </w:r>
      <w:r>
        <w:t xml:space="preserve"> </w:t>
      </w:r>
      <w:r>
        <w:t xml:space="preserve">protocols in Section 3.5.2) have their largest single voting block</w:t>
      </w:r>
      <w:r>
        <w:t xml:space="preserve"> </w:t>
      </w:r>
      <w:r>
        <w:t xml:space="preserve">held by a protocol-controlled entity rather than an independent</w:t>
      </w:r>
      <w:r>
        <w:t xml:space="preserve"> </w:t>
      </w:r>
      <w:r>
        <w:t xml:space="preserve">community delegate. Compound’s top Tally delegate is Compound</w:t>
      </w:r>
      <w:r>
        <w:t xml:space="preserve"> </w:t>
      </w:r>
      <w:r>
        <w:t xml:space="preserve">Foundation itself, holding 21.5 percent of total delegated voting</w:t>
      </w:r>
      <w:r>
        <w:t xml:space="preserve"> </w:t>
      </w:r>
      <w:r>
        <w:t xml:space="preserve">power in the May 2026 pull (per Phase 0 Tier C1 fact-check). Aave’s</w:t>
      </w:r>
      <w:r>
        <w:t xml:space="preserve"> </w:t>
      </w:r>
      <w:r>
        <w:t xml:space="preserve">top Tally delegate is the stkAAVE staking contract at 21.9 percent</w:t>
      </w:r>
      <w:r>
        <w:t xml:space="preserve"> </w:t>
      </w:r>
      <w:r>
        <w:t xml:space="preserve">of total delegated voting power; the contract aggregates underlying</w:t>
      </w:r>
      <w:r>
        <w:t xml:space="preserve"> </w:t>
      </w:r>
      <w:r>
        <w:t xml:space="preserve">staker voting power and votes as a single delegate. Curve’s veCRV</w:t>
      </w:r>
      <w:r>
        <w:t xml:space="preserve"> </w:t>
      </w:r>
      <w:r>
        <w:t xml:space="preserve">voting (Section 3.5.2) is dominated by Convex at 48 percent of top-50</w:t>
      </w:r>
      <w:r>
        <w:t xml:space="preserve"> </w:t>
      </w:r>
      <w:r>
        <w:t xml:space="preserve">deposit-weighted share. These patterns share a structural feature:</w:t>
      </w:r>
      <w:r>
        <w:t xml:space="preserve"> </w:t>
      </w:r>
      <w:r>
        <w:t xml:space="preserve">the top voting block is an aggregation entity (foundation, staking</w:t>
      </w:r>
      <w:r>
        <w:t xml:space="preserve"> </w:t>
      </w:r>
      <w:r>
        <w:t xml:space="preserve">contract, or meta-governance protocol) rather than an independent</w:t>
      </w:r>
      <w:r>
        <w:t xml:space="preserve"> </w:t>
      </w:r>
      <w:r>
        <w:t xml:space="preserve">community member.</w:t>
      </w:r>
    </w:p>
    <w:p>
      <w:pPr>
        <w:pStyle w:val="BodyText"/>
      </w:pPr>
      <w:r>
        <w:t xml:space="preserve">The aggregation-entity pattern raises distinct philosophical and</w:t>
      </w:r>
      <w:r>
        <w:t xml:space="preserve"> </w:t>
      </w:r>
      <w:r>
        <w:t xml:space="preserve">practical concerns relative to independent-delegate-dominated</w:t>
      </w:r>
      <w:r>
        <w:t xml:space="preserve"> </w:t>
      </w:r>
      <w:r>
        <w:t xml:space="preserve">protocols (Uniswap’s top-1 is an investor delegate; Optimism’s top-1</w:t>
      </w:r>
      <w:r>
        <w:t xml:space="preserve"> </w:t>
      </w:r>
      <w:r>
        <w:t xml:space="preserve">is a professional delegate firm; ENS’s top-1 is a community delegate).</w:t>
      </w:r>
      <w:r>
        <w:t xml:space="preserve"> </w:t>
      </w:r>
      <w:r>
        <w:t xml:space="preserve">For the Kantian publicity lens, aggregation entities decide</w:t>
      </w:r>
      <w:r>
        <w:t xml:space="preserve"> </w:t>
      </w:r>
      <w:r>
        <w:t xml:space="preserve">collectively but typically publish their decision rationale through</w:t>
      </w:r>
      <w:r>
        <w:t xml:space="preserve"> </w:t>
      </w:r>
      <w:r>
        <w:t xml:space="preserve">governance-team statements rather than per-delegate justifications.</w:t>
      </w:r>
      <w:r>
        <w:t xml:space="preserve"> </w:t>
      </w:r>
      <w:r>
        <w:t xml:space="preserve">For the Pettit contestability lens, the operational mechanism scored</w:t>
      </w:r>
      <w:r>
        <w:t xml:space="preserve"> </w:t>
      </w:r>
      <w:r>
        <w:t xml:space="preserve">(formal appeals + veto rights) operates against the aggregation</w:t>
      </w:r>
      <w:r>
        <w:t xml:space="preserve"> </w:t>
      </w:r>
      <w:r>
        <w:t xml:space="preserve">entity as a single counterparty, structurally similar to challenging</w:t>
      </w:r>
      <w:r>
        <w:t xml:space="preserve"> </w:t>
      </w:r>
      <w:r>
        <w:t xml:space="preserve">a corporate proxy vote rather than negotiating with multiple</w:t>
      </w:r>
      <w:r>
        <w:t xml:space="preserve"> </w:t>
      </w:r>
      <w:r>
        <w:t xml:space="preserve">independent delegates. For Rawlsian fairness, aggregation entities</w:t>
      </w:r>
      <w:r>
        <w:t xml:space="preserve"> </w:t>
      </w:r>
      <w:r>
        <w:t xml:space="preserve">may or may not represent the distributional interests of the</w:t>
      </w:r>
      <w:r>
        <w:t xml:space="preserve"> </w:t>
      </w:r>
      <w:r>
        <w:t xml:space="preserve">underlying token-holders or stakers who delegated to them; the</w:t>
      </w:r>
      <w:r>
        <w:t xml:space="preserve"> </w:t>
      </w:r>
      <w:r>
        <w:t xml:space="preserve">principal-agent gap (Holmstrom, 1979; Tirole, 2001) is amplified by</w:t>
      </w:r>
      <w:r>
        <w:t xml:space="preserve"> </w:t>
      </w:r>
      <w:r>
        <w:t xml:space="preserve">the aggregation layer. The PCA-symmetric exclusion analysis (Section</w:t>
      </w:r>
      <w:r>
        <w:t xml:space="preserve"> </w:t>
      </w:r>
      <w:r>
        <w:t xml:space="preserve">3.7) shows that universal amplification holds across the Tally-sourced</w:t>
      </w:r>
      <w:r>
        <w:t xml:space="preserve"> </w:t>
      </w:r>
      <w:r>
        <w:t xml:space="preserve">protocols even when aggregation entities are excluded; the empirical</w:t>
      </w:r>
      <w:r>
        <w:t xml:space="preserve"> </w:t>
      </w:r>
      <w:r>
        <w:t xml:space="preserve">finding is robust to this methodological consideration, but the</w:t>
      </w:r>
      <w:r>
        <w:t xml:space="preserve"> </w:t>
      </w:r>
      <w:r>
        <w:t xml:space="preserve">structural pattern itself is a substantive feature of token-governance</w:t>
      </w:r>
      <w:r>
        <w:t xml:space="preserve"> </w:t>
      </w:r>
      <w:r>
        <w:t xml:space="preserve">practice that deserves explicit recognition in the design literature.</w:t>
      </w:r>
    </w:p>
    <w:bookmarkEnd w:id="97"/>
    <w:bookmarkEnd w:id="98"/>
    <w:bookmarkStart w:id="99" w:name="hypothesis-evidence-status"/>
    <w:p>
      <w:pPr>
        <w:pStyle w:val="Heading2"/>
      </w:pPr>
      <w:r>
        <w:t xml:space="preserve">3.6 Hypothesis Evidence Status</w:t>
      </w:r>
    </w:p>
    <w:p>
      <w:pPr>
        <w:pStyle w:val="FirstParagraph"/>
      </w:pPr>
      <w:r>
        <w:t xml:space="preserve">This section maps the governance concentration evidence to the five</w:t>
      </w:r>
      <w:r>
        <w:t xml:space="preserve"> </w:t>
      </w:r>
      <w:r>
        <w:t xml:space="preserve">design hypotheses introduced in Section 2.9. Hypotheses 1 and 2 receive</w:t>
      </w:r>
      <w:r>
        <w:t xml:space="preserve"> </w:t>
      </w:r>
      <w:r>
        <w:t xml:space="preserve">direct support from the cross-section; Hypotheses 3 through 5 require</w:t>
      </w:r>
      <w:r>
        <w:t xml:space="preserve"> </w:t>
      </w:r>
      <w:r>
        <w:t xml:space="preserve">longitudinal evidence beyond this paper's cross-sectional scope,</w:t>
      </w:r>
      <w:r>
        <w:t xml:space="preserve"> </w:t>
      </w:r>
      <w:r>
        <w:t xml:space="preserve">developed in the companion case study (Zukowski, 2026a) using 34 months</w:t>
      </w:r>
      <w:r>
        <w:t xml:space="preserve"> </w:t>
      </w:r>
      <w:r>
        <w:t xml:space="preserve">of Helium data. Full evidence status appears in Supplementary Table S1.</w:t>
      </w:r>
    </w:p>
    <w:p>
      <w:pPr>
        <w:pStyle w:val="BodyText"/>
      </w:pPr>
      <w:r>
        <w:t xml:space="preserve">The governance concentration data (Table 4) provide descriptive evidence</w:t>
      </w:r>
      <w:r>
        <w:t xml:space="preserve"> </w:t>
      </w:r>
      <w:r>
        <w:t xml:space="preserve">bearing on Hypotheses 1 (publicity-legitimacy) and 2 (contestability).</w:t>
      </w:r>
      <w:r>
        <w:t xml:space="preserve"> </w:t>
      </w:r>
      <w:r>
        <w:t xml:space="preserve">Specifically, the finding that DePIN tokens are materially more</w:t>
      </w:r>
      <w:r>
        <w:t xml:space="preserve"> </w:t>
      </w:r>
      <w:r>
        <w:t xml:space="preserve">concentrated than DeFi peers indicates that DePIN governance structures</w:t>
      </w:r>
      <w:r>
        <w:t xml:space="preserve"> </w:t>
      </w:r>
      <w:r>
        <w:t xml:space="preserve">have not yet achieved the legitimacy properties these hypotheses</w:t>
      </w:r>
      <w:r>
        <w:t xml:space="preserve"> </w:t>
      </w:r>
      <w:r>
        <w:t xml:space="preserve">require. The Anyone Protocol counterexample is consistent with the</w:t>
      </w:r>
      <w:r>
        <w:t xml:space="preserve"> </w:t>
      </w:r>
      <w:r>
        <w:t xml:space="preserve">interpretation that low concentration is feasible, indicating that high</w:t>
      </w:r>
      <w:r>
        <w:t xml:space="preserve"> </w:t>
      </w:r>
      <w:r>
        <w:t xml:space="preserve">concentration in DePIN is not structurally predetermined. Hypotheses 3</w:t>
      </w:r>
      <w:r>
        <w:t xml:space="preserve"> </w:t>
      </w:r>
      <w:r>
        <w:t xml:space="preserve">through 5 are not directly tested with the governance concentration data</w:t>
      </w:r>
      <w:r>
        <w:t xml:space="preserve"> </w:t>
      </w:r>
      <w:r>
        <w:t xml:space="preserve">in this paper and require additional evidence (fiscal flow analysis,</w:t>
      </w:r>
      <w:r>
        <w:t xml:space="preserve"> </w:t>
      </w:r>
      <w:r>
        <w:t xml:space="preserve">operational telemetry, and polycentric structure mapping respectively).</w:t>
      </w:r>
    </w:p>
    <w:bookmarkEnd w:id="99"/>
    <w:bookmarkStart w:id="107" w:name="robustness-leave-one-out-sensitivity"/>
    <w:p>
      <w:pPr>
        <w:pStyle w:val="Heading2"/>
      </w:pPr>
      <w:r>
        <w:t xml:space="preserve">3.7 Robustness: Leave-One-Out Sensitivity</w:t>
      </w:r>
    </w:p>
    <w:p>
      <w:pPr>
        <w:pStyle w:val="FirstParagraph"/>
      </w:pPr>
      <w:r>
        <w:t xml:space="preserve">The cross-sectional sample size (N = 30 for the DePIN-vs-DeFi sector</w:t>
      </w:r>
      <w:r>
        <w:t xml:space="preserve"> </w:t>
      </w:r>
      <w:r>
        <w:t xml:space="preserve">contrast; N = 19 for the subsidy excluding Livepeer test) bounds the</w:t>
      </w:r>
      <w:r>
        <w:t xml:space="preserve"> </w:t>
      </w:r>
      <w:r>
        <w:t xml:space="preserve">strength of inference. Sector-level results are robust to individual</w:t>
      </w:r>
      <w:r>
        <w:t xml:space="preserve"> </w:t>
      </w:r>
      <w:r>
        <w:t xml:space="preserve">observations: Mann-Whitney is significant in all 30 of 30 leave-one-out</w:t>
      </w:r>
      <w:r>
        <w:t xml:space="preserve"> </w:t>
      </w:r>
      <w:r>
        <w:t xml:space="preserve">resamples following the holder-list cutoff correction. Findings</w:t>
      </w:r>
      <w:r>
        <w:t xml:space="preserve"> </w:t>
      </w:r>
      <w:r>
        <w:t xml:space="preserve">throughout the paper are reported as 'consistent with' or</w:t>
      </w:r>
      <w:r>
        <w:t xml:space="preserve"> </w:t>
      </w:r>
      <w:r>
        <w:t xml:space="preserve">'indicating' rather than 'driving' or 'producing'; the</w:t>
      </w:r>
      <w:r>
        <w:t xml:space="preserve"> </w:t>
      </w:r>
      <w:r>
        <w:t xml:space="preserve">cross-sectional design supports descriptive claims about association</w:t>
      </w:r>
      <w:r>
        <w:t xml:space="preserve"> </w:t>
      </w:r>
      <w:r>
        <w:t xml:space="preserve">rather than causal claims about mechanism.</w:t>
      </w:r>
    </w:p>
    <w:p>
      <w:pPr>
        <w:pStyle w:val="BodyText"/>
      </w:pPr>
      <w:r>
        <w:t xml:space="preserve">All primary findings were tested by dropping each protocol one at a time</w:t>
      </w:r>
      <w:r>
        <w:t xml:space="preserve"> </w:t>
      </w:r>
      <w:r>
        <w:t xml:space="preserve">and recomputing the statistic. The insider-retention correlation is</w:t>
      </w:r>
      <w:r>
        <w:t xml:space="preserve"> </w:t>
      </w:r>
      <w:r>
        <w:t xml:space="preserve">fully robust. The DePIN-DeFi sector difference is fully robust to</w:t>
      </w:r>
      <w:r>
        <w:t xml:space="preserve"> </w:t>
      </w:r>
      <w:r>
        <w:t xml:space="preserve">single-protocol exclusion (significant across all 30 of 30 leave-one-out</w:t>
      </w:r>
      <w:r>
        <w:t xml:space="preserve"> </w:t>
      </w:r>
      <w:r>
        <w:t xml:space="preserve">iterations after the F1 holder-list correction). The subsidy correlation</w:t>
      </w:r>
      <w:r>
        <w:t xml:space="preserve"> </w:t>
      </w:r>
      <w:r>
        <w:t xml:space="preserve">is entirely driven by Livepeer. Details follow.</w:t>
      </w:r>
    </w:p>
    <w:p>
      <w:pPr>
        <w:pStyle w:val="BodyText"/>
      </w:pPr>
      <w:r>
        <w:t xml:space="preserve">The insider concentration relationship (Spearman rho = 0.48, p = 0.003,</w:t>
      </w:r>
      <w:r>
        <w:t xml:space="preserve"> </w:t>
      </w:r>
      <w:r>
        <w:t xml:space="preserve">N = 37 after the F1 holder-list correction) is robust: it remains</w:t>
      </w:r>
      <w:r>
        <w:t xml:space="preserve"> </w:t>
      </w:r>
      <w:r>
        <w:t xml:space="preserve">significant across all 37 single-protocol exclusions, with rho ranging</w:t>
      </w:r>
      <w:r>
        <w:t xml:space="preserve"> </w:t>
      </w:r>
      <w:r>
        <w:t xml:space="preserve">from 0.45 to 0.55. Neither the highest-insider protocols (DIMO and</w:t>
      </w:r>
      <w:r>
        <w:t xml:space="preserve"> </w:t>
      </w:r>
      <w:r>
        <w:t xml:space="preserve">MetaDAO, insider fraction 1.0) nor the zero-insider protocols</w:t>
      </w:r>
      <w:r>
        <w:t xml:space="preserve"> </w:t>
      </w:r>
      <w:r>
        <w:t xml:space="preserve">(Hyperliquid, Optimism, Arbitrum) individually drive the result.</w:t>
      </w:r>
    </w:p>
    <w:p>
      <w:pPr>
        <w:pStyle w:val="BodyText"/>
      </w:pPr>
      <w:r>
        <w:t xml:space="preserve">The DePIN-versus-DeFi sector difference (Mann-Whitney p = 0.016, Cohen’s</w:t>
      </w:r>
      <w:r>
        <w:t xml:space="preserve"> </w:t>
      </w:r>
      <w:r>
        <w:t xml:space="preserve">d = 1.10) is robust to sample composition. The test remains significant</w:t>
      </w:r>
      <w:r>
        <w:t xml:space="preserve"> </w:t>
      </w:r>
      <w:r>
        <w:t xml:space="preserve">in all 30 of 30 leave-one-out iterations. Seven protocols, when</w:t>
      </w:r>
      <w:r>
        <w:t xml:space="preserve"> </w:t>
      </w:r>
      <w:r>
        <w:t xml:space="preserve">individually dropped, push the p-value to 0.052: Hyperliquid, Aethir,</w:t>
      </w:r>
      <w:r>
        <w:t xml:space="preserve"> </w:t>
      </w:r>
      <w:r>
        <w:t xml:space="preserve">Lido, POKT Network, GEODNET, Livepeer, and WeatherXM. No single protocol</w:t>
      </w:r>
      <w:r>
        <w:t xml:space="preserve"> </w:t>
      </w:r>
      <w:r>
        <w:t xml:space="preserve">uniquely drives the result; rather, the test sits near the 5% threshold</w:t>
      </w:r>
      <w:r>
        <w:t xml:space="preserve"> </w:t>
      </w:r>
      <w:r>
        <w:t xml:space="preserve">and is sensitive to the exact composition of both sector subsamples. A</w:t>
      </w:r>
      <w:r>
        <w:t xml:space="preserve"> </w:t>
      </w:r>
      <w:r>
        <w:t xml:space="preserve">permutation test (10,000 random reassignments of sector labels) yields p</w:t>
      </w:r>
      <w:r>
        <w:t xml:space="preserve"> </w:t>
      </w:r>
      <w:r>
        <w:t xml:space="preserve">= 0.009, consistent with the direction not being an artifact of the</w:t>
      </w:r>
      <w:r>
        <w:t xml:space="preserve"> </w:t>
      </w:r>
      <w:r>
        <w:t xml:space="preserve">asymptotic approximation. We characterize this finding as suggestive</w:t>
      </w:r>
      <w:r>
        <w:t xml:space="preserve"> </w:t>
      </w:r>
      <w:r>
        <w:t xml:space="preserve">rather than robust.</w:t>
      </w:r>
    </w:p>
    <w:p>
      <w:pPr>
        <w:pStyle w:val="BodyText"/>
      </w:pPr>
      <w:r>
        <w:t xml:space="preserve">The subsidy-to-concentration correlation (Pearson r = 0.57, p = 0.008, N</w:t>
      </w:r>
      <w:r>
        <w:t xml:space="preserve"> </w:t>
      </w:r>
      <w:r>
        <w:t xml:space="preserve">= 20) is driven by a single protocol. Livepeer’s subsidy ratio of 88.5x</w:t>
      </w:r>
      <w:r>
        <w:t xml:space="preserve"> </w:t>
      </w:r>
      <w:r>
        <w:t xml:space="preserve">is a 3.5-sigma outlier on the subsidy axis, and its HHI (0.20) is the</w:t>
      </w:r>
      <w:r>
        <w:t xml:space="preserve"> </w:t>
      </w:r>
      <w:r>
        <w:t xml:space="preserve">second-highest in the subsidy subsample. Excluding Livepeer alone</w:t>
      </w:r>
      <w:r>
        <w:t xml:space="preserve"> </w:t>
      </w:r>
      <w:r>
        <w:t xml:space="preserve">reduces the correlation to r = 0.11 (p = 0.65). The remaining 19</w:t>
      </w:r>
      <w:r>
        <w:t xml:space="preserve"> </w:t>
      </w:r>
      <w:r>
        <w:t xml:space="preserve">protocols show no significant linear association. The Spearman rank</w:t>
      </w:r>
      <w:r>
        <w:t xml:space="preserve"> </w:t>
      </w:r>
      <w:r>
        <w:t xml:space="preserve">correlation on the full subsidy sample is also insignificant (rho =</w:t>
      </w:r>
      <w:r>
        <w:t xml:space="preserve"> </w:t>
      </w:r>
      <w:r>
        <w:t xml:space="preserve">0.16, p = 0.51), and a log transformation eliminates the linear</w:t>
      </w:r>
      <w:r>
        <w:t xml:space="preserve"> </w:t>
      </w:r>
      <w:r>
        <w:t xml:space="preserve">relationship (r = 0.27, p = 0.28). We report the Livepeer-inclusive</w:t>
      </w:r>
      <w:r>
        <w:t xml:space="preserve"> </w:t>
      </w:r>
      <w:r>
        <w:t xml:space="preserve">result for completeness but caution that it should not be interpreted as</w:t>
      </w:r>
      <w:r>
        <w:t xml:space="preserve"> </w:t>
      </w:r>
      <w:r>
        <w:t xml:space="preserve">a general property of the sample. A robustness check using the Token</w:t>
      </w:r>
      <w:r>
        <w:t xml:space="preserve"> </w:t>
      </w:r>
      <w:r>
        <w:t xml:space="preserve">Terminal subsidy_ratio (N = 19 protocols with non-null Token Terminal</w:t>
      </w:r>
      <w:r>
        <w:t xml:space="preserve"> </w:t>
      </w:r>
      <w:r>
        <w:t xml:space="preserve">revenue and incentives data) is consistent with the null at cross-sector</w:t>
      </w:r>
      <w:r>
        <w:t xml:space="preserve"> </w:t>
      </w:r>
      <w:r>
        <w:t xml:space="preserve">Pearson r = 0.097 (p ≈ 0.69); a broader merged sample combining Token</w:t>
      </w:r>
      <w:r>
        <w:t xml:space="preserve"> </w:t>
      </w:r>
      <w:r>
        <w:t xml:space="preserve">Terminal data with on-chain emission/fee ratios (N = 25 across both</w:t>
      </w:r>
      <w:r>
        <w:t xml:space="preserve"> </w:t>
      </w:r>
      <w:r>
        <w:t xml:space="preserve">methodologies; N = 22 protocols with non-zero subsidy under either</w:t>
      </w:r>
      <w:r>
        <w:t xml:space="preserve"> </w:t>
      </w:r>
      <w:r>
        <w:t xml:space="preserve">metric) yields r = 0.42 inclusive of Livepeer and r = 0.008 excluding</w:t>
      </w:r>
      <w:r>
        <w:t xml:space="preserve"> </w:t>
      </w:r>
      <w:r>
        <w:t xml:space="preserve">Livepeer, qualitatively replicating the main result that subsidy and</w:t>
      </w:r>
      <w:r>
        <w:t xml:space="preserve"> </w:t>
      </w:r>
      <w:r>
        <w:t xml:space="preserve">HHI co-vary only through the Livepeer outlier. Per-sector results in</w:t>
      </w:r>
      <w:r>
        <w:t xml:space="preserve"> </w:t>
      </w:r>
      <w:hyperlink r:id="rId100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S8</w:t>
        </w:r>
      </w:hyperlink>
      <w:r>
        <w:t xml:space="preserve">.</w:t>
      </w:r>
    </w:p>
    <w:p>
      <w:pPr>
        <w:pStyle w:val="BodyText"/>
      </w:pPr>
      <w:r>
        <w:drawing>
          <wp:inline>
            <wp:extent cx="5486400" cy="3658112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media/exhibit_subsidy_vs_hhi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7.</w:t>
      </w:r>
      <w:r>
        <w:rPr>
          <w:i/>
          <w:iCs/>
        </w:rPr>
        <w:t xml:space="preserve"> </w:t>
      </w:r>
      <w:r>
        <w:rPr>
          <w:i/>
          <w:iCs/>
        </w:rPr>
        <w:t xml:space="preserve">Subsidy ratio (emissions/revenue) vs. governance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concentration (HHI) for 20 protocols with on-chain subsidy data.</w:t>
      </w:r>
      <w:r>
        <w:rPr>
          <w:i/>
          <w:iCs/>
        </w:rPr>
        <w:t xml:space="preserve"> </w:t>
      </w:r>
      <w:r>
        <w:rPr>
          <w:i/>
          <w:iCs/>
        </w:rPr>
        <w:t xml:space="preserve">Livepeer (diamond, 88.5x) is a 3.5-sigma outlier that alone drives the</w:t>
      </w:r>
      <w:r>
        <w:rPr>
          <w:i/>
          <w:iCs/>
        </w:rPr>
        <w:t xml:space="preserve"> </w:t>
      </w:r>
      <w:r>
        <w:rPr>
          <w:i/>
          <w:iCs/>
        </w:rPr>
        <w:t xml:space="preserve">Pearson correlation from r = 0.11 (dashed line, excluding Livepeer) to r</w:t>
      </w:r>
      <w:r>
        <w:rPr>
          <w:i/>
          <w:iCs/>
        </w:rPr>
        <w:t xml:space="preserve"> </w:t>
      </w:r>
      <w:r>
        <w:rPr>
          <w:i/>
          <w:iCs/>
        </w:rPr>
        <w:t xml:space="preserve">= 0.57 (solid line, full sample). The Token Terminal robustness</w:t>
      </w:r>
      <w:r>
        <w:rPr>
          <w:i/>
          <w:iCs/>
        </w:rPr>
        <w:t xml:space="preserve"> </w:t>
      </w:r>
      <w:r>
        <w:rPr>
          <w:i/>
          <w:iCs/>
        </w:rPr>
        <w:t xml:space="preserve">sample (N = 19,</w:t>
      </w:r>
      <w:r>
        <w:t xml:space="preserve"> </w:t>
      </w:r>
      <w:hyperlink r:id="rId100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S8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is consistent with the null at r = 0.097. Reading the figure: the</w:t>
      </w:r>
      <w:r>
        <w:rPr>
          <w:i/>
          <w:iCs/>
        </w:rPr>
        <w:t xml:space="preserve"> </w:t>
      </w:r>
      <w:r>
        <w:rPr>
          <w:i/>
          <w:iCs/>
        </w:rPr>
        <w:t xml:space="preserve">cross-sector association weakens substantially when Livepeer is</w:t>
      </w:r>
      <w:r>
        <w:rPr>
          <w:i/>
          <w:iCs/>
        </w:rPr>
        <w:t xml:space="preserve"> </w:t>
      </w:r>
      <w:r>
        <w:rPr>
          <w:i/>
          <w:iCs/>
        </w:rPr>
        <w:t xml:space="preserve">excluded, indicating that the headline subsidy result is sensitive to a</w:t>
      </w:r>
      <w:r>
        <w:rPr>
          <w:i/>
          <w:iCs/>
        </w:rPr>
        <w:t xml:space="preserve"> </w:t>
      </w:r>
      <w:r>
        <w:rPr>
          <w:i/>
          <w:iCs/>
        </w:rPr>
        <w:t xml:space="preserve">single high-leverage protocol.</w:t>
      </w:r>
    </w:p>
    <w:p>
      <w:pPr>
        <w:pStyle w:val="BodyText"/>
      </w:pPr>
      <w:r>
        <w:t xml:space="preserve">Across all three findings, no single protocol drives more than one</w:t>
      </w:r>
      <w:r>
        <w:t xml:space="preserve"> </w:t>
      </w:r>
      <w:r>
        <w:t xml:space="preserve">result. Livepeer appears in both the sector-test flipper set and as the</w:t>
      </w:r>
      <w:r>
        <w:t xml:space="preserve"> </w:t>
      </w:r>
      <w:r>
        <w:t xml:space="preserve">sole subsidy flipper, but its sector influence is shared equally among</w:t>
      </w:r>
      <w:r>
        <w:t xml:space="preserve"> </w:t>
      </w:r>
      <w:r>
        <w:t xml:space="preserve">seven protocols, whereas its subsidy influence is singular.</w:t>
      </w:r>
    </w:p>
    <w:p>
      <w:pPr>
        <w:pStyle w:val="BodyText"/>
      </w:pPr>
      <w:r>
        <w:t xml:space="preserve">The universal-amplification finding in Section 3.5 also requires a</w:t>
      </w:r>
      <w:r>
        <w:t xml:space="preserve"> </w:t>
      </w:r>
      <w:r>
        <w:t xml:space="preserve">robustness check on the voting-HHI methodology. The Table 7 voting HHI</w:t>
      </w:r>
      <w:r>
        <w:t xml:space="preserve"> </w:t>
      </w:r>
      <w:r>
        <w:t xml:space="preserve">follows established delegation-HHI literature (Fritsch et al., 2024) by</w:t>
      </w:r>
      <w:r>
        <w:t xml:space="preserve"> </w:t>
      </w:r>
      <w:r>
        <w:t xml:space="preserve">including all delegates with non-zero voting power, regardless of</w:t>
      </w:r>
      <w:r>
        <w:t xml:space="preserve"> </w:t>
      </w:r>
      <w:r>
        <w:t xml:space="preserve">whether the delegate is a protocol-controlled entity. Applying</w:t>
      </w:r>
      <w:r>
        <w:t xml:space="preserve"> </w:t>
      </w:r>
      <w:r>
        <w:t xml:space="preserve">protocol-controlled-address exclusion symmetrically (excluding</w:t>
      </w:r>
      <w:r>
        <w:t xml:space="preserve"> </w:t>
      </w:r>
      <w:r>
        <w:t xml:space="preserve">foundation, treasury, and aggregation-contract delegates from voting</w:t>
      </w:r>
      <w:r>
        <w:t xml:space="preserve"> </w:t>
      </w:r>
      <w:r>
        <w:t xml:space="preserve">HHI as we exclude them from holding HHI) yields a sensitivity-check</w:t>
      </w:r>
      <w:r>
        <w:t xml:space="preserve"> </w:t>
      </w:r>
      <w:r>
        <w:t xml:space="preserve">result: among the five Tally-sourced protocols where PCA delegates can</w:t>
      </w:r>
      <w:r>
        <w:t xml:space="preserve"> </w:t>
      </w:r>
      <w:r>
        <w:t xml:space="preserve">be identified from Tally labels (Compound, Aave, Uniswap, Optimism,</w:t>
      </w:r>
      <w:r>
        <w:t xml:space="preserve"> </w:t>
      </w:r>
      <w:r>
        <w:t xml:space="preserve">Arbitrum), three (Uniswap, Optimism, Arbitrum) show zero PCA presence</w:t>
      </w:r>
      <w:r>
        <w:t xml:space="preserve"> </w:t>
      </w:r>
      <w:r>
        <w:t xml:space="preserve">in their top-100 delegates because their excluded foundation addresses</w:t>
      </w:r>
      <w:r>
        <w:t xml:space="preserve"> </w:t>
      </w:r>
      <w:r>
        <w:t xml:space="preserve">do not delegate voting power to themselves. Compound’s top delegate is</w:t>
      </w:r>
      <w:r>
        <w:t xml:space="preserve"> </w:t>
      </w:r>
      <w:r>
        <w:t xml:space="preserve">Compound Foundation (21.5% of total delegated voting power in the</w:t>
      </w:r>
      <w:r>
        <w:t xml:space="preserve"> </w:t>
      </w:r>
      <w:r>
        <w:t xml:space="preserve">May 2026 Tally pull); applying symmetric exclusion drops Compound’s</w:t>
      </w:r>
      <w:r>
        <w:t xml:space="preserve"> </w:t>
      </w:r>
      <w:r>
        <w:t xml:space="preserve">voting HHI from 0.078 to 0.052 and the amplification ratio from 1.89x</w:t>
      </w:r>
      <w:r>
        <w:t xml:space="preserve"> </w:t>
      </w:r>
      <w:r>
        <w:t xml:space="preserve">to 1.85x. Aave’s top delegate is the stkAAVE staking contract (21.9%</w:t>
      </w:r>
      <w:r>
        <w:t xml:space="preserve"> </w:t>
      </w:r>
      <w:r>
        <w:t xml:space="preserve">of total delegated voting power); this is a passthrough aggregation</w:t>
      </w:r>
      <w:r>
        <w:t xml:space="preserve"> </w:t>
      </w:r>
      <w:r>
        <w:t xml:space="preserve">rather than an institutional PCA, but symmetric exclusion under the</w:t>
      </w:r>
      <w:r>
        <w:t xml:space="preserve"> </w:t>
      </w:r>
      <w:r>
        <w:t xml:space="preserve">broader definition drops Aave’s voting HHI from 0.076 to 0.045 and the</w:t>
      </w:r>
      <w:r>
        <w:t xml:space="preserve"> </w:t>
      </w:r>
      <w:r>
        <w:t xml:space="preserve">ratio from 3.80x to 2.26x. The universal-amplification finding holds</w:t>
      </w:r>
      <w:r>
        <w:t xml:space="preserve"> </w:t>
      </w:r>
      <w:r>
        <w:t xml:space="preserve">across all five Tally-sourced protocols even under symmetric PCA</w:t>
      </w:r>
      <w:r>
        <w:t xml:space="preserve"> </w:t>
      </w:r>
      <w:r>
        <w:t xml:space="preserve">exclusion. The Compound Foundation case is particularly informative:</w:t>
      </w:r>
      <w:r>
        <w:t xml:space="preserve"> </w:t>
      </w:r>
      <w:r>
        <w:t xml:space="preserve">the R1 Snapshot-based voting HHI for Compound (0.053) is essentially</w:t>
      </w:r>
      <w:r>
        <w:t xml:space="preserve"> </w:t>
      </w:r>
      <w:r>
        <w:t xml:space="preserve">equivalent to the PCA-excluded Tally value (0.052), suggesting that</w:t>
      </w:r>
      <w:r>
        <w:t xml:space="preserve"> </w:t>
      </w:r>
      <w:r>
        <w:t xml:space="preserve">the Snapshot methodology, which captures broader voter participation,</w:t>
      </w:r>
      <w:r>
        <w:t xml:space="preserve"> </w:t>
      </w:r>
      <w:r>
        <w:t xml:space="preserve">partially internalizes the PCA-exclusion logic.</w:t>
      </w:r>
    </w:p>
    <w:p>
      <w:pPr>
        <w:pStyle w:val="BodyText"/>
      </w:pPr>
      <w:r>
        <w:t xml:space="preserve">As a further robustness check, we compute Theil (Theil 1967) and</w:t>
      </w:r>
      <w:r>
        <w:t xml:space="preserve"> </w:t>
      </w:r>
      <w:r>
        <w:t xml:space="preserve">Atkinson(0.5) (Atkinson 1970) inequality indices on the post-exclusion</w:t>
      </w:r>
      <w:r>
        <w:t xml:space="preserve"> </w:t>
      </w:r>
      <w:r>
        <w:t xml:space="preserve">top-1,000 holder distributions for all 40 protocols, using the same</w:t>
      </w:r>
      <w:r>
        <w:t xml:space="preserve"> </w:t>
      </w:r>
      <w:r>
        <w:t xml:space="preserve">protocol-controlled-address exclusion methodology applied to HHI</w:t>
      </w:r>
      <w:r>
        <w:t xml:space="preserve"> </w:t>
      </w:r>
      <w:r>
        <w:t xml:space="preserve">computation (per exclusions_log.csv and the F1 cycle refinements).</w:t>
      </w:r>
      <w:r>
        <w:t xml:space="preserve"> </w:t>
      </w:r>
      <w:r>
        <w:t xml:space="preserve">The Theil and Atkinson indices are alternative information-theoretic</w:t>
      </w:r>
      <w:r>
        <w:t xml:space="preserve"> </w:t>
      </w:r>
      <w:r>
        <w:t xml:space="preserve">inequality metrics with different weighting structures: Theil weights</w:t>
      </w:r>
      <w:r>
        <w:t xml:space="preserve"> </w:t>
      </w:r>
      <w:r>
        <w:t xml:space="preserve">mid-tail observations more heavily than HHI; Atkinson(0.5) uses an</w:t>
      </w:r>
      <w:r>
        <w:t xml:space="preserve"> </w:t>
      </w:r>
      <w:r>
        <w:t xml:space="preserve">explicit inequality-aversion parameter (here 0.5; aversion increases</w:t>
      </w:r>
      <w:r>
        <w:t xml:space="preserve"> </w:t>
      </w:r>
      <w:r>
        <w:t xml:space="preserve">with the parameter toward 1). Theil indices range from 1.36 (Arbitrum)</w:t>
      </w:r>
      <w:r>
        <w:t xml:space="preserve"> </w:t>
      </w:r>
      <w:r>
        <w:t xml:space="preserve">to 6.46 (Maple) and Atkinson(0.5) indices from 0.49 (Arbitrum) to 0.97</w:t>
      </w:r>
      <w:r>
        <w:t xml:space="preserve"> </w:t>
      </w:r>
      <w:r>
        <w:t xml:space="preserve">(Maple). HHI (Hirschman 1964 traces the index to Hirschman 1945 and</w:t>
      </w:r>
      <w:r>
        <w:t xml:space="preserve"> </w:t>
      </w:r>
      <w:r>
        <w:t xml:space="preserve">Herfindahl 1950) correlates strongly with Theil (Pearson r = 0.77)</w:t>
      </w:r>
      <w:r>
        <w:t xml:space="preserve"> </w:t>
      </w:r>
      <w:r>
        <w:t xml:space="preserve">and moderately with Atkinson (r = 0.41) across the post-exclusion</w:t>
      </w:r>
      <w:r>
        <w:t xml:space="preserve"> </w:t>
      </w:r>
      <w:r>
        <w:t xml:space="preserve">sample; Gini correlates strongly with Atkinson (r = 0.98) and Theil</w:t>
      </w:r>
      <w:r>
        <w:t xml:space="preserve"> </w:t>
      </w:r>
      <w:r>
        <w:t xml:space="preserve">(r = 0.79). The strong HHI-Theil correlation on the post-exclusion</w:t>
      </w:r>
      <w:r>
        <w:t xml:space="preserve"> </w:t>
      </w:r>
      <w:r>
        <w:t xml:space="preserve">sample indicates that the rank ordering across protocols is largely</w:t>
      </w:r>
      <w:r>
        <w:t xml:space="preserve"> </w:t>
      </w:r>
      <w:r>
        <w:t xml:space="preserve">robust to the choice of concentration metric. This addresses the</w:t>
      </w:r>
      <w:r>
        <w:t xml:space="preserve"> </w:t>
      </w:r>
      <w:r>
        <w:t xml:space="preserve">value-validity concern that Kvalsoth (2022a) raises about HHI in</w:t>
      </w:r>
      <w:r>
        <w:t xml:space="preserve"> </w:t>
      </w:r>
      <w:r>
        <w:t xml:space="preserve">highly asymmetric distributions: the cross-protocol comparisons</w:t>
      </w:r>
      <w:r>
        <w:t xml:space="preserve"> </w:t>
      </w:r>
      <w:r>
        <w:t xml:space="preserve">reported in Sections 3.2 through 3.5 are not artifacts of the HHI</w:t>
      </w:r>
      <w:r>
        <w:t xml:space="preserve"> </w:t>
      </w:r>
      <w:r>
        <w:t xml:space="preserve">functional form alone. The supplementary file reports per-protocol</w:t>
      </w:r>
      <w:r>
        <w:t xml:space="preserve"> </w:t>
      </w:r>
      <w:r>
        <w:t xml:space="preserve">Theil and Atkinson values under the same PCA-exclusion methodology</w:t>
      </w:r>
      <w:r>
        <w:t xml:space="preserve"> </w:t>
      </w:r>
      <w:r>
        <w:t xml:space="preserve">as the main analysis (Supplementary File S9).</w:t>
      </w:r>
    </w:p>
    <w:p>
      <w:pPr>
        <w:pStyle w:val="BodyText"/>
      </w:pPr>
      <w:r>
        <w:t xml:space="preserve">Multiple-comparisons consideration. Table 5 reports fourteen separate</w:t>
      </w:r>
      <w:r>
        <w:t xml:space="preserve"> </w:t>
      </w:r>
      <w:r>
        <w:t xml:space="preserve">bivariate tests. Under a nominal alpha of 0.05 with no correction, the</w:t>
      </w:r>
      <w:r>
        <w:t xml:space="preserve"> </w:t>
      </w:r>
      <w:r>
        <w:t xml:space="preserve">expected false-positive rate across fourteen independent tests is</w:t>
      </w:r>
      <w:r>
        <w:t xml:space="preserve"> </w:t>
      </w:r>
      <w:r>
        <w:t xml:space="preserve">approximately 0.7 spurious significant findings. Four tests in Table 5</w:t>
      </w:r>
      <w:r>
        <w:t xml:space="preserve"> </w:t>
      </w:r>
      <w:r>
        <w:t xml:space="preserve">reach p less than 0.05: the insider count fraction (Spearman rho =</w:t>
      </w:r>
      <w:r>
        <w:t xml:space="preserve"> </w:t>
      </w:r>
      <w:r>
        <w:t xml:space="preserve">0.48, p = 0.003), the V1 non-insider HHI tautology check (Spearman</w:t>
      </w:r>
      <w:r>
        <w:t xml:space="preserve"> </w:t>
      </w:r>
      <w:r>
        <w:t xml:space="preserve">rho = 0.54, p = 0.001), the subsidy ratio with Livepeer included</w:t>
      </w:r>
      <w:r>
        <w:t xml:space="preserve"> </w:t>
      </w:r>
      <w:r>
        <w:t xml:space="preserve">(Pearson r = 0.57, p = 0.008), and the HHI-Gini cross-metric</w:t>
      </w:r>
      <w:r>
        <w:t xml:space="preserve"> </w:t>
      </w:r>
      <w:r>
        <w:t xml:space="preserve">correlation (Pearson r = 0.51, p less than 0.001 expected). Applying</w:t>
      </w:r>
      <w:r>
        <w:t xml:space="preserve"> </w:t>
      </w:r>
      <w:r>
        <w:t xml:space="preserve">a Benjamini-Hochberg false-discovery-rate correction at q = 0.05,</w:t>
      </w:r>
      <w:r>
        <w:t xml:space="preserve"> </w:t>
      </w:r>
      <w:r>
        <w:t xml:space="preserve">three of the four findings remain significant (the subsidy-with-Livepeer</w:t>
      </w:r>
      <w:r>
        <w:t xml:space="preserve"> </w:t>
      </w:r>
      <w:r>
        <w:t xml:space="preserve">correlation is fragile under multiple-comparisons correction in</w:t>
      </w:r>
      <w:r>
        <w:t xml:space="preserve"> </w:t>
      </w:r>
      <w:r>
        <w:t xml:space="preserve">addition to the Livepeer-outlier sensitivity documented earlier in</w:t>
      </w:r>
      <w:r>
        <w:t xml:space="preserve"> </w:t>
      </w:r>
      <w:r>
        <w:t xml:space="preserve">this section). The headline empirical claims of this paper (the</w:t>
      </w:r>
      <w:r>
        <w:t xml:space="preserve"> </w:t>
      </w:r>
      <w:r>
        <w:t xml:space="preserve">allocation null in Section 3.4; the sector contrast in Section 3.3;</w:t>
      </w:r>
      <w:r>
        <w:t xml:space="preserve"> </w:t>
      </w:r>
      <w:r>
        <w:t xml:space="preserve">the universal delegation amplification in Section 3.5) do not depend</w:t>
      </w:r>
      <w:r>
        <w:t xml:space="preserve"> </w:t>
      </w:r>
      <w:r>
        <w:t xml:space="preserve">on the subsidy-with-Livepeer result; future panel-data work testing</w:t>
      </w:r>
      <w:r>
        <w:t xml:space="preserve"> </w:t>
      </w:r>
      <w:r>
        <w:t xml:space="preserve">the predictions in Section 4.9 will be pre-registered to commit</w:t>
      </w:r>
      <w:r>
        <w:t xml:space="preserve"> </w:t>
      </w:r>
      <w:r>
        <w:t xml:space="preserve">hypothesis specifications prior to data analysis, reducing</w:t>
      </w:r>
      <w:r>
        <w:t xml:space="preserve"> </w:t>
      </w:r>
      <w:r>
        <w:t xml:space="preserve">multiple-comparisons concerns for the panel design.</w:t>
      </w:r>
    </w:p>
    <w:p>
      <w:pPr>
        <w:pStyle w:val="BodyText"/>
      </w:pPr>
      <w:r>
        <w:t xml:space="preserve">Effect-size emphasis. Per the American Statistical Association</w:t>
      </w:r>
      <w:r>
        <w:t xml:space="preserve"> </w:t>
      </w:r>
      <w:r>
        <w:t xml:space="preserve">statement on p-values (Wasserstein &amp; Lazar, 2016) and effect-size</w:t>
      </w:r>
      <w:r>
        <w:t xml:space="preserve"> </w:t>
      </w:r>
      <w:r>
        <w:t xml:space="preserve">discipline (Cohen, 1988), we emphasize effect-size magnitudes alongside</w:t>
      </w:r>
      <w:r>
        <w:t xml:space="preserve"> </w:t>
      </w:r>
      <w:r>
        <w:t xml:space="preserve">p-values for the headline empirical claims. The sector contrast in</w:t>
      </w:r>
      <w:r>
        <w:t xml:space="preserve"> </w:t>
      </w:r>
      <w:r>
        <w:t xml:space="preserve">Section 3.3 has Cohen’s d = 1.03 (large effect by Cohen’s conventional</w:t>
      </w:r>
      <w:r>
        <w:t xml:space="preserve"> </w:t>
      </w:r>
      <w:r>
        <w:t xml:space="preserve">thresholds), substantially exceeding d = 0.5 (medium effect) and d =</w:t>
      </w:r>
      <w:r>
        <w:t xml:space="preserve"> </w:t>
      </w:r>
      <w:r>
        <w:t xml:space="preserve">0.8 (large effect), and is robust across all 30 of 30 leave-one-out</w:t>
      </w:r>
      <w:r>
        <w:t xml:space="preserve"> </w:t>
      </w:r>
      <w:r>
        <w:t xml:space="preserve">iterations. The insider-retention correlation has Spearman rho = 0.48,</w:t>
      </w:r>
      <w:r>
        <w:t xml:space="preserve"> </w:t>
      </w:r>
      <w:r>
        <w:t xml:space="preserve">exceeding the rho &gt;= 0.30 threshold for moderate-to-large rank</w:t>
      </w:r>
      <w:r>
        <w:t xml:space="preserve"> </w:t>
      </w:r>
      <w:r>
        <w:t xml:space="preserve">association. The universal delegation amplification finding has nine of ten</w:t>
      </w:r>
      <w:r>
        <w:t xml:space="preserve"> </w:t>
      </w:r>
      <w:r>
        <w:t xml:space="preserve">protocols above the 1.0x ratio threshold (ENS at 0.21x is the</w:t>
      </w:r>
      <w:r>
        <w:t xml:space="preserve"> </w:t>
      </w:r>
      <w:r>
        <w:t xml:space="preserve">structural exception), with mean amplification of 3.3x and the</w:t>
      </w:r>
      <w:r>
        <w:t xml:space="preserve"> </w:t>
      </w:r>
      <w:r>
        <w:t xml:space="preserve">smallest amplification (GMX at 1.4x) still representing a meaningful</w:t>
      </w:r>
      <w:r>
        <w:t xml:space="preserve"> </w:t>
      </w:r>
      <w:r>
        <w:t xml:space="preserve">concentration of voting power above holdings.</w:t>
      </w:r>
      <w:r>
        <w:t xml:space="preserve"> </w:t>
      </w:r>
      <w:r>
        <w:t xml:space="preserve">These effect sizes carry substantive practical significance independent</w:t>
      </w:r>
      <w:r>
        <w:t xml:space="preserve"> </w:t>
      </w:r>
      <w:r>
        <w:t xml:space="preserve">of significance-test thresholds, which are conservative under the</w:t>
      </w:r>
      <w:r>
        <w:t xml:space="preserve"> </w:t>
      </w:r>
      <w:r>
        <w:t xml:space="preserve">multiple-comparisons correction documented above.</w:t>
      </w:r>
    </w:p>
    <w:p>
      <w:pPr>
        <w:pStyle w:val="BodyText"/>
      </w:pPr>
      <w:r>
        <w:t xml:space="preserve">Sample-size justification. The 40-protocol cross-section is adequate</w:t>
      </w:r>
      <w:r>
        <w:t xml:space="preserve"> </w:t>
      </w:r>
      <w:r>
        <w:t xml:space="preserve">for detecting medium-to-large effects at conventional thresholds</w:t>
      </w:r>
      <w:r>
        <w:t xml:space="preserve"> </w:t>
      </w:r>
      <w:r>
        <w:t xml:space="preserve">(Cohen, 1988). For Pearson correlation tests at N=37 (the dominant</w:t>
      </w:r>
      <w:r>
        <w:t xml:space="preserve"> </w:t>
      </w:r>
      <w:r>
        <w:t xml:space="preserve">sample size for the allocation-covariate battery), power = 0.80 at</w:t>
      </w:r>
      <w:r>
        <w:t xml:space="preserve"> </w:t>
      </w:r>
      <w:r>
        <w:t xml:space="preserve">alpha = 0.05 obtains for |r| &gt;= 0.45 (large-effect threshold); the</w:t>
      </w:r>
      <w:r>
        <w:t xml:space="preserve"> </w:t>
      </w:r>
      <w:r>
        <w:t xml:space="preserve">significant findings (Spearman rho = 0.48 for insider count fraction;</w:t>
      </w:r>
      <w:r>
        <w:t xml:space="preserve"> </w:t>
      </w:r>
      <w:r>
        <w:t xml:space="preserve">Pearson r = 0.51 for HHI-Gini) lie within this detectable range. For</w:t>
      </w:r>
      <w:r>
        <w:t xml:space="preserve"> </w:t>
      </w:r>
      <w:r>
        <w:t xml:space="preserve">the Mann-Whitney sector contrast at N = 15 DePIN versus N = 15 DeFi,</w:t>
      </w:r>
      <w:r>
        <w:t xml:space="preserve"> </w:t>
      </w:r>
      <w:r>
        <w:t xml:space="preserve">power = 0.80 obtains for Cohen’s d &gt;= 0.95 (large-effect threshold);</w:t>
      </w:r>
      <w:r>
        <w:t xml:space="preserve"> </w:t>
      </w:r>
      <w:r>
        <w:t xml:space="preserve">the observed d = 1.03 lies within this detectable range. The 40-protocol</w:t>
      </w:r>
      <w:r>
        <w:t xml:space="preserve"> </w:t>
      </w:r>
      <w:r>
        <w:t xml:space="preserve">sample is intentionally targeted at detecting medium-to-large structural</w:t>
      </w:r>
      <w:r>
        <w:t xml:space="preserve"> </w:t>
      </w:r>
      <w:r>
        <w:t xml:space="preserve">effects rather than small-effect noise; the sample-size pre-registration</w:t>
      </w:r>
      <w:r>
        <w:t xml:space="preserve"> </w:t>
      </w:r>
      <w:r>
        <w:t xml:space="preserve">specification in Supplementary File S5 documents the threshold of</w:t>
      </w:r>
      <w:r>
        <w:t xml:space="preserve"> </w:t>
      </w:r>
      <w:r>
        <w:t xml:space="preserve">N = 50 to 60 as the requirement for robust multivariate regression with</w:t>
      </w:r>
      <w:r>
        <w:t xml:space="preserve"> </w:t>
      </w:r>
      <w:r>
        <w:t xml:space="preserve">4-plus covariates (Section 3.4 Table 6 fits N = 35 to 38 specifications,</w:t>
      </w:r>
      <w:r>
        <w:t xml:space="preserve"> </w:t>
      </w:r>
      <w:r>
        <w:t xml:space="preserve">which is below this robust-multivariate threshold; results from Table 6</w:t>
      </w:r>
      <w:r>
        <w:t xml:space="preserve"> </w:t>
      </w:r>
      <w:r>
        <w:t xml:space="preserve">are accordingly reported with explicit acknowledgment of the</w:t>
      </w:r>
      <w:r>
        <w:t xml:space="preserve"> </w:t>
      </w:r>
      <w:r>
        <w:t xml:space="preserve">multivariate sample-size constraint).</w:t>
      </w:r>
    </w:p>
    <w:p>
      <w:pPr>
        <w:pStyle w:val="BodyText"/>
      </w:pPr>
      <w:r>
        <w:t xml:space="preserve">Top-N holder-list cutoff sensitivity. The R1 F1 cycle surfaced a</w:t>
      </w:r>
      <w:r>
        <w:t xml:space="preserve"> </w:t>
      </w:r>
      <w:r>
        <w:t xml:space="preserve">methodological lesson with broad applicability: holder-list extraction</w:t>
      </w:r>
      <w:r>
        <w:t xml:space="preserve"> </w:t>
      </w:r>
      <w:r>
        <w:t xml:space="preserve">cutoffs materially affect the measured concentration for sparse-holder</w:t>
      </w:r>
      <w:r>
        <w:t xml:space="preserve"> </w:t>
      </w:r>
      <w:r>
        <w:t xml:space="preserve">protocols. For three protocols (MOR, AXL, ZRO), Dune holder-list</w:t>
      </w:r>
      <w:r>
        <w:t xml:space="preserve"> </w:t>
      </w:r>
      <w:r>
        <w:t xml:space="preserve">queries had been inadvertently capped at top-100 rather than top-1000;</w:t>
      </w:r>
      <w:r>
        <w:t xml:space="preserve"> </w:t>
      </w:r>
      <w:r>
        <w:t xml:space="preserve">re-pulling at the top-1000 cutoff after applying PCA exclusion methodology</w:t>
      </w:r>
      <w:r>
        <w:t xml:space="preserve"> </w:t>
      </w:r>
      <w:r>
        <w:t xml:space="preserve">yielded substantively different HHI values: MOR 0.013 to 0.031 (post-F1);</w:t>
      </w:r>
      <w:r>
        <w:t xml:space="preserve"> </w:t>
      </w:r>
      <w:r>
        <w:t xml:space="preserve">AXL 0.004 to 0.028 (post-F1); ZRO 0.010 to 0.015 (post-F1). The</w:t>
      </w:r>
      <w:r>
        <w:t xml:space="preserve"> </w:t>
      </w:r>
      <w:r>
        <w:t xml:space="preserve">correction affected the cross-sector test statistics (DePIN-vs-DeFi</w:t>
      </w:r>
      <w:r>
        <w:t xml:space="preserve"> </w:t>
      </w:r>
      <w:r>
        <w:t xml:space="preserve">Mann-Whitney p = 0.027 to 0.016; Cohen’s d = 1.02 to 1.10; leave-one-out</w:t>
      </w:r>
      <w:r>
        <w:t xml:space="preserve"> </w:t>
      </w:r>
      <w:r>
        <w:t xml:space="preserve">sensitivity 23-of-30 to 30-of-30). The methodological lesson generalizes:</w:t>
      </w:r>
      <w:r>
        <w:t xml:space="preserve"> </w:t>
      </w:r>
      <w:r>
        <w:t xml:space="preserve">for any cross-protocol governance HHI analysis, holder-list extraction</w:t>
      </w:r>
      <w:r>
        <w:t xml:space="preserve"> </w:t>
      </w:r>
      <w:r>
        <w:t xml:space="preserve">must use a uniform cutoff (top-1000 in this paper; top-10000 or full</w:t>
      </w:r>
      <w:r>
        <w:t xml:space="preserve"> </w:t>
      </w:r>
      <w:r>
        <w:t xml:space="preserve">holder distribution for protocols with substantially larger holder</w:t>
      </w:r>
      <w:r>
        <w:t xml:space="preserve"> </w:t>
      </w:r>
      <w:r>
        <w:t xml:space="preserve">counts), and the cutoff choice should be documented as part of the</w:t>
      </w:r>
      <w:r>
        <w:t xml:space="preserve"> </w:t>
      </w:r>
      <w:r>
        <w:t xml:space="preserve">methodology so future replication can reproduce the exact sample frame.</w:t>
      </w:r>
    </w:p>
    <w:p>
      <w:pPr>
        <w:pStyle w:val="BodyText"/>
      </w:pPr>
      <w:r>
        <w:t xml:space="preserve">Governance concentration shows no association with voter participation</w:t>
      </w:r>
      <w:r>
        <w:t xml:space="preserve"> </w:t>
      </w:r>
      <w:r>
        <w:t xml:space="preserve">rates (r = 0.00, N = 13; Figure 8), consistent with the Olson (1965)</w:t>
      </w:r>
      <w:r>
        <w:t xml:space="preserve"> </w:t>
      </w:r>
      <w:r>
        <w:t xml:space="preserve">collective action prediction that participation decisions reflect</w:t>
      </w:r>
      <w:r>
        <w:t xml:space="preserve"> </w:t>
      </w:r>
      <w:r>
        <w:t xml:space="preserve">rational abstention and diffusion of responsibility rather than</w:t>
      </w:r>
      <w:r>
        <w:t xml:space="preserve"> </w:t>
      </w:r>
      <w:r>
        <w:t xml:space="preserve">ownership structure.</w:t>
      </w:r>
    </w:p>
    <w:p>
      <w:pPr>
        <w:pStyle w:val="BodyText"/>
      </w:pPr>
      <w:r>
        <w:drawing>
          <wp:inline>
            <wp:extent cx="5029200" cy="3670153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exhibit_concentration_participation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7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8.</w:t>
      </w:r>
      <w:r>
        <w:rPr>
          <w:i/>
          <w:iCs/>
        </w:rPr>
        <w:t xml:space="preserve"> </w:t>
      </w:r>
      <w:r>
        <w:rPr>
          <w:i/>
          <w:iCs/>
        </w:rPr>
        <w:t xml:space="preserve">HHI vs. average voter participation for 13 protocols with</w:t>
      </w:r>
      <w:r>
        <w:rPr>
          <w:i/>
          <w:iCs/>
        </w:rPr>
        <w:t xml:space="preserve"> </w:t>
      </w:r>
      <w:r>
        <w:rPr>
          <w:i/>
          <w:iCs/>
        </w:rPr>
        <w:t xml:space="preserve">Snapshot or Governor governance data. Governance concentration shows no</w:t>
      </w:r>
      <w:r>
        <w:rPr>
          <w:i/>
          <w:iCs/>
        </w:rPr>
        <w:t xml:space="preserve"> </w:t>
      </w:r>
      <w:r>
        <w:rPr>
          <w:i/>
          <w:iCs/>
        </w:rPr>
        <w:t xml:space="preserve">association with voter participation (r = 0.00, N = 13). Five protocols</w:t>
      </w:r>
      <w:r>
        <w:rPr>
          <w:i/>
          <w:iCs/>
        </w:rPr>
        <w:t xml:space="preserve"> </w:t>
      </w:r>
      <w:r>
        <w:rPr>
          <w:i/>
          <w:iCs/>
        </w:rPr>
        <w:t xml:space="preserve">(GMX, ENS, Rocket Pool, Gitcoin, Balancer) were added via Snapshot API;</w:t>
      </w:r>
      <w:r>
        <w:rPr>
          <w:i/>
          <w:iCs/>
        </w:rPr>
        <w:t xml:space="preserve"> </w:t>
      </w:r>
      <w:r>
        <w:rPr>
          <w:i/>
          <w:iCs/>
        </w:rPr>
        <w:t xml:space="preserve">four Tier 1 spaces (CRV, GRT, IOTX, OP) had zero proposals in the</w:t>
      </w:r>
      <w:r>
        <w:rPr>
          <w:i/>
          <w:iCs/>
        </w:rPr>
        <w:t xml:space="preserve"> </w:t>
      </w:r>
      <w:r>
        <w:rPr>
          <w:i/>
          <w:iCs/>
        </w:rPr>
        <w:t xml:space="preserve">trailing 12 months and are excluded. Reading the figure: the slope is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approximately flat, indicating that voter participation does not predict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concentration in this 13-protocol sample; participation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concentration are largely independent dimensions of governance health.</w:t>
      </w:r>
    </w:p>
    <w:bookmarkEnd w:id="107"/>
    <w:bookmarkEnd w:id="108"/>
    <w:bookmarkStart w:id="119" w:name="discussion"/>
    <w:p>
      <w:pPr>
        <w:pStyle w:val="Heading1"/>
      </w:pPr>
      <w:r>
        <w:t xml:space="preserve">4 Discussion</w:t>
      </w:r>
    </w:p>
    <w:bookmarkStart w:id="109" w:name="design-hypotheses"/>
    <w:p>
      <w:pPr>
        <w:pStyle w:val="Heading2"/>
      </w:pPr>
      <w:r>
        <w:t xml:space="preserve">4.1 Design Hypotheses</w:t>
      </w:r>
    </w:p>
    <w:p>
      <w:pPr>
        <w:pStyle w:val="FirstParagraph"/>
      </w:pPr>
      <w:r>
        <w:t xml:space="preserve">No protocol in the corrected cross-section exceeds the 0.25 HHI</w:t>
      </w:r>
      <w:r>
        <w:t xml:space="preserve"> </w:t>
      </w:r>
      <w:r>
        <w:t xml:space="preserve">antitrust threshold, but the conditions that publicity and</w:t>
      </w:r>
      <w:r>
        <w:t xml:space="preserve"> </w:t>
      </w:r>
      <w:r>
        <w:t xml:space="preserve">non-domination traditions identify as problematic are already present at</w:t>
      </w:r>
      <w:r>
        <w:t xml:space="preserve"> </w:t>
      </w:r>
      <w:r>
        <w:t xml:space="preserve">the upper end of the distribution: Livepeer (0.199), WeatherXM (0.148),</w:t>
      </w:r>
      <w:r>
        <w:t xml:space="preserve"> </w:t>
      </w:r>
      <w:r>
        <w:t xml:space="preserve">and Aethir (0.153) all sit in territory where governance decisions can</w:t>
      </w:r>
      <w:r>
        <w:t xml:space="preserve"> </w:t>
      </w:r>
      <w:r>
        <w:t xml:space="preserve">disproportionately reflect a small set of holders’ preferences. The</w:t>
      </w:r>
      <w:r>
        <w:t xml:space="preserve"> </w:t>
      </w:r>
      <w:r>
        <w:t xml:space="preserve">cross-section provides descriptive evidence most directly relevant to</w:t>
      </w:r>
      <w:r>
        <w:t xml:space="preserve"> </w:t>
      </w:r>
      <w:r>
        <w:t xml:space="preserve">Hypotheses 1 (publicity-legitimacy) and 2 (contestability), indirect</w:t>
      </w:r>
      <w:r>
        <w:t xml:space="preserve"> </w:t>
      </w:r>
      <w:r>
        <w:t xml:space="preserve">evidence for Hypotheses 4 and 5 (adaptivity, polycentricity), and</w:t>
      </w:r>
      <w:r>
        <w:t xml:space="preserve"> </w:t>
      </w:r>
      <w:r>
        <w:t xml:space="preserve">identifies three evidence frontiers (capability, contextual integrity,</w:t>
      </w:r>
      <w:r>
        <w:t xml:space="preserve"> </w:t>
      </w:r>
      <w:r>
        <w:t xml:space="preserve">cosmopolitanism). We organize the discussion by what the data directly</w:t>
      </w:r>
      <w:r>
        <w:t xml:space="preserve"> </w:t>
      </w:r>
      <w:r>
        <w:t xml:space="preserve">demonstrate, what they constrain, and what lies beyond the current</w:t>
      </w:r>
      <w:r>
        <w:t xml:space="preserve"> </w:t>
      </w:r>
      <w:r>
        <w:t xml:space="preserve">evidence base.</w:t>
      </w:r>
    </w:p>
    <w:p>
      <w:pPr>
        <w:pStyle w:val="BodyText"/>
      </w:pPr>
      <w:r>
        <w:t xml:space="preserve">Three empirical findings carry implications across multiple lenses of</w:t>
      </w:r>
      <w:r>
        <w:t xml:space="preserve"> </w:t>
      </w:r>
      <w:r>
        <w:t xml:space="preserve">the framework, exemplifying the mutually-reinforcing architecture</w:t>
      </w:r>
      <w:r>
        <w:t xml:space="preserve"> </w:t>
      </w:r>
      <w:r>
        <w:t xml:space="preserve">described in Section 2.9.6:</w:t>
      </w:r>
    </w:p>
    <w:p>
      <w:pPr>
        <w:pStyle w:val="BodyText"/>
      </w:pPr>
      <w:r>
        <w:rPr>
          <w:b/>
          <w:bCs/>
        </w:rPr>
        <w:t xml:space="preserve">Near-universal delegation amplification (Section 3.5)</w:t>
      </w:r>
      <w:r>
        <w:t xml:space="preserve"> </w:t>
      </w:r>
      <w:r>
        <w:t xml:space="preserve">registers as</w:t>
      </w:r>
      <w:r>
        <w:t xml:space="preserve"> </w:t>
      </w:r>
      <w:r>
        <w:t xml:space="preserve">a multi-lens concern: token-weighted delegation concentrates voting power</w:t>
      </w:r>
      <w:r>
        <w:t xml:space="preserve"> </w:t>
      </w:r>
      <w:r>
        <w:t xml:space="preserve">in nine of ten sampled protocols (ratios 1.4x to 6.0x; mean for the</w:t>
      </w:r>
      <w:r>
        <w:t xml:space="preserve"> </w:t>
      </w:r>
      <w:r>
        <w:t xml:space="preserve">nine amplifying protocols 3.8x; one structural-exception protocol (ENS</w:t>
      </w:r>
      <w:r>
        <w:t xml:space="preserve"> </w:t>
      </w:r>
      <w:r>
        <w:t xml:space="preserve">at 0.21x) reflects a mature delegate program where holders systematically</w:t>
      </w:r>
      <w:r>
        <w:t xml:space="preserve"> </w:t>
      </w:r>
      <w:r>
        <w:t xml:space="preserve">delegate to a broad community-delegate set rather than self-delegating),</w:t>
      </w:r>
      <w:r>
        <w:t xml:space="preserve"> </w:t>
      </w:r>
      <w:r>
        <w:t xml:space="preserve">which (a) thins Kantian publicity by enabling governance decisions to</w:t>
      </w:r>
      <w:r>
        <w:t xml:space="preserve"> </w:t>
      </w:r>
      <w:r>
        <w:t xml:space="preserve">proceed without genuine public deliberation when a handful of delegates</w:t>
      </w:r>
      <w:r>
        <w:t xml:space="preserve"> </w:t>
      </w:r>
      <w:r>
        <w:t xml:space="preserve">hold majority voting power; (b) attenuates Pettit contestability in</w:t>
      </w:r>
      <w:r>
        <w:t xml:space="preserve"> </w:t>
      </w:r>
      <w:r>
        <w:t xml:space="preserve">practice, since formal contestation mechanisms may exist on paper but</w:t>
      </w:r>
      <w:r>
        <w:t xml:space="preserve"> </w:t>
      </w:r>
      <w:r>
        <w:t xml:space="preserve">be ineffective when 1-5 delegates can pass or block proposals; (c)</w:t>
      </w:r>
      <w:r>
        <w:t xml:space="preserve"> </w:t>
      </w:r>
      <w:r>
        <w:t xml:space="preserve">undermines Rawlsian fairness by structurally privileging large</w:t>
      </w:r>
      <w:r>
        <w:t xml:space="preserve"> </w:t>
      </w:r>
      <w:r>
        <w:t xml:space="preserve">delegates over small holders in any outcome contestation produces; (d)</w:t>
      </w:r>
      <w:r>
        <w:t xml:space="preserve"> </w:t>
      </w:r>
      <w:r>
        <w:t xml:space="preserve">inverts Ostromian polycentricity, since centralized delegation pools</w:t>
      </w:r>
      <w:r>
        <w:t xml:space="preserve"> </w:t>
      </w:r>
      <w:r>
        <w:t xml:space="preserve">are the institutional opposite of nested decision-centers; and (e)</w:t>
      </w:r>
      <w:r>
        <w:t xml:space="preserve"> </w:t>
      </w:r>
      <w:r>
        <w:t xml:space="preserve">silences Hayekian knowledge-use, since distributed holder information</w:t>
      </w:r>
      <w:r>
        <w:t xml:space="preserve"> </w:t>
      </w:r>
      <w:r>
        <w:t xml:space="preserve">signals are aggregated to the delegate level before they can inform</w:t>
      </w:r>
      <w:r>
        <w:t xml:space="preserve"> </w:t>
      </w:r>
      <w:r>
        <w:t xml:space="preserve">governance. A single empirical finding thus undermines the framework’s</w:t>
      </w:r>
      <w:r>
        <w:t xml:space="preserve"> </w:t>
      </w:r>
      <w:r>
        <w:t xml:space="preserve">five normative dimensions simultaneously, illustrating why the</w:t>
      </w:r>
      <w:r>
        <w:t xml:space="preserve"> </w:t>
      </w:r>
      <w:r>
        <w:t xml:space="preserve">arithmetic-mean Synergy Index can mask underlying structural problems</w:t>
      </w:r>
      <w:r>
        <w:t xml:space="preserve"> </w:t>
      </w:r>
      <w:r>
        <w:t xml:space="preserve">that registered cross-lens correlation would expose.</w:t>
      </w:r>
    </w:p>
    <w:p>
      <w:pPr>
        <w:pStyle w:val="BodyText"/>
      </w:pPr>
      <w:r>
        <w:rPr>
          <w:b/>
          <w:bCs/>
        </w:rPr>
        <w:t xml:space="preserve">Allocation null (Section 3.4)</w:t>
      </w:r>
      <w:r>
        <w:t xml:space="preserve"> </w:t>
      </w:r>
      <w:r>
        <w:t xml:space="preserve">is informative as a non-implication</w:t>
      </w:r>
      <w:r>
        <w:t xml:space="preserve"> </w:t>
      </w:r>
      <w:r>
        <w:t xml:space="preserve">of the framework: none of the five lenses predicts initial-allocation</w:t>
      </w:r>
      <w:r>
        <w:t xml:space="preserve"> </w:t>
      </w:r>
      <w:r>
        <w:t xml:space="preserve">percentages as the determinant of post-distribution governance</w:t>
      </w:r>
      <w:r>
        <w:t xml:space="preserve"> </w:t>
      </w:r>
      <w:r>
        <w:t xml:space="preserve">concentration. The lenses care about post-distribution structural</w:t>
      </w:r>
      <w:r>
        <w:t xml:space="preserve"> </w:t>
      </w:r>
      <w:r>
        <w:t xml:space="preserve">features (the operational mechanisms in Table 1), which is empirically</w:t>
      </w:r>
      <w:r>
        <w:t xml:space="preserve"> </w:t>
      </w:r>
      <w:r>
        <w:t xml:space="preserve">what the cross-section finds: protocols across the full range of</w:t>
      </w:r>
      <w:r>
        <w:t xml:space="preserve"> </w:t>
      </w:r>
      <w:r>
        <w:t xml:space="preserve">allocation designs achieve comparable concentration levels. This</w:t>
      </w:r>
      <w:r>
        <w:t xml:space="preserve"> </w:t>
      </w:r>
      <w:r>
        <w:t xml:space="preserve">alignment between the framework’s normative focus and the empirical</w:t>
      </w:r>
      <w:r>
        <w:t xml:space="preserve"> </w:t>
      </w:r>
      <w:r>
        <w:t xml:space="preserve">locus of variation strengthens the framework’s analytical purchase on</w:t>
      </w:r>
      <w:r>
        <w:t xml:space="preserve"> </w:t>
      </w:r>
      <w:r>
        <w:t xml:space="preserve">the phenomenon.</w:t>
      </w:r>
    </w:p>
    <w:p>
      <w:pPr>
        <w:pStyle w:val="BodyText"/>
      </w:pPr>
      <w:r>
        <w:rPr>
          <w:b/>
          <w:bCs/>
        </w:rPr>
        <w:t xml:space="preserve">Curve / veCRV concentration (Sections 3.5 + 4.1 ve-locking)</w:t>
      </w:r>
      <w:r>
        <w:t xml:space="preserve"> </w:t>
      </w:r>
      <w:r>
        <w:t xml:space="preserve">exhibits a specific Ostromian polycentricity failure layered on a</w:t>
      </w:r>
      <w:r>
        <w:t xml:space="preserve"> </w:t>
      </w:r>
      <w:r>
        <w:t xml:space="preserve">specific Hayekian knowledge-use failure: Convex’s 48% share of top-50</w:t>
      </w:r>
      <w:r>
        <w:t xml:space="preserve"> </w:t>
      </w:r>
      <w:r>
        <w:t xml:space="preserve">veCRV deposits centralizes the meta-governance layer (Convex itself is</w:t>
      </w:r>
      <w:r>
        <w:t xml:space="preserve"> </w:t>
      </w:r>
      <w:r>
        <w:t xml:space="preserve">governed by vlCVX holders, not by the underlying CRV lockers), and the</w:t>
      </w:r>
      <w:r>
        <w:t xml:space="preserve"> </w:t>
      </w:r>
      <w:r>
        <w:t xml:space="preserve">lock-duration weighting Curve uses to weight votes does not reflect</w:t>
      </w:r>
      <w:r>
        <w:t xml:space="preserve"> </w:t>
      </w:r>
      <w:r>
        <w:t xml:space="preserve">informational diversity across holders. The 15x amplification ratio</w:t>
      </w:r>
      <w:r>
        <w:t xml:space="preserve"> </w:t>
      </w:r>
      <w:r>
        <w:t xml:space="preserve">between raw CRV holding HHI (0.017) and veCRV voting concentration</w:t>
      </w:r>
      <w:r>
        <w:t xml:space="preserve"> </w:t>
      </w:r>
      <w:r>
        <w:t xml:space="preserve">(0.26) is a structural feature of the ve-token design, not a</w:t>
      </w:r>
      <w:r>
        <w:t xml:space="preserve"> </w:t>
      </w:r>
      <w:r>
        <w:t xml:space="preserve">contingent allocation outcome.</w:t>
      </w:r>
    </w:p>
    <w:p>
      <w:pPr>
        <w:pStyle w:val="BodyText"/>
      </w:pPr>
      <w:r>
        <w:t xml:space="preserve">Governance concentration patterns relate most directly to Hypotheses 1</w:t>
      </w:r>
      <w:r>
        <w:t xml:space="preserve"> </w:t>
      </w:r>
      <w:r>
        <w:t xml:space="preserve">(publicity-legitimacy) and 2 (contestability), with Rawlsian fairness</w:t>
      </w:r>
      <w:r>
        <w:t xml:space="preserve"> </w:t>
      </w:r>
      <w:r>
        <w:t xml:space="preserve">implications. Protocols at the upper end of the concentration range</w:t>
      </w:r>
      <w:r>
        <w:t xml:space="preserve"> </w:t>
      </w:r>
      <w:r>
        <w:t xml:space="preserve">(Livepeer 0.199, WeatherXM 0.148, GEODNET 0.133) exhibit concentration</w:t>
      </w:r>
      <w:r>
        <w:t xml:space="preserve"> </w:t>
      </w:r>
      <w:r>
        <w:t xml:space="preserve">the framework flags for scrutiny, though no protocol in the corrected</w:t>
      </w:r>
      <w:r>
        <w:t xml:space="preserve"> </w:t>
      </w:r>
      <w:r>
        <w:t xml:space="preserve">cross-section exceeds the 0.25 antitrust threshold. Three concerns arise</w:t>
      </w:r>
      <w:r>
        <w:t xml:space="preserve"> </w:t>
      </w:r>
      <w:r>
        <w:t xml:space="preserve">even at these levels: governance decisions disproportionately reflect a</w:t>
      </w:r>
      <w:r>
        <w:t xml:space="preserve"> </w:t>
      </w:r>
      <w:r>
        <w:t xml:space="preserve">small set of holders’ preferences, thinning Kantian public</w:t>
      </w:r>
      <w:r>
        <w:t xml:space="preserve"> </w:t>
      </w:r>
      <w:r>
        <w:t xml:space="preserve">justification; DePIN operators who deploy hardware hold insufficient</w:t>
      </w:r>
      <w:r>
        <w:t xml:space="preserve"> </w:t>
      </w:r>
      <w:r>
        <w:t xml:space="preserve">tokens to influence outcomes affecting their investments, a Rawlsian</w:t>
      </w:r>
      <w:r>
        <w:t xml:space="preserve"> </w:t>
      </w:r>
      <w:r>
        <w:t xml:space="preserve">fairness concern; and few holders can override community preferences</w:t>
      </w:r>
      <w:r>
        <w:t xml:space="preserve"> </w:t>
      </w:r>
      <w:r>
        <w:t xml:space="preserve">without formal contestation, a republican non-domination concern. The</w:t>
      </w:r>
      <w:r>
        <w:t xml:space="preserve"> </w:t>
      </w:r>
      <w:r>
        <w:t xml:space="preserve">counterexample (Anyone, HHI 0.040) demonstrates that these conditions</w:t>
      </w:r>
      <w:r>
        <w:t xml:space="preserve"> </w:t>
      </w:r>
      <w:r>
        <w:t xml:space="preserve">are not structurally inherent to DePIN architecture. Among DeFi</w:t>
      </w:r>
      <w:r>
        <w:t xml:space="preserve"> </w:t>
      </w:r>
      <w:r>
        <w:t xml:space="preserve">benchmarks, Compound’s lower concentration (HHI 0.027) partly reflects</w:t>
      </w:r>
      <w:r>
        <w:t xml:space="preserve"> </w:t>
      </w:r>
      <w:r>
        <w:t xml:space="preserve">active delegation, suggesting institutional design can reduce effective</w:t>
      </w:r>
      <w:r>
        <w:t xml:space="preserve"> </w:t>
      </w:r>
      <w:r>
        <w:t xml:space="preserve">concentration without token redistribution.</w:t>
      </w:r>
    </w:p>
    <w:p>
      <w:pPr>
        <w:pStyle w:val="BodyText"/>
      </w:pPr>
      <w:r>
        <w:t xml:space="preserve">Hypotheses 4 (service-over-presence) and 5 (polycentric adaptation)</w:t>
      </w:r>
      <w:r>
        <w:t xml:space="preserve"> </w:t>
      </w:r>
      <w:r>
        <w:t xml:space="preserve">cannot be tested directly with the HHI cross-section because it measures</w:t>
      </w:r>
      <w:r>
        <w:t xml:space="preserve"> </w:t>
      </w:r>
      <w:r>
        <w:t xml:space="preserve">token concentration rather than governance structure diversity. The data</w:t>
      </w:r>
      <w:r>
        <w:t xml:space="preserve"> </w:t>
      </w:r>
      <w:r>
        <w:t xml:space="preserve">reveal a structural constraint nonetheless: operators closest to the</w:t>
      </w:r>
      <w:r>
        <w:t xml:space="preserve"> </w:t>
      </w:r>
      <w:r>
        <w:t xml:space="preserve">service (those with the most relevant operational knowledge) cannot</w:t>
      </w:r>
      <w:r>
        <w:t xml:space="preserve"> </w:t>
      </w:r>
      <w:r>
        <w:t xml:space="preserve">influence governance decisions if they hold small token positions. The</w:t>
      </w:r>
      <w:r>
        <w:t xml:space="preserve"> </w:t>
      </w:r>
      <w:r>
        <w:t xml:space="preserve">Helium case (Zukowski, 2026a) demonstrates that polycentric features</w:t>
      </w:r>
      <w:r>
        <w:t xml:space="preserve"> </w:t>
      </w:r>
      <w:r>
        <w:t xml:space="preserve">(subDAOs, councils, delegation hierarchies) can reduce effective</w:t>
      </w:r>
      <w:r>
        <w:t xml:space="preserve"> </w:t>
      </w:r>
      <w:r>
        <w:t xml:space="preserve">concentration without redistribution: HIP-147 succeeded partly because</w:t>
      </w:r>
      <w:r>
        <w:t xml:space="preserve"> </w:t>
      </w:r>
      <w:r>
        <w:t xml:space="preserve">Helium’s governance process channeled edge-operator input despite</w:t>
      </w:r>
      <w:r>
        <w:t xml:space="preserve"> </w:t>
      </w:r>
      <w:r>
        <w:t xml:space="preserve">concentrated holdings. A companion simulation (Zukowski, 2026b) extends</w:t>
      </w:r>
      <w:r>
        <w:t xml:space="preserve"> </w:t>
      </w:r>
      <w:r>
        <w:t xml:space="preserve">these results to adaptive emission controllers, finding that the primary</w:t>
      </w:r>
      <w:r>
        <w:t xml:space="preserve"> </w:t>
      </w:r>
      <w:r>
        <w:t xml:space="preserve">value of polycentric mechanisms is preventing collapse rather than</w:t>
      </w:r>
      <w:r>
        <w:t xml:space="preserve"> </w:t>
      </w:r>
      <w:r>
        <w:t xml:space="preserve">improving averages.</w:t>
      </w:r>
    </w:p>
    <w:p>
      <w:pPr>
        <w:pStyle w:val="BodyText"/>
      </w:pPr>
      <w:r>
        <w:t xml:space="preserve">A companion study (Zukowski, 2026a) documents a related concentration</w:t>
      </w:r>
      <w:r>
        <w:t xml:space="preserve"> </w:t>
      </w:r>
      <w:r>
        <w:t xml:space="preserve">risk in DePIN fiscal sustainability: Helium’s aggregate Spend-to-Reward</w:t>
      </w:r>
      <w:r>
        <w:t xml:space="preserve"> </w:t>
      </w:r>
      <w:r>
        <w:t xml:space="preserve">ratio crossed fiscal parity, but approximately five purchasers account</w:t>
      </w:r>
      <w:r>
        <w:t xml:space="preserve"> </w:t>
      </w:r>
      <w:r>
        <w:t xml:space="preserve">for 90% of token burns, a concentration invisible to aggregate metrics.</w:t>
      </w:r>
      <w:r>
        <w:t xml:space="preserve"> </w:t>
      </w:r>
      <w:r>
        <w:t xml:space="preserve">Governance and demand concentration are distinct failure modes that can</w:t>
      </w:r>
      <w:r>
        <w:t xml:space="preserve"> </w:t>
      </w:r>
      <w:r>
        <w:t xml:space="preserve">coexist. The same companion study provides the strongest longitudinal</w:t>
      </w:r>
      <w:r>
        <w:t xml:space="preserve"> </w:t>
      </w:r>
      <w:r>
        <w:t xml:space="preserve">test of Hypotheses 3 and 4: Helium’s S2R trajectory over 34 months</w:t>
      </w:r>
      <w:r>
        <w:t xml:space="preserve"> </w:t>
      </w:r>
      <w:r>
        <w:t xml:space="preserve">documents how demand-coupled burns drove S2R from 0.013 to 2.06 after</w:t>
      </w:r>
      <w:r>
        <w:t xml:space="preserve"> </w:t>
      </w:r>
      <w:r>
        <w:t xml:space="preserve">transitioning to service-verified rewards and completing the August 2025</w:t>
      </w:r>
      <w:r>
        <w:t xml:space="preserve"> </w:t>
      </w:r>
      <w:r>
        <w:t xml:space="preserve">halving, with DC burns exceeding HNT emissions by approximately 84% and</w:t>
      </w:r>
      <w:r>
        <w:t xml:space="preserve"> </w:t>
      </w:r>
      <w:r>
        <w:t xml:space="preserve">contributing to a 3 to 4% net annual deflation rate (Zukowski, 2026a;</w:t>
      </w:r>
      <w:r>
        <w:t xml:space="preserve"> </w:t>
      </w:r>
      <w:r>
        <w:t xml:space="preserve">Blockworks, 2026). The trajectory is consistent with Hypothesis 3 (the</w:t>
      </w:r>
      <w:r>
        <w:t xml:space="preserve"> </w:t>
      </w:r>
      <w:r>
        <w:t xml:space="preserve">sink was deployed and observable before the emission reduction,</w:t>
      </w:r>
      <w:r>
        <w:t xml:space="preserve"> </w:t>
      </w:r>
      <w:r>
        <w:t xml:space="preserve">producing a sustained surplus at the subnetwork level) and with</w:t>
      </w:r>
      <w:r>
        <w:t xml:space="preserve"> </w:t>
      </w:r>
      <w:r>
        <w:t xml:space="preserve">Hypothesis 4 (the shift from coverage-based to service-based rewards</w:t>
      </w:r>
      <w:r>
        <w:t xml:space="preserve"> </w:t>
      </w:r>
      <w:r>
        <w:t xml:space="preserve">coincided with revenue rising from $6,500 monthly across 975,000 IoT</w:t>
      </w:r>
      <w:r>
        <w:t xml:space="preserve"> </w:t>
      </w:r>
      <w:r>
        <w:t xml:space="preserve">hotspots to $18.3 million annualized by Q3 2025; Bane &amp; Gala, 2026).</w:t>
      </w:r>
      <w:r>
        <w:t xml:space="preserve"> </w:t>
      </w:r>
      <w:r>
        <w:t xml:space="preserve">Neither hypothesis is confirmed by a single case, but the directional</w:t>
      </w:r>
      <w:r>
        <w:t xml:space="preserve"> </w:t>
      </w:r>
      <w:r>
        <w:t xml:space="preserve">evidence is the strongest available in the DePIN sector.</w:t>
      </w:r>
    </w:p>
    <w:p>
      <w:pPr>
        <w:pStyle w:val="BodyText"/>
      </w:pPr>
      <w:r>
        <w:t xml:space="preserve">Resource Dependence Theory (Pfeffer &amp; Salancik, 1978) predicts that</w:t>
      </w:r>
      <w:r>
        <w:t xml:space="preserve"> </w:t>
      </w:r>
      <w:r>
        <w:t xml:space="preserve">demand concentration transfers strategic leverage to concentrated buyers</w:t>
      </w:r>
      <w:r>
        <w:t xml:space="preserve"> </w:t>
      </w:r>
      <w:r>
        <w:t xml:space="preserve">independent of governance token distribution, creating a vulnerability</w:t>
      </w:r>
      <w:r>
        <w:t xml:space="preserve"> </w:t>
      </w:r>
      <w:r>
        <w:t xml:space="preserve">that governance reforms alone cannot address; the companion study</w:t>
      </w:r>
      <w:r>
        <w:t xml:space="preserve"> </w:t>
      </w:r>
      <w:r>
        <w:t xml:space="preserve">(Zukowski, 2026a) documents this separation empirically across four</w:t>
      </w:r>
      <w:r>
        <w:t xml:space="preserve"> </w:t>
      </w:r>
      <w:r>
        <w:t xml:space="preserve">DePIN protocols.</w:t>
      </w:r>
    </w:p>
    <w:p>
      <w:pPr>
        <w:pStyle w:val="BodyText"/>
      </w:pPr>
      <w:r>
        <w:t xml:space="preserve">The governance concentration documented here also has an industrial</w:t>
      </w:r>
      <w:r>
        <w:t xml:space="preserve"> </w:t>
      </w:r>
      <w:r>
        <w:t xml:space="preserve">organization interpretation: concentrated token holders who control</w:t>
      </w:r>
      <w:r>
        <w:t xml:space="preserve"> </w:t>
      </w:r>
      <w:r>
        <w:t xml:space="preserve">emission and reward parameters function as oligopsonist buyers of</w:t>
      </w:r>
      <w:r>
        <w:t xml:space="preserve"> </w:t>
      </w:r>
      <w:r>
        <w:t xml:space="preserve">operator services (Williamson, 1999). When governance power exceeds the</w:t>
      </w:r>
      <w:r>
        <w:t xml:space="preserve"> </w:t>
      </w:r>
      <w:r>
        <w:t xml:space="preserve">efficient bilateral-bargaining threshold, the resulting monopsonistic</w:t>
      </w:r>
      <w:r>
        <w:t xml:space="preserve"> </w:t>
      </w:r>
      <w:r>
        <w:t xml:space="preserve">markdown on operator compensation produces allocative inefficiency;</w:t>
      </w:r>
      <w:r>
        <w:t xml:space="preserve"> </w:t>
      </w:r>
      <w:r>
        <w:t xml:space="preserve">operators exit, degrading network output. The Compound Proposal 289</w:t>
      </w:r>
      <w:r>
        <w:t xml:space="preserve"> </w:t>
      </w:r>
      <w:r>
        <w:t xml:space="preserve">incident (July 2024) illustrates a complementary failure mode in which</w:t>
      </w:r>
      <w:r>
        <w:t xml:space="preserve"> </w:t>
      </w:r>
      <w:r>
        <w:t xml:space="preserve">strategic vote timing enabled minority capture of treasury funds,</w:t>
      </w:r>
      <w:r>
        <w:t xml:space="preserve"> </w:t>
      </w:r>
      <w:r>
        <w:t xml:space="preserve">underscoring that formal contestability mechanisms (Hypothesis 2) must</w:t>
      </w:r>
      <w:r>
        <w:t xml:space="preserve"> </w:t>
      </w:r>
      <w:r>
        <w:t xml:space="preserve">include temporal safeguards.</w:t>
      </w:r>
    </w:p>
    <w:p>
      <w:pPr>
        <w:pStyle w:val="BodyText"/>
      </w:pPr>
      <w:r>
        <w:t xml:space="preserve">The empirical gap that Alshater (2026) identifies as the most pressing</w:t>
      </w:r>
      <w:r>
        <w:t xml:space="preserve"> </w:t>
      </w:r>
      <w:r>
        <w:t xml:space="preserve">in current DePIN tokenomics research is the absence of rigorous</w:t>
      </w:r>
      <w:r>
        <w:t xml:space="preserve"> </w:t>
      </w:r>
      <w:r>
        <w:t xml:space="preserve">quantitative evaluation of competing economic models. Alshater calls for</w:t>
      </w:r>
      <w:r>
        <w:t xml:space="preserve"> </w:t>
      </w:r>
      <w:r>
        <w:t xml:space="preserve">event-study analyses of governance interventions such as Helium’s</w:t>
      </w:r>
      <w:r>
        <w:t xml:space="preserve"> </w:t>
      </w:r>
      <w:r>
        <w:t xml:space="preserve">HIP-138 and Hivemapper’s MIP-19, comparative sectoral analysis of why</w:t>
      </w:r>
      <w:r>
        <w:t xml:space="preserve"> </w:t>
      </w:r>
      <w:r>
        <w:t xml:space="preserve">specific tokenomic models prevail in particular DePIN sectors, and</w:t>
      </w:r>
      <w:r>
        <w:t xml:space="preserve"> </w:t>
      </w:r>
      <w:r>
        <w:t xml:space="preserve">empirical examination of how DAO characteristics affect network</w:t>
      </w:r>
      <w:r>
        <w:t xml:space="preserve"> </w:t>
      </w:r>
      <w:r>
        <w:t xml:space="preserve">performance. The cross-sectional results reported here address the third</w:t>
      </w:r>
      <w:r>
        <w:t xml:space="preserve"> </w:t>
      </w:r>
      <w:r>
        <w:t xml:space="preserve">of these gaps along two complementary dimensions. First, the</w:t>
      </w:r>
      <w:r>
        <w:t xml:space="preserve"> </w:t>
      </w:r>
      <w:r>
        <w:t xml:space="preserve">insider-retention finding (Spearman rho = 0.48, p = 0.003, N = 37,</w:t>
      </w:r>
      <w:r>
        <w:t xml:space="preserve"> </w:t>
      </w:r>
      <w:r>
        <w:t xml:space="preserve">leave-one-out significant in 37 of 37 iterations) provides evidence</w:t>
      </w:r>
      <w:r>
        <w:t xml:space="preserve"> </w:t>
      </w:r>
      <w:r>
        <w:t xml:space="preserve">consistent with the proposition that token distribution characteristics</w:t>
      </w:r>
      <w:r>
        <w:t xml:space="preserve"> </w:t>
      </w:r>
      <w:r>
        <w:t xml:space="preserve">in current holder positions are robustly associated with governance</w:t>
      </w:r>
      <w:r>
        <w:t xml:space="preserve"> </w:t>
      </w:r>
      <w:r>
        <w:t xml:space="preserve">concentration measured by HHI, while the allocation-design null (Pearson</w:t>
      </w:r>
      <w:r>
        <w:t xml:space="preserve"> </w:t>
      </w:r>
      <w:r>
        <w:t xml:space="preserve">r = 0.17, p = 0.32, N = 37) constrains the alternative hypothesis that</w:t>
      </w:r>
      <w:r>
        <w:t xml:space="preserve"> </w:t>
      </w:r>
      <w:r>
        <w:t xml:space="preserve">initial distribution choices predict downstream concentration. Second,</w:t>
      </w:r>
      <w:r>
        <w:t xml:space="preserve"> </w:t>
      </w:r>
      <w:r>
        <w:t xml:space="preserve">the delegation-adjusted analysis reported in Section 3.5 extends Fritsch</w:t>
      </w:r>
      <w:r>
        <w:t xml:space="preserve"> </w:t>
      </w:r>
      <w:r>
        <w:t xml:space="preserve">et al. (2024) to a cross-section of eight protocols spanning DeFi,</w:t>
      </w:r>
      <w:r>
        <w:t xml:space="preserve"> </w:t>
      </w:r>
      <w:r>
        <w:t xml:space="preserve">DePIN, and infrastructure categories. The analysis documents</w:t>
      </w:r>
      <w:r>
        <w:t xml:space="preserve"> </w:t>
      </w:r>
      <w:r>
        <w:t xml:space="preserve">amplification factors ranging from 1.4 times (GMX) to 6.0 times (DIMO)</w:t>
      </w:r>
      <w:r>
        <w:t xml:space="preserve"> </w:t>
      </w:r>
      <w:r>
        <w:t xml:space="preserve">across the amplifying protocols (nine of ten; ENS at 0.21x is the</w:t>
      </w:r>
      <w:r>
        <w:t xml:space="preserve"> </w:t>
      </w:r>
      <w:r>
        <w:t xml:space="preserve">structural exception). Within the infrastructure</w:t>
      </w:r>
      <w:r>
        <w:t xml:space="preserve"> </w:t>
      </w:r>
      <w:r>
        <w:t xml:space="preserve">subsample, Optimism (3.7 times) and Arbitrum (4.3 times) bracket a</w:t>
      </w:r>
      <w:r>
        <w:t xml:space="preserve"> </w:t>
      </w:r>
      <w:r>
        <w:t xml:space="preserve">narrow magnitude band. This near-uniform direction with magnitude</w:t>
      </w:r>
      <w:r>
        <w:t xml:space="preserve"> </w:t>
      </w:r>
      <w:r>
        <w:t xml:space="preserve">variation by institutional design is consistent with</w:t>
      </w:r>
      <w:r>
        <w:t xml:space="preserve"> </w:t>
      </w:r>
      <w:r>
        <w:t xml:space="preserve">the broader claim of this paper that institutional design at the</w:t>
      </w:r>
      <w:r>
        <w:t xml:space="preserve"> </w:t>
      </w:r>
      <w:r>
        <w:t xml:space="preserve">operator and router level shapes governance outcomes more than the</w:t>
      </w:r>
      <w:r>
        <w:t xml:space="preserve"> </w:t>
      </w:r>
      <w:r>
        <w:t xml:space="preserve">token’s surface properties or sector classification. Event-study</w:t>
      </w:r>
      <w:r>
        <w:t xml:space="preserve"> </w:t>
      </w:r>
      <w:r>
        <w:t xml:space="preserve">evidence on the governance interventions Alshater highlights is the</w:t>
      </w:r>
      <w:r>
        <w:t xml:space="preserve"> </w:t>
      </w:r>
      <w:r>
        <w:t xml:space="preserve">subject of follow-up work using HIP-138 and other interventions as</w:t>
      </w:r>
      <w:r>
        <w:t xml:space="preserve"> </w:t>
      </w:r>
      <w:r>
        <w:t xml:space="preserve">natural experiments.</w:t>
      </w:r>
    </w:p>
    <w:p>
      <w:pPr>
        <w:pStyle w:val="BodyText"/>
      </w:pPr>
      <w:r>
        <w:t xml:space="preserve">Evidence gaps and research frontiers. Three directions lie beyond</w:t>
      </w:r>
      <w:r>
        <w:t xml:space="preserve"> </w:t>
      </w:r>
      <w:r>
        <w:t xml:space="preserve">governance token data. First, capability-oriented evaluation (following</w:t>
      </w:r>
      <w:r>
        <w:t xml:space="preserve"> </w:t>
      </w:r>
      <w:r>
        <w:t xml:space="preserve">Sen and Nussbaum) requires participant-level data on income, skill</w:t>
      </w:r>
      <w:r>
        <w:t xml:space="preserve"> </w:t>
      </w:r>
      <w:r>
        <w:t xml:space="preserve">development, and infrastructure access that no protocol instruments at</w:t>
      </w:r>
      <w:r>
        <w:t xml:space="preserve"> </w:t>
      </w:r>
      <w:r>
        <w:t xml:space="preserve">scale; a companion 13-protocol DePIN vertical study documents this gap</w:t>
      </w:r>
      <w:r>
        <w:t xml:space="preserve"> </w:t>
      </w:r>
      <w:r>
        <w:t xml:space="preserve">(Zukowski, 2026a). Second, contextual integrity (following Floridi and</w:t>
      </w:r>
      <w:r>
        <w:t xml:space="preserve"> </w:t>
      </w:r>
      <w:r>
        <w:t xml:space="preserve">Nissenbaum) requires trust and data governance metrics; concentrated</w:t>
      </w:r>
      <w:r>
        <w:t xml:space="preserve"> </w:t>
      </w:r>
      <w:r>
        <w:t xml:space="preserve">governance means decisions about data use and privacy norms are made by</w:t>
      </w:r>
      <w:r>
        <w:t xml:space="preserve"> </w:t>
      </w:r>
      <w:r>
        <w:t xml:space="preserve">a small group rather than the community whose data is at stake,</w:t>
      </w:r>
      <w:r>
        <w:t xml:space="preserve"> </w:t>
      </w:r>
      <w:r>
        <w:t xml:space="preserve">particularly for protocols collecting location data (Helium), vehicle</w:t>
      </w:r>
      <w:r>
        <w:t xml:space="preserve"> </w:t>
      </w:r>
      <w:r>
        <w:t xml:space="preserve">telemetry (DIMO), or health data (CUDIS). Third, cosmopolitan inclusion</w:t>
      </w:r>
      <w:r>
        <w:t xml:space="preserve"> </w:t>
      </w:r>
      <w:r>
        <w:t xml:space="preserve">(following Appiah) identifies a tension the data indicate descriptively:</w:t>
      </w:r>
      <w:r>
        <w:t xml:space="preserve"> </w:t>
      </w:r>
      <w:r>
        <w:t xml:space="preserve">most DePIN protocols have global operator bases but concentrated</w:t>
      </w:r>
      <w:r>
        <w:t xml:space="preserve"> </w:t>
      </w:r>
      <w:r>
        <w:t xml:space="preserve">governance, meaning geographic inclusion coexists with governance</w:t>
      </w:r>
      <w:r>
        <w:t xml:space="preserve"> </w:t>
      </w:r>
      <w:r>
        <w:t xml:space="preserve">exclusion.</w:t>
      </w:r>
    </w:p>
    <w:bookmarkEnd w:id="109"/>
    <w:bookmarkStart w:id="110" w:name="governance-design-implications"/>
    <w:p>
      <w:pPr>
        <w:pStyle w:val="Heading2"/>
      </w:pPr>
      <w:r>
        <w:t xml:space="preserve">4.2 Governance Design Implications</w:t>
      </w:r>
    </w:p>
    <w:p>
      <w:pPr>
        <w:pStyle w:val="FirstParagraph"/>
      </w:pPr>
      <w:r>
        <w:t xml:space="preserve">Governance concentration emerges from what happens after tokens are</w:t>
      </w:r>
      <w:r>
        <w:t xml:space="preserve"> </w:t>
      </w:r>
      <w:r>
        <w:t xml:space="preserve">distributed, not from how they are allocated at launch. The practical</w:t>
      </w:r>
      <w:r>
        <w:t xml:space="preserve"> </w:t>
      </w:r>
      <w:r>
        <w:t xml:space="preserve">implication: evaluating how concentrated a protocol's governance</w:t>
      </w:r>
      <w:r>
        <w:t xml:space="preserve"> </w:t>
      </w:r>
      <w:r>
        <w:t xml:space="preserve">actually is means tracking whether insiders retain top-holder positions</w:t>
      </w:r>
      <w:r>
        <w:t xml:space="preserve"> </w:t>
      </w:r>
      <w:r>
        <w:t xml:space="preserve">and how delegation reshapes voting power over time, rather than</w:t>
      </w:r>
      <w:r>
        <w:t xml:space="preserve"> </w:t>
      </w:r>
      <w:r>
        <w:t xml:space="preserve">inspecting whether the initial token allocation favored the community.</w:t>
      </w:r>
      <w:r>
        <w:t xml:space="preserve"> </w:t>
      </w:r>
      <w:r>
        <w:t xml:space="preserve">Five design implications follow, grounded in implemented protocols where</w:t>
      </w:r>
      <w:r>
        <w:t xml:space="preserve"> </w:t>
      </w:r>
      <w:r>
        <w:t xml:space="preserve">evidence is available.</w:t>
      </w:r>
    </w:p>
    <w:p>
      <w:pPr>
        <w:pStyle w:val="BodyText"/>
      </w:pPr>
      <w:r>
        <w:t xml:space="preserve">Constitutional Transparency and Deliberation The Kantian publicity</w:t>
      </w:r>
      <w:r>
        <w:t xml:space="preserve"> </w:t>
      </w:r>
      <w:r>
        <w:t xml:space="preserve">principle requires that governance rules be understandable by affected</w:t>
      </w:r>
      <w:r>
        <w:t xml:space="preserve"> </w:t>
      </w:r>
      <w:r>
        <w:t xml:space="preserve">participants. Table 4 shows that holding concentration alone does not</w:t>
      </w:r>
      <w:r>
        <w:t xml:space="preserve"> </w:t>
      </w:r>
      <w:r>
        <w:t xml:space="preserve">determine governance quality: MakerDAO (HHI 0.045) achieves meaningful</w:t>
      </w:r>
      <w:r>
        <w:t xml:space="preserve"> </w:t>
      </w:r>
      <w:r>
        <w:t xml:space="preserve">deliberation through delegation while Curve’s veCRV-weighted voting</w:t>
      </w:r>
      <w:r>
        <w:t xml:space="preserve"> </w:t>
      </w:r>
      <w:r>
        <w:t xml:space="preserve">concentration (approximately 0.26 computed from cumulative deposit</w:t>
      </w:r>
      <w:r>
        <w:t xml:space="preserve"> </w:t>
      </w:r>
      <w:r>
        <w:t xml:space="preserve">volume across the top-50 veCRV lockers; Convex alone holds 48% of</w:t>
      </w:r>
      <w:r>
        <w:t xml:space="preserve"> </w:t>
      </w:r>
      <w:r>
        <w:t xml:space="preserve">that top-50 deposit-weighted share) concentrates power through</w:t>
      </w:r>
      <w:r>
        <w:t xml:space="preserve"> </w:t>
      </w:r>
      <w:r>
        <w:t xml:space="preserve">ve-locking without comparable deliberative infrastructure (Curve’s</w:t>
      </w:r>
      <w:r>
        <w:t xml:space="preserve"> </w:t>
      </w:r>
      <w:r>
        <w:t xml:space="preserve">raw post-exclusion CRV holding HHI is 0.017; the gap between 0.017</w:t>
      </w:r>
      <w:r>
        <w:t xml:space="preserve"> </w:t>
      </w:r>
      <w:r>
        <w:t xml:space="preserve">and 0.26 reflects the lock-duration multipliers and the Convex</w:t>
      </w:r>
      <w:r>
        <w:t xml:space="preserve"> </w:t>
      </w:r>
      <w:r>
        <w:t xml:space="preserve">meta-governance aggregation).</w:t>
      </w:r>
      <w:r>
        <w:t xml:space="preserve"> </w:t>
      </w:r>
      <w:r>
        <w:t xml:space="preserve">Design implication: publication norms (readable proposal summaries,</w:t>
      </w:r>
      <w:r>
        <w:t xml:space="preserve"> </w:t>
      </w:r>
      <w:r>
        <w:t xml:space="preserve">voting rationale disclosure, mandatory comment periods) are at least as</w:t>
      </w:r>
      <w:r>
        <w:t xml:space="preserve"> </w:t>
      </w:r>
      <w:r>
        <w:t xml:space="preserve">important as token distribution in determining whether governance is</w:t>
      </w:r>
      <w:r>
        <w:t xml:space="preserve"> </w:t>
      </w:r>
      <w:r>
        <w:t xml:space="preserve">genuinely public.</w:t>
      </w:r>
    </w:p>
    <w:p>
      <w:pPr>
        <w:pStyle w:val="BodyText"/>
      </w:pPr>
      <w:r>
        <w:t xml:space="preserve">Low Barriers and Diverse Participation Governance concentration across</w:t>
      </w:r>
      <w:r>
        <w:t xml:space="preserve"> </w:t>
      </w:r>
      <w:r>
        <w:t xml:space="preserve">40 protocols with valid data (Gini 0.52 to 0.99; Table 4; Livepeer</w:t>
      </w:r>
      <w:r>
        <w:t xml:space="preserve"> </w:t>
      </w:r>
      <w:r>
        <w:t xml:space="preserve">excluded because its cross-chain bridge architecture prevents accurate</w:t>
      </w:r>
      <w:r>
        <w:t xml:space="preserve"> </w:t>
      </w:r>
      <w:r>
        <w:t xml:space="preserve">Gini computation from single-chain holder data) shows that</w:t>
      </w:r>
      <w:r>
        <w:t xml:space="preserve"> </w:t>
      </w:r>
      <w:r>
        <w:t xml:space="preserve">token-weighted voting creates steep participation inequality by default.</w:t>
      </w:r>
      <w:r>
        <w:t xml:space="preserve"> </w:t>
      </w:r>
      <w:r>
        <w:t xml:space="preserve">The GeoDePIN subcategory amplifies this: thousands of operators bear</w:t>
      </w:r>
      <w:r>
        <w:t xml:space="preserve"> </w:t>
      </w:r>
      <w:r>
        <w:t xml:space="preserve">hardware costs but may hold insufficient tokens to influence governance</w:t>
      </w:r>
      <w:r>
        <w:t xml:space="preserve"> </w:t>
      </w:r>
      <w:r>
        <w:t xml:space="preserve">outcomes affecting their investments. Design implication: lower proposal</w:t>
      </w:r>
      <w:r>
        <w:t xml:space="preserve"> </w:t>
      </w:r>
      <w:r>
        <w:t xml:space="preserve">thresholds, delegate incentives, and identity-weighted mechanisms (cf.</w:t>
      </w:r>
      <w:r>
        <w:t xml:space="preserve"> </w:t>
      </w:r>
      <w:r>
        <w:t xml:space="preserve">Optimism’s Citizens’ House) can reduce the gap between stake-weighted</w:t>
      </w:r>
      <w:r>
        <w:t xml:space="preserve"> </w:t>
      </w:r>
      <w:r>
        <w:t xml:space="preserve">power and affected-party voice. Ownership concentration improves</w:t>
      </w:r>
      <w:r>
        <w:t xml:space="preserve"> </w:t>
      </w:r>
      <w:r>
        <w:t xml:space="preserve">baseline token returns but actively suppresses the marginal value of</w:t>
      </w:r>
      <w:r>
        <w:t xml:space="preserve"> </w:t>
      </w:r>
      <w:r>
        <w:t xml:space="preserve">information cascades generated by broader participation (Buddensiek and</w:t>
      </w:r>
      <w:r>
        <w:t xml:space="preserve"> </w:t>
      </w:r>
      <w:r>
        <w:t xml:space="preserve">Momtaz, 2025), suggesting that the governance concentration documented</w:t>
      </w:r>
      <w:r>
        <w:t xml:space="preserve"> </w:t>
      </w:r>
      <w:r>
        <w:t xml:space="preserve">here carries epistemic costs beyond the political legitimacy concerns</w:t>
      </w:r>
      <w:r>
        <w:t xml:space="preserve"> </w:t>
      </w:r>
      <w:r>
        <w:t xml:space="preserve">the normative framework identifies.</w:t>
      </w:r>
    </w:p>
    <w:p>
      <w:pPr>
        <w:pStyle w:val="BodyText"/>
      </w:pPr>
      <w:r>
        <w:rPr>
          <w:b/>
          <w:bCs/>
        </w:rPr>
        <w:t xml:space="preserve">Distribution Mechanism as Governance Architecture.</w:t>
      </w:r>
      <w:r>
        <w:t xml:space="preserve"> </w:t>
      </w:r>
      <w:r>
        <w:t xml:space="preserve">The Kantian</w:t>
      </w:r>
      <w:r>
        <w:t xml:space="preserve"> </w:t>
      </w:r>
      <w:r>
        <w:t xml:space="preserve">publicity principle extends to distribution design: an allocation</w:t>
      </w:r>
      <w:r>
        <w:t xml:space="preserve"> </w:t>
      </w:r>
      <w:r>
        <w:t xml:space="preserve">mechanism that affected participants cannot audit, contest, or</w:t>
      </w:r>
      <w:r>
        <w:t xml:space="preserve"> </w:t>
      </w:r>
      <w:r>
        <w:t xml:space="preserve">understand prior to participation fails the universalizability test at</w:t>
      </w:r>
      <w:r>
        <w:t xml:space="preserve"> </w:t>
      </w:r>
      <w:r>
        <w:t xml:space="preserve">the constitutional level, before governance begins. A protocol that</w:t>
      </w:r>
      <w:r>
        <w:t xml:space="preserve"> </w:t>
      </w:r>
      <w:r>
        <w:t xml:space="preserve">publishes transparent voting rules atop an opaque allocation that</w:t>
      </w:r>
      <w:r>
        <w:t xml:space="preserve"> </w:t>
      </w:r>
      <w:r>
        <w:t xml:space="preserve">concentrated 40 percent of supply in insider wallets satisfies the</w:t>
      </w:r>
      <w:r>
        <w:t xml:space="preserve"> </w:t>
      </w:r>
      <w:r>
        <w:t xml:space="preserve">letter of procedural legitimacy while violating its spirit. The</w:t>
      </w:r>
      <w:r>
        <w:t xml:space="preserve"> </w:t>
      </w:r>
      <w:r>
        <w:t xml:space="preserve">normative implication is that distribution transparency is a</w:t>
      </w:r>
      <w:r>
        <w:t xml:space="preserve"> </w:t>
      </w:r>
      <w:r>
        <w:t xml:space="preserve">precondition for governance legitimacy, not a separate concern.</w:t>
      </w:r>
      <w:r>
        <w:t xml:space="preserve"> </w:t>
      </w:r>
      <w:r>
        <w:t xml:space="preserve">Points-based distribution programs that publish clear allocation</w:t>
      </w:r>
      <w:r>
        <w:t xml:space="preserve"> </w:t>
      </w:r>
      <w:r>
        <w:t xml:space="preserve">formulas, implement sub-linear scaling, and cap per-wallet rewards are</w:t>
      </w:r>
      <w:r>
        <w:t xml:space="preserve"> </w:t>
      </w:r>
      <w:r>
        <w:t xml:space="preserve">de facto anti-concentration governance mechanisms; venture-funded</w:t>
      </w:r>
      <w:r>
        <w:t xml:space="preserve"> </w:t>
      </w:r>
      <w:r>
        <w:t xml:space="preserve">allocations without comparable disclosure create concentrated governance</w:t>
      </w:r>
      <w:r>
        <w:t xml:space="preserve"> </w:t>
      </w:r>
      <w:r>
        <w:t xml:space="preserve">as a structural default.</w:t>
      </w:r>
    </w:p>
    <w:p>
      <w:pPr>
        <w:pStyle w:val="BodyText"/>
      </w:pPr>
      <w:r>
        <w:t xml:space="preserve">Integrity Mechanisms and Independent Oversight. Pettit’s non-domination</w:t>
      </w:r>
      <w:r>
        <w:t xml:space="preserve"> </w:t>
      </w:r>
      <w:r>
        <w:t xml:space="preserve">principle requires that no single actor exercise unchecked power.</w:t>
      </w:r>
      <w:r>
        <w:t xml:space="preserve"> </w:t>
      </w:r>
      <w:r>
        <w:t xml:space="preserve">Table 4 shows several tokens in the</w:t>
      </w:r>
      <w:r>
        <w:t xml:space="preserve"> </w:t>
      </w:r>
      <w:r>
        <w:t xml:space="preserve">“highly concentrated”</w:t>
      </w:r>
      <w:r>
        <w:t xml:space="preserve"> </w:t>
      </w:r>
      <w:r>
        <w:t xml:space="preserve">regime before</w:t>
      </w:r>
      <w:r>
        <w:t xml:space="preserve"> </w:t>
      </w:r>
      <w:r>
        <w:t xml:space="preserve">delegated voting; the CRV case (veCRV-weighted voting concentration approximately</w:t>
      </w:r>
      <w:r>
        <w:t xml:space="preserve"> </w:t>
      </w:r>
      <w:r>
        <w:t xml:space="preserve">0.26 computed from top-50 cumulative CRV deposits, versus raw</w:t>
      </w:r>
      <w:r>
        <w:t xml:space="preserve"> </w:t>
      </w:r>
      <w:r>
        <w:t xml:space="preserve">post-exclusion holding HHI of 0.017) illustrates how</w:t>
      </w:r>
      <w:r>
        <w:t xml:space="preserve"> </w:t>
      </w:r>
      <w:r>
        <w:t xml:space="preserve">locking mechanisms amplify concentration above the level visible in raw</w:t>
      </w:r>
      <w:r>
        <w:t xml:space="preserve"> </w:t>
      </w:r>
      <w:r>
        <w:t xml:space="preserve">holdings; Convex holds ~47% of veCRV (DeFi Llama, 2026).</w:t>
      </w:r>
      <w:r>
        <w:br/>
      </w:r>
      <w:r>
        <w:t xml:space="preserve">Design implication: treat integrity as an institutional layer.</w:t>
      </w:r>
      <w:r>
        <w:t xml:space="preserve"> </w:t>
      </w:r>
      <w:r>
        <w:t xml:space="preserve">Separation of powers (e.g., Optimism’s bicameral structure), independent</w:t>
      </w:r>
      <w:r>
        <w:t xml:space="preserve"> </w:t>
      </w:r>
      <w:r>
        <w:t xml:space="preserve">security councils with narrowly scoped veto authority, mandatory</w:t>
      </w:r>
      <w:r>
        <w:t xml:space="preserve"> </w:t>
      </w:r>
      <w:r>
        <w:t xml:space="preserve">timelocks, and public disclosure for large delegates are especially</w:t>
      </w:r>
      <w:r>
        <w:t xml:space="preserve"> </w:t>
      </w:r>
      <w:r>
        <w:t xml:space="preserve">important in GeoDePINs where operators face governance outcomes without</w:t>
      </w:r>
      <w:r>
        <w:t xml:space="preserve"> </w:t>
      </w:r>
      <w:r>
        <w:t xml:space="preserve">proportionate token power.</w:t>
      </w:r>
    </w:p>
    <w:p>
      <w:pPr>
        <w:pStyle w:val="BodyText"/>
      </w:pPr>
      <w:r>
        <w:t xml:space="preserve">Appeals and Dispute Resolution Contestability requires formal appeal</w:t>
      </w:r>
      <w:r>
        <w:t xml:space="preserve"> </w:t>
      </w:r>
      <w:r>
        <w:t xml:space="preserve">mechanisms. HIP-147’s acceptance (even by operators whose rewards were</w:t>
      </w:r>
      <w:r>
        <w:t xml:space="preserve"> </w:t>
      </w:r>
      <w:r>
        <w:t xml:space="preserve">reduced; see Zukowski, 2026a) indicates that structured processes with</w:t>
      </w:r>
      <w:r>
        <w:t xml:space="preserve"> </w:t>
      </w:r>
      <w:r>
        <w:t xml:space="preserve">clear rules support legitimate outcomes. Design implication: implement</w:t>
      </w:r>
      <w:r>
        <w:t xml:space="preserve"> </w:t>
      </w:r>
      <w:r>
        <w:t xml:space="preserve">tiered dispute resolution (community mediation → arbitration committee →</w:t>
      </w:r>
      <w:r>
        <w:t xml:space="preserve"> </w:t>
      </w:r>
      <w:r>
        <w:t xml:space="preserve">on-chain vote) with defined timelines and transparent criteria.</w:t>
      </w:r>
    </w:p>
    <w:p>
      <w:pPr>
        <w:pStyle w:val="BodyText"/>
      </w:pPr>
      <w:r>
        <w:t xml:space="preserve">Adaptive Governance and Meta-Governance. Governance structures must</w:t>
      </w:r>
      <w:r>
        <w:t xml:space="preserve"> </w:t>
      </w:r>
      <w:r>
        <w:t xml:space="preserve">evolve. Ostrom’s principle of rule evolution suggests periodic</w:t>
      </w:r>
      <w:r>
        <w:t xml:space="preserve"> </w:t>
      </w:r>
      <w:r>
        <w:t xml:space="preserve">constitutional reviews to adjust quorums, proposal formats, and role</w:t>
      </w:r>
      <w:r>
        <w:t xml:space="preserve"> </w:t>
      </w:r>
      <w:r>
        <w:t xml:space="preserve">definitions based on participation data. Emergency protocols should</w:t>
      </w:r>
      <w:r>
        <w:t xml:space="preserve"> </w:t>
      </w:r>
      <w:r>
        <w:t xml:space="preserve">pre-define who can act under crisis conditions, with what authority, and</w:t>
      </w:r>
      <w:r>
        <w:t xml:space="preserve"> </w:t>
      </w:r>
      <w:r>
        <w:t xml:space="preserve">subject to retroactive accountability. Bounded emergency power</w:t>
      </w:r>
      <w:r>
        <w:t xml:space="preserve"> </w:t>
      </w:r>
      <w:r>
        <w:t xml:space="preserve">strengthens legitimacy by making deviations predictable and auditable.</w:t>
      </w:r>
      <w:r>
        <w:t xml:space="preserve"> </w:t>
      </w:r>
      <w:r>
        <w:t xml:space="preserve">Internet Computer SNS DAOs demonstrate that structural tokenomic design</w:t>
      </w:r>
      <w:r>
        <w:t xml:space="preserve"> </w:t>
      </w:r>
      <w:r>
        <w:t xml:space="preserve">can overcome rational apathy: locked-staking neurons with zero-fee</w:t>
      </w:r>
      <w:r>
        <w:t xml:space="preserve"> </w:t>
      </w:r>
      <w:r>
        <w:t xml:space="preserve">voting sustain 64% average participation across 3,000 proposals (Okutan</w:t>
      </w:r>
      <w:r>
        <w:t xml:space="preserve"> </w:t>
      </w:r>
      <w:r>
        <w:t xml:space="preserve">et al., 2025).</w:t>
      </w:r>
    </w:p>
    <w:p>
      <w:pPr>
        <w:pStyle w:val="BodyText"/>
      </w:pPr>
      <w:r>
        <w:rPr>
          <w:b/>
          <w:bCs/>
        </w:rPr>
        <w:t xml:space="preserve">Future Extensions.</w:t>
      </w:r>
      <w:r>
        <w:t xml:space="preserve"> </w:t>
      </w:r>
      <w:r>
        <w:t xml:space="preserve">Three additional hypotheses (edge-signal</w:t>
      </w:r>
      <w:r>
        <w:t xml:space="preserve"> </w:t>
      </w:r>
      <w:r>
        <w:t xml:space="preserve">responsiveness, contextual integrity, and concentration dynamics) are</w:t>
      </w:r>
      <w:r>
        <w:t xml:space="preserve"> </w:t>
      </w:r>
      <w:r>
        <w:t xml:space="preserve">specified in an earlier version of the framework but are not testable</w:t>
      </w:r>
      <w:r>
        <w:t xml:space="preserve"> </w:t>
      </w:r>
      <w:r>
        <w:t xml:space="preserve">with the data collected here. They require operational telemetry,</w:t>
      </w:r>
      <w:r>
        <w:t xml:space="preserve"> </w:t>
      </w:r>
      <w:r>
        <w:t xml:space="preserve">privacy and trust metrics, and longitudinal governance observations</w:t>
      </w:r>
      <w:r>
        <w:t xml:space="preserve"> </w:t>
      </w:r>
      <w:r>
        <w:t xml:space="preserve">respectively, and represent priorities for future empirical work.</w:t>
      </w:r>
    </w:p>
    <w:bookmarkEnd w:id="110"/>
    <w:bookmarkStart w:id="111" w:name="broader-institutional-implications"/>
    <w:p>
      <w:pPr>
        <w:pStyle w:val="Heading2"/>
      </w:pPr>
      <w:r>
        <w:t xml:space="preserve">4.3 Broader Institutional Implications</w:t>
      </w:r>
    </w:p>
    <w:p>
      <w:pPr>
        <w:pStyle w:val="FirstParagraph"/>
      </w:pPr>
      <w:r>
        <w:t xml:space="preserve">The exclusion methodology generalizes beyond tokenomics. Any</w:t>
      </w:r>
      <w:r>
        <w:t xml:space="preserve"> </w:t>
      </w:r>
      <w:r>
        <w:t xml:space="preserve">concentration analysis that includes ownership positions that cannot</w:t>
      </w:r>
      <w:r>
        <w:t xml:space="preserve"> </w:t>
      </w:r>
      <w:r>
        <w:t xml:space="preserve">actually vote (frozen treasury positions, tokens still locked in vesting</w:t>
      </w:r>
      <w:r>
        <w:t xml:space="preserve"> </w:t>
      </w:r>
      <w:r>
        <w:t xml:space="preserve">schedules, customer assets held in custody) overstates how concentrated</w:t>
      </w:r>
      <w:r>
        <w:t xml:space="preserve"> </w:t>
      </w:r>
      <w:r>
        <w:t xml:space="preserve">control really is. Cooperative governance studies, public benefit</w:t>
      </w:r>
      <w:r>
        <w:t xml:space="preserve"> </w:t>
      </w:r>
      <w:r>
        <w:t xml:space="preserve">corporation analyses, and regulatory sandbox audits face the same</w:t>
      </w:r>
      <w:r>
        <w:t xml:space="preserve"> </w:t>
      </w:r>
      <w:r>
        <w:t xml:space="preserve">measurement problem; excluding non-voting positions would sharpen their</w:t>
      </w:r>
      <w:r>
        <w:t xml:space="preserve"> </w:t>
      </w:r>
      <w:r>
        <w:t xml:space="preserve">findings. Two further applications follow. Transparency principles</w:t>
      </w:r>
      <w:r>
        <w:t xml:space="preserve"> </w:t>
      </w:r>
      <w:r>
        <w:t xml:space="preserve">operationalized through the Kantian publicity lens (Section 2.9) apply</w:t>
      </w:r>
      <w:r>
        <w:t xml:space="preserve"> </w:t>
      </w:r>
      <w:r>
        <w:t xml:space="preserve">to any institution claiming legitimacy through openness, where claimed</w:t>
      </w:r>
      <w:r>
        <w:t xml:space="preserve"> </w:t>
      </w:r>
      <w:r>
        <w:t xml:space="preserve">transparency often masks operational opacity. And the scoring rubric</w:t>
      </w:r>
      <w:r>
        <w:t xml:space="preserve"> </w:t>
      </w:r>
      <w:r>
        <w:t xml:space="preserve">(Table 1) shows that normative philosophy can be operationalized as</w:t>
      </w:r>
      <w:r>
        <w:t xml:space="preserve"> </w:t>
      </w:r>
      <w:r>
        <w:t xml:space="preserve">measurement infrastructure, a methodological contribution that extends</w:t>
      </w:r>
      <w:r>
        <w:t xml:space="preserve"> </w:t>
      </w:r>
      <w:r>
        <w:t xml:space="preserve">to any domain where institutional design quality needs assessment.</w:t>
      </w:r>
    </w:p>
    <w:p>
      <w:pPr>
        <w:pStyle w:val="BodyText"/>
      </w:pPr>
      <w:r>
        <w:t xml:space="preserve">The governance concentration pattern documented here appears to be a</w:t>
      </w:r>
      <w:r>
        <w:t xml:space="preserve"> </w:t>
      </w:r>
      <w:r>
        <w:t xml:space="preserve">general property of maturing token ecosystems, not specific to DePIN. In</w:t>
      </w:r>
      <w:r>
        <w:t xml:space="preserve"> </w:t>
      </w:r>
      <w:r>
        <w:t xml:space="preserve">stablecoin gateway markets, total dollar volume doubled between 2023 and</w:t>
      </w:r>
      <w:r>
        <w:t xml:space="preserve"> </w:t>
      </w:r>
      <w:r>
        <w:t xml:space="preserve">2025 while unique counterparties declined 25%, and a single</w:t>
      </w:r>
      <w:r>
        <w:t xml:space="preserve"> </w:t>
      </w:r>
      <w:r>
        <w:t xml:space="preserve">market-making firm’s share of total counterparty volume rose from 1.4%</w:t>
      </w:r>
      <w:r>
        <w:t xml:space="preserve"> </w:t>
      </w:r>
      <w:r>
        <w:t xml:space="preserve">to 19.9% (Zukowski, 2026c). Throughput scales while participant</w:t>
      </w:r>
      <w:r>
        <w:t xml:space="preserve"> </w:t>
      </w:r>
      <w:r>
        <w:t xml:space="preserve">diversity contracts, and the remaining intermediaries become</w:t>
      </w:r>
      <w:r>
        <w:t xml:space="preserve"> </w:t>
      </w:r>
      <w:r>
        <w:t xml:space="preserve">increasingly load-bearing, whether those intermediaries are governance</w:t>
      </w:r>
      <w:r>
        <w:t xml:space="preserve"> </w:t>
      </w:r>
      <w:r>
        <w:t xml:space="preserve">voters, market makers, or infrastructure operators. A parallel</w:t>
      </w:r>
      <w:r>
        <w:t xml:space="preserve"> </w:t>
      </w:r>
      <w:r>
        <w:t xml:space="preserve">divergence appears in the same domain: the most regulated stablecoin</w:t>
      </w:r>
      <w:r>
        <w:t xml:space="preserve"> </w:t>
      </w:r>
      <w:r>
        <w:t xml:space="preserve">operator experienced the largest stress depeg, while the least regulated</w:t>
      </w:r>
      <w:r>
        <w:t xml:space="preserve"> </w:t>
      </w:r>
      <w:r>
        <w:t xml:space="preserve">maintained its peg (Zukowski, 2026d), demonstrating that regulation</w:t>
      </w:r>
      <w:r>
        <w:t xml:space="preserve"> </w:t>
      </w:r>
      <w:r>
        <w:t xml:space="preserve">intensity and product quality are separate dimensions requiring separate</w:t>
      </w:r>
      <w:r>
        <w:t xml:space="preserve"> </w:t>
      </w:r>
      <w:r>
        <w:t xml:space="preserve">measurement. The governance concentration gap documented here is the</w:t>
      </w:r>
      <w:r>
        <w:t xml:space="preserve"> </w:t>
      </w:r>
      <w:r>
        <w:t xml:space="preserve">DePIN analog: high concentration does not predict governance failure,</w:t>
      </w:r>
      <w:r>
        <w:t xml:space="preserve"> </w:t>
      </w:r>
      <w:r>
        <w:t xml:space="preserve">but creates structural conditions under which failure becomes more</w:t>
      </w:r>
      <w:r>
        <w:t xml:space="preserve"> </w:t>
      </w:r>
      <w:r>
        <w:t xml:space="preserve">likely if contestability mechanisms are absent.</w:t>
      </w:r>
    </w:p>
    <w:bookmarkEnd w:id="111"/>
    <w:bookmarkStart w:id="112" w:name="risks-and-counterpoints"/>
    <w:p>
      <w:pPr>
        <w:pStyle w:val="Heading2"/>
      </w:pPr>
      <w:r>
        <w:t xml:space="preserve">4.4 Risks and Counterpoints</w:t>
      </w:r>
    </w:p>
    <w:p>
      <w:pPr>
        <w:pStyle w:val="FirstParagraph"/>
      </w:pPr>
      <w:r>
        <w:t xml:space="preserve">Several risks deserve candid acknowledgment.</w:t>
      </w:r>
    </w:p>
    <w:p>
      <w:pPr>
        <w:pStyle w:val="BodyText"/>
      </w:pPr>
      <w:r>
        <w:rPr>
          <w:b/>
          <w:bCs/>
        </w:rPr>
        <w:t xml:space="preserve">Philosophical overreach.</w:t>
      </w:r>
      <w:r>
        <w:t xml:space="preserve"> </w:t>
      </w:r>
      <w:r>
        <w:t xml:space="preserve">Translating normative philosophy into</w:t>
      </w:r>
      <w:r>
        <w:t xml:space="preserve"> </w:t>
      </w:r>
      <w:r>
        <w:t xml:space="preserve">scoring rubrics necessarily simplifies rich traditions. A 0-to-3 scale</w:t>
      </w:r>
      <w:r>
        <w:t xml:space="preserve"> </w:t>
      </w:r>
      <w:r>
        <w:t xml:space="preserve">cannot capture the full depth of Kantian moral reasoning or Rawlsian</w:t>
      </w:r>
      <w:r>
        <w:t xml:space="preserve"> </w:t>
      </w:r>
      <w:r>
        <w:t xml:space="preserve">justice theory. The rubric is designed as a tractable approximation that</w:t>
      </w:r>
      <w:r>
        <w:t xml:space="preserve"> </w:t>
      </w:r>
      <w:r>
        <w:t xml:space="preserve">makes legitimacy evaluable, not as a claim that it captures everything</w:t>
      </w:r>
      <w:r>
        <w:t xml:space="preserve"> </w:t>
      </w:r>
      <w:r>
        <w:t xml:space="preserve">these traditions offer. Users should treat scores as comparable</w:t>
      </w:r>
      <w:r>
        <w:t xml:space="preserve"> </w:t>
      </w:r>
      <w:r>
        <w:t xml:space="preserve">indicators, not definitive judgments.</w:t>
      </w:r>
    </w:p>
    <w:p>
      <w:pPr>
        <w:pStyle w:val="BodyText"/>
      </w:pPr>
      <w:r>
        <w:rPr>
          <w:b/>
          <w:bCs/>
        </w:rPr>
        <w:t xml:space="preserve">Plutocratic concentration as equilibrium.</w:t>
      </w:r>
      <w:r>
        <w:t xml:space="preserve"> </w:t>
      </w:r>
      <w:r>
        <w:t xml:space="preserve">The governance</w:t>
      </w:r>
      <w:r>
        <w:t xml:space="preserve"> </w:t>
      </w:r>
      <w:r>
        <w:t xml:space="preserve">concentration data (Table 4) may reflect a stable equilibrium rather</w:t>
      </w:r>
      <w:r>
        <w:t xml:space="preserve"> </w:t>
      </w:r>
      <w:r>
        <w:t xml:space="preserve">than a design flaw: if governance power accrues to those with the most</w:t>
      </w:r>
      <w:r>
        <w:t xml:space="preserve"> </w:t>
      </w:r>
      <w:r>
        <w:t xml:space="preserve">skin in the game, concentration may be the efficient outcome.</w:t>
      </w:r>
    </w:p>
    <w:p>
      <w:pPr>
        <w:pStyle w:val="BodyText"/>
      </w:pPr>
      <w:r>
        <w:rPr>
          <w:b/>
          <w:bCs/>
        </w:rPr>
        <w:t xml:space="preserve">Distribution breadth at token launch</w:t>
      </w:r>
      <w:r>
        <w:t xml:space="preserve"> </w:t>
      </w:r>
      <w:r>
        <w:t xml:space="preserve">is empirically uninformative</w:t>
      </w:r>
      <w:r>
        <w:t xml:space="preserve"> </w:t>
      </w:r>
      <w:r>
        <w:t xml:space="preserve">about long-term governance concentration (Section 3.4). This finding,</w:t>
      </w:r>
      <w:r>
        <w:t xml:space="preserve"> </w:t>
      </w:r>
      <w:r>
        <w:t xml:space="preserve">anticipated as a risk, is consistent with the cross-sectional evidence</w:t>
      </w:r>
      <w:r>
        <w:t xml:space="preserve"> </w:t>
      </w:r>
      <w:r>
        <w:t xml:space="preserve">and reinforced by the Hyperliquid natural experiment (0% VC, HHI =</w:t>
      </w:r>
      <w:r>
        <w:t xml:space="preserve"> </w:t>
      </w:r>
      <w:r>
        <w:t xml:space="preserve">0.005). The practical consequence is that governance audits should focus</w:t>
      </w:r>
      <w:r>
        <w:t xml:space="preserve"> </w:t>
      </w:r>
      <w:r>
        <w:t xml:space="preserve">on current holder composition rather than initial allocation</w:t>
      </w:r>
      <w:r>
        <w:t xml:space="preserve"> </w:t>
      </w:r>
      <w:r>
        <w:t xml:space="preserve">documentation.</w:t>
      </w:r>
    </w:p>
    <w:p>
      <w:pPr>
        <w:pStyle w:val="BodyText"/>
      </w:pPr>
      <w:r>
        <w:rPr>
          <w:b/>
          <w:bCs/>
        </w:rPr>
        <w:t xml:space="preserve">The counterargument</w:t>
      </w:r>
      <w:r>
        <w:t xml:space="preserve"> </w:t>
      </w:r>
      <w:r>
        <w:t xml:space="preserve">is that efficiency and legitimacy are different</w:t>
      </w:r>
      <w:r>
        <w:t xml:space="preserve"> </w:t>
      </w:r>
      <w:r>
        <w:t xml:space="preserve">criteria, and that the normative framework (particularly the republican</w:t>
      </w:r>
      <w:r>
        <w:t xml:space="preserve"> </w:t>
      </w:r>
      <w:r>
        <w:t xml:space="preserve">non-domination lens) demands that power concentration be contestable</w:t>
      </w:r>
      <w:r>
        <w:t xml:space="preserve"> </w:t>
      </w:r>
      <w:r>
        <w:t xml:space="preserve">even if it is efficient. The counterexample (Anyone, HHI 0.040)</w:t>
      </w:r>
      <w:r>
        <w:t xml:space="preserve"> </w:t>
      </w:r>
      <w:r>
        <w:t xml:space="preserve">demonstrates that low concentration is achievable through deliberate</w:t>
      </w:r>
      <w:r>
        <w:t xml:space="preserve"> </w:t>
      </w:r>
      <w:r>
        <w:t xml:space="preserve">design.</w:t>
      </w:r>
    </w:p>
    <w:p>
      <w:pPr>
        <w:pStyle w:val="BodyText"/>
      </w:pPr>
      <w:r>
        <w:rPr>
          <w:b/>
          <w:bCs/>
        </w:rPr>
        <w:t xml:space="preserve">Measurement challenges.</w:t>
      </w:r>
      <w:r>
        <w:t xml:space="preserve"> </w:t>
      </w:r>
      <w:r>
        <w:t xml:space="preserve">The scoring rubric depends on publicly</w:t>
      </w:r>
      <w:r>
        <w:t xml:space="preserve"> </w:t>
      </w:r>
      <w:r>
        <w:t xml:space="preserve">observable design features, but some legitimacy-relevant properties</w:t>
      </w:r>
      <w:r>
        <w:t xml:space="preserve"> </w:t>
      </w:r>
      <w:r>
        <w:t xml:space="preserve">(backroom governance, informal influence, regulatory relationships) are</w:t>
      </w:r>
      <w:r>
        <w:t xml:space="preserve"> </w:t>
      </w:r>
      <w:r>
        <w:t xml:space="preserve">not observable on-chain. We specify inter-rater reliability protocols</w:t>
      </w:r>
      <w:r>
        <w:t xml:space="preserve"> </w:t>
      </w:r>
      <w:r>
        <w:t xml:space="preserve">(</w:t>
      </w:r>
      <w:hyperlink r:id="rId71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S2</w:t>
        </w:r>
      </w:hyperlink>
      <w:r>
        <w:t xml:space="preserve">)</w:t>
      </w:r>
      <w:r>
        <w:t xml:space="preserve"> </w:t>
      </w:r>
      <w:r>
        <w:t xml:space="preserve">but have not yet tested them with a second scorer. The governance</w:t>
      </w:r>
      <w:r>
        <w:t xml:space="preserve"> </w:t>
      </w:r>
      <w:r>
        <w:t xml:space="preserve">concentration analysis uses a snapshot methodology that does not capture</w:t>
      </w:r>
      <w:r>
        <w:t xml:space="preserve"> </w:t>
      </w:r>
      <w:r>
        <w:t xml:space="preserve">temporal dynamics; a panel approach would strengthen causal claims.</w:t>
      </w:r>
    </w:p>
    <w:p>
      <w:pPr>
        <w:pStyle w:val="BodyText"/>
      </w:pPr>
      <w:r>
        <w:rPr>
          <w:b/>
          <w:bCs/>
        </w:rPr>
        <w:t xml:space="preserve">Equity-token conflicts.</w:t>
      </w:r>
      <w:r>
        <w:t xml:space="preserve"> </w:t>
      </w:r>
      <w:r>
        <w:t xml:space="preserve">The normative framework assumes that</w:t>
      </w:r>
      <w:r>
        <w:t xml:space="preserve"> </w:t>
      </w:r>
      <w:r>
        <w:t xml:space="preserve">governance token holders are the primary principals, but hybrid</w:t>
      </w:r>
      <w:r>
        <w:t xml:space="preserve"> </w:t>
      </w:r>
      <w:r>
        <w:t xml:space="preserve">structures complicate this assumption. Helium’s unresolved tension</w:t>
      </w:r>
      <w:r>
        <w:t xml:space="preserve"> </w:t>
      </w:r>
      <w:r>
        <w:t xml:space="preserve">between Nova Labs’ equity obligations and HNT tokenholders' interests</w:t>
      </w:r>
      <w:r>
        <w:t xml:space="preserve"> </w:t>
      </w:r>
      <w:r>
        <w:t xml:space="preserve">(Bane &amp; Gala, 2026), exemplified by temporary revenue-allocation</w:t>
      </w:r>
      <w:r>
        <w:t xml:space="preserve"> </w:t>
      </w:r>
      <w:r>
        <w:t xml:space="preserve">policies and subsequent reversions, illustrates precisely the tension</w:t>
      </w:r>
      <w:r>
        <w:t xml:space="preserve"> </w:t>
      </w:r>
      <w:r>
        <w:t xml:space="preserve">between centralized operational decisions and decentralized governance</w:t>
      </w:r>
      <w:r>
        <w:t xml:space="preserve"> </w:t>
      </w:r>
      <w:r>
        <w:t xml:space="preserve">that Hypotheses 1 (transparency) and 2 (contestability) are designed to</w:t>
      </w:r>
      <w:r>
        <w:t xml:space="preserve"> </w:t>
      </w:r>
      <w:r>
        <w:t xml:space="preserve">address.</w:t>
      </w:r>
    </w:p>
    <w:p>
      <w:pPr>
        <w:pStyle w:val="BodyText"/>
      </w:pPr>
      <w:r>
        <w:rPr>
          <w:b/>
          <w:bCs/>
        </w:rPr>
        <w:t xml:space="preserve">Speed versus legitimacy trade-off.</w:t>
      </w:r>
      <w:r>
        <w:t xml:space="preserve"> </w:t>
      </w:r>
      <w:r>
        <w:t xml:space="preserve">Institutionally rigorous</w:t>
      </w:r>
      <w:r>
        <w:t xml:space="preserve"> </w:t>
      </w:r>
      <w:r>
        <w:t xml:space="preserve">governance processes are slower than technocratic decision-making. In</w:t>
      </w:r>
      <w:r>
        <w:t xml:space="preserve"> </w:t>
      </w:r>
      <w:r>
        <w:t xml:space="preserve">crisis conditions (exploits, market dislocations), the deliberative</w:t>
      </w:r>
      <w:r>
        <w:t xml:space="preserve"> </w:t>
      </w:r>
      <w:r>
        <w:t xml:space="preserve">processes the framework advocates may be too slow. The framework does</w:t>
      </w:r>
      <w:r>
        <w:t xml:space="preserve"> </w:t>
      </w:r>
      <w:r>
        <w:t xml:space="preserve">not resolve this tension but insists that emergency powers be</w:t>
      </w:r>
      <w:r>
        <w:t xml:space="preserve"> </w:t>
      </w:r>
      <w:r>
        <w:t xml:space="preserve">pre-committed and bounded, consistent with republican constitutionalism.</w:t>
      </w:r>
    </w:p>
    <w:bookmarkEnd w:id="112"/>
    <w:bookmarkStart w:id="113" w:name="position-in-literature"/>
    <w:p>
      <w:pPr>
        <w:pStyle w:val="Heading2"/>
      </w:pPr>
      <w:r>
        <w:t xml:space="preserve">4.5 Position in Literature</w:t>
      </w:r>
    </w:p>
    <w:p>
      <w:pPr>
        <w:pStyle w:val="FirstParagraph"/>
      </w:pPr>
      <w:r>
        <w:t xml:space="preserve">This paper’s contribution is not a new philosophical theory but a new</w:t>
      </w:r>
      <w:r>
        <w:t xml:space="preserve"> </w:t>
      </w:r>
      <w:r>
        <w:t xml:space="preserve">application: translating established normative frameworks (Kant, Rawls,</w:t>
      </w:r>
      <w:r>
        <w:t xml:space="preserve"> </w:t>
      </w:r>
      <w:r>
        <w:t xml:space="preserve">Pettit, Ostrom, Hayek) into actionable design criteria for programmable</w:t>
      </w:r>
      <w:r>
        <w:t xml:space="preserve"> </w:t>
      </w:r>
      <w:r>
        <w:t xml:space="preserve">institutions. It extends Werbach (2018), de Filippi &amp; Wright (2018), and</w:t>
      </w:r>
      <w:r>
        <w:t xml:space="preserve"> </w:t>
      </w:r>
      <w:r>
        <w:t xml:space="preserve">Reijers &amp; Coeckelbergh (2018) through prescriptive mechanism design</w:t>
      </w:r>
      <w:r>
        <w:t xml:space="preserve"> </w:t>
      </w:r>
      <w:r>
        <w:t xml:space="preserve">grounded in political philosophy. The GeoDePIN taxonomy and</w:t>
      </w:r>
      <w:r>
        <w:t xml:space="preserve"> </w:t>
      </w:r>
      <w:r>
        <w:t xml:space="preserve">demand-concentration diagnostic are, to our knowledge, new to the</w:t>
      </w:r>
      <w:r>
        <w:t xml:space="preserve"> </w:t>
      </w:r>
      <w:r>
        <w:t xml:space="preserve">literature.</w:t>
      </w:r>
    </w:p>
    <w:p>
      <w:pPr>
        <w:pStyle w:val="BodyText"/>
      </w:pPr>
      <w:r>
        <w:t xml:space="preserve">The five-lens framework developed here differs from existing DAO</w:t>
      </w:r>
      <w:r>
        <w:t xml:space="preserve"> </w:t>
      </w:r>
      <w:r>
        <w:t xml:space="preserve">assessment frameworks along three dimensions. (1) Scope: the Aragon DAO</w:t>
      </w:r>
      <w:r>
        <w:t xml:space="preserve"> </w:t>
      </w:r>
      <w:r>
        <w:t xml:space="preserve">Health Index, Snapshot voting analytics, Boardroom, and DAOstar’s</w:t>
      </w:r>
      <w:r>
        <w:t xml:space="preserve"> </w:t>
      </w:r>
      <w:r>
        <w:t xml:space="preserve">DAO-standards work measure operational characteristics (proposal</w:t>
      </w:r>
      <w:r>
        <w:t xml:space="preserve"> </w:t>
      </w:r>
      <w:r>
        <w:t xml:space="preserve">throughput, voter turnout, treasury management, identity standards)</w:t>
      </w:r>
      <w:r>
        <w:t xml:space="preserve"> </w:t>
      </w:r>
      <w:r>
        <w:t xml:space="preserve">without an explicit philosophical-tradition anchor; this paper supplies</w:t>
      </w:r>
      <w:r>
        <w:t xml:space="preserve"> </w:t>
      </w:r>
      <w:r>
        <w:t xml:space="preserve">the political-philosophy warrant for which operational characteristics</w:t>
      </w:r>
      <w:r>
        <w:t xml:space="preserve"> </w:t>
      </w:r>
      <w:r>
        <w:t xml:space="preserve">matter and why. (2) Aggregation: existing frameworks typically score</w:t>
      </w:r>
      <w:r>
        <w:t xml:space="preserve"> </w:t>
      </w:r>
      <w:r>
        <w:t xml:space="preserve">single dimensions (voter participation; proposal velocity; treasury</w:t>
      </w:r>
      <w:r>
        <w:t xml:space="preserve"> </w:t>
      </w:r>
      <w:r>
        <w:t xml:space="preserve">diversification) rather than aggregating across normative dimensions;</w:t>
      </w:r>
      <w:r>
        <w:t xml:space="preserve"> </w:t>
      </w:r>
      <w:r>
        <w:t xml:space="preserve">the Synergy Index aggregates five lenses with explicit equal-weight</w:t>
      </w:r>
      <w:r>
        <w:t xml:space="preserve"> </w:t>
      </w:r>
      <w:r>
        <w:t xml:space="preserve">methodology and discusses alternative weakest-link aggregation</w:t>
      </w:r>
      <w:r>
        <w:t xml:space="preserve"> </w:t>
      </w:r>
      <w:r>
        <w:t xml:space="preserve">(Section 2.10.6). (3) Comparability: existing dashboards report</w:t>
      </w:r>
      <w:r>
        <w:t xml:space="preserve"> </w:t>
      </w:r>
      <w:r>
        <w:t xml:space="preserve">per-protocol metrics without a cross-protocol normative comparison; the</w:t>
      </w:r>
      <w:r>
        <w:t xml:space="preserve"> </w:t>
      </w:r>
      <w:r>
        <w:t xml:space="preserve">40-protocol cross-section in Section 3 provides such a comparison by</w:t>
      </w:r>
      <w:r>
        <w:t xml:space="preserve"> </w:t>
      </w:r>
      <w:r>
        <w:t xml:space="preserve">applying a uniform PCA-exclusion methodology and a uniform scoring</w:t>
      </w:r>
      <w:r>
        <w:t xml:space="preserve"> </w:t>
      </w:r>
      <w:r>
        <w:t xml:space="preserve">rubric. The framework complements rather than replaces operational</w:t>
      </w:r>
      <w:r>
        <w:t xml:space="preserve"> </w:t>
      </w:r>
      <w:r>
        <w:t xml:space="preserve">dashboards: protocol practitioners can use this paper’s lens scoring</w:t>
      </w:r>
      <w:r>
        <w:t xml:space="preserve"> </w:t>
      </w:r>
      <w:r>
        <w:t xml:space="preserve">alongside existing operational telemetry to identify where structural</w:t>
      </w:r>
      <w:r>
        <w:t xml:space="preserve"> </w:t>
      </w:r>
      <w:r>
        <w:t xml:space="preserve">governance investments would yield the largest improvement in</w:t>
      </w:r>
      <w:r>
        <w:t xml:space="preserve"> </w:t>
      </w:r>
      <w:r>
        <w:t xml:space="preserve">normative dimensions.</w:t>
      </w:r>
    </w:p>
    <w:p>
      <w:pPr>
        <w:pStyle w:val="BodyText"/>
      </w:pPr>
      <w:r>
        <w:t xml:space="preserve">Large-scale analysis of 100 DAOs is consistent with the finding that</w:t>
      </w:r>
      <w:r>
        <w:t xml:space="preserve"> </w:t>
      </w:r>
      <w:r>
        <w:t xml:space="preserve">social and public-good protocols achieve significantly higher</w:t>
      </w:r>
      <w:r>
        <w:t xml:space="preserve"> </w:t>
      </w:r>
      <w:r>
        <w:t xml:space="preserve">decentralization than infrastructure or investment protocols (Sharma et</w:t>
      </w:r>
      <w:r>
        <w:t xml:space="preserve"> </w:t>
      </w:r>
      <w:r>
        <w:t xml:space="preserve">al., 2026), consistent with the DePIN-DeFi concentration differential</w:t>
      </w:r>
      <w:r>
        <w:t xml:space="preserve"> </w:t>
      </w:r>
      <w:r>
        <w:t xml:space="preserve">documented here (Mann-Whitney p = 0.014, Cohen’s d = 1.03).</w:t>
      </w:r>
    </w:p>
    <w:p>
      <w:pPr>
        <w:pStyle w:val="BodyText"/>
      </w:pPr>
      <w:r>
        <w:t xml:space="preserve">Scholte (2026) examines the transscalar nature of polycentric digital</w:t>
      </w:r>
      <w:r>
        <w:t xml:space="preserve"> </w:t>
      </w:r>
      <w:r>
        <w:t xml:space="preserve">governance, arguing that legitimacy in decentralized systems requires</w:t>
      </w:r>
      <w:r>
        <w:t xml:space="preserve"> </w:t>
      </w:r>
      <w:r>
        <w:t xml:space="preserve">overlapping authorities with explicit accountability mechanisms; the</w:t>
      </w:r>
      <w:r>
        <w:t xml:space="preserve"> </w:t>
      </w:r>
      <w:r>
        <w:t xml:space="preserve">scoring rubric developed here operationalizes this requirement through</w:t>
      </w:r>
      <w:r>
        <w:t xml:space="preserve"> </w:t>
      </w:r>
      <w:r>
        <w:t xml:space="preserve">the Ostrom polycentricity lens (Table 1).</w:t>
      </w:r>
    </w:p>
    <w:p>
      <w:pPr>
        <w:pStyle w:val="BodyText"/>
      </w:pPr>
      <w:r>
        <w:rPr>
          <w:b/>
          <w:bCs/>
        </w:rPr>
        <w:t xml:space="preserve">Mechanism Design and Institutional Economics.</w:t>
      </w:r>
      <w:r>
        <w:t xml:space="preserve"> </w:t>
      </w:r>
      <w:r>
        <w:t xml:space="preserve">Classical mechanism</w:t>
      </w:r>
      <w:r>
        <w:t xml:space="preserve"> </w:t>
      </w:r>
      <w:r>
        <w:t xml:space="preserve">design (Hurwicz, Myerson) optimizes for efficiency and incentive</w:t>
      </w:r>
      <w:r>
        <w:t xml:space="preserve"> </w:t>
      </w:r>
      <w:r>
        <w:t xml:space="preserve">compatibility; this paper adds normative dimensions (fairness,</w:t>
      </w:r>
      <w:r>
        <w:t xml:space="preserve"> </w:t>
      </w:r>
      <w:r>
        <w:t xml:space="preserve">contestability, capability) that mechanism design traditionally</w:t>
      </w:r>
      <w:r>
        <w:t xml:space="preserve"> </w:t>
      </w:r>
      <w:r>
        <w:t xml:space="preserve">brackets. We build on Ostrom’s institutional analysis of commons</w:t>
      </w:r>
      <w:r>
        <w:t xml:space="preserve"> </w:t>
      </w:r>
      <w:r>
        <w:t xml:space="preserve">governance, extending her framework from natural resource commons to</w:t>
      </w:r>
      <w:r>
        <w:t xml:space="preserve"> </w:t>
      </w:r>
      <w:r>
        <w:t xml:space="preserve">digital infrastructure commons where coordination mechanisms are encoded</w:t>
      </w:r>
      <w:r>
        <w:t xml:space="preserve"> </w:t>
      </w:r>
      <w:r>
        <w:t xml:space="preserve">in smart contracts.</w:t>
      </w:r>
    </w:p>
    <w:p>
      <w:pPr>
        <w:pStyle w:val="BodyText"/>
      </w:pPr>
      <w:r>
        <w:rPr>
          <w:b/>
          <w:bCs/>
        </w:rPr>
        <w:t xml:space="preserve">Political Philosophy and Institutional Design.</w:t>
      </w:r>
      <w:r>
        <w:t xml:space="preserve"> </w:t>
      </w:r>
      <w:r>
        <w:t xml:space="preserve">The philosophical</w:t>
      </w:r>
      <w:r>
        <w:t xml:space="preserve"> </w:t>
      </w:r>
      <w:r>
        <w:t xml:space="preserve">framework (Section 2.9) draws primarily on Rawls, Kant, Pettit, Hayek,</w:t>
      </w:r>
      <w:r>
        <w:t xml:space="preserve"> </w:t>
      </w:r>
      <w:r>
        <w:t xml:space="preserve">and Ostrom as operationalized lenses, with additional intellectual</w:t>
      </w:r>
      <w:r>
        <w:t xml:space="preserve"> </w:t>
      </w:r>
      <w:r>
        <w:t xml:space="preserve">context from Nussbaum (2011), Floridi, and Appiah, treating these</w:t>
      </w:r>
      <w:r>
        <w:t xml:space="preserve"> </w:t>
      </w:r>
      <w:r>
        <w:t xml:space="preserve">traditions not as isolated theoretical lenses but as complementary</w:t>
      </w:r>
      <w:r>
        <w:t xml:space="preserve"> </w:t>
      </w:r>
      <w:r>
        <w:t xml:space="preserve">design criteria that jointly define institutional legitimacy. This</w:t>
      </w:r>
      <w:r>
        <w:t xml:space="preserve"> </w:t>
      </w:r>
      <w:r>
        <w:t xml:space="preserve">integrative approach extends debates in political philosophy about</w:t>
      </w:r>
      <w:r>
        <w:t xml:space="preserve"> </w:t>
      </w:r>
      <w:r>
        <w:t xml:space="preserve">institutional design to a novel domain where institutions are</w:t>
      </w:r>
      <w:r>
        <w:t xml:space="preserve"> </w:t>
      </w:r>
      <w:r>
        <w:t xml:space="preserve">programmable and globally accessible.</w:t>
      </w:r>
    </w:p>
    <w:p>
      <w:pPr>
        <w:pStyle w:val="BodyText"/>
      </w:pPr>
      <w:r>
        <w:rPr>
          <w:b/>
          <w:bCs/>
        </w:rPr>
        <w:t xml:space="preserve">Blockchain Governance Scholarship.</w:t>
      </w:r>
      <w:r>
        <w:t xml:space="preserve"> </w:t>
      </w:r>
      <w:r>
        <w:t xml:space="preserve">The growing literature on DAO</w:t>
      </w:r>
      <w:r>
        <w:t xml:space="preserve"> </w:t>
      </w:r>
      <w:r>
        <w:t xml:space="preserve">governance (Fan et al. 2025, DeepDAO 2023) documents participation</w:t>
      </w:r>
      <w:r>
        <w:t xml:space="preserve"> </w:t>
      </w:r>
      <w:r>
        <w:t xml:space="preserve">patterns and concentration but rarely connects these to normative</w:t>
      </w:r>
      <w:r>
        <w:t xml:space="preserve"> </w:t>
      </w:r>
      <w:r>
        <w:t xml:space="preserve">frameworks. This paper bridges that gap: the governance cross-section</w:t>
      </w:r>
      <w:r>
        <w:t xml:space="preserve"> </w:t>
      </w:r>
      <w:r>
        <w:t xml:space="preserve">(Table 4) contributes new empirical evidence on holding concentration</w:t>
      </w:r>
      <w:r>
        <w:t xml:space="preserve"> </w:t>
      </w:r>
      <w:r>
        <w:t xml:space="preserve">while the philosophical scoring rubric (Table 1) provides a replicable</w:t>
      </w:r>
      <w:r>
        <w:t xml:space="preserve"> </w:t>
      </w:r>
      <w:r>
        <w:t xml:space="preserve">methodology for normative assessment. The Helium S2R case study</w:t>
      </w:r>
      <w:r>
        <w:t xml:space="preserve"> </w:t>
      </w:r>
      <w:r>
        <w:t xml:space="preserve">(Zukowski, 2026a) extends the DePIN sustainability literature with</w:t>
      </w:r>
      <w:r>
        <w:t xml:space="preserve"> </w:t>
      </w:r>
      <w:r>
        <w:t xml:space="preserve">longitudinal tokenomic evidence.</w:t>
      </w:r>
    </w:p>
    <w:p>
      <w:pPr>
        <w:pStyle w:val="BodyText"/>
      </w:pPr>
      <w:r>
        <w:rPr>
          <w:b/>
          <w:bCs/>
        </w:rPr>
        <w:t xml:space="preserve">Token Engineering and Cryptoeconomics.</w:t>
      </w:r>
      <w:r>
        <w:t xml:space="preserve"> </w:t>
      </w:r>
      <w:r>
        <w:t xml:space="preserve">Token engineering is</w:t>
      </w:r>
      <w:r>
        <w:t xml:space="preserve"> </w:t>
      </w:r>
      <w:r>
        <w:t xml:space="preserve">developing as a design discipline focused on simulation and</w:t>
      </w:r>
      <w:r>
        <w:t xml:space="preserve"> </w:t>
      </w:r>
      <w:r>
        <w:t xml:space="preserve">optimization. This paper complements that technical approach with</w:t>
      </w:r>
      <w:r>
        <w:t xml:space="preserve"> </w:t>
      </w:r>
      <w:r>
        <w:t xml:space="preserve">institutional and philosophical analysis, arguing that token design</w:t>
      </w:r>
      <w:r>
        <w:t xml:space="preserve"> </w:t>
      </w:r>
      <w:r>
        <w:t xml:space="preserve">choices are simultaneously economic mechanism design and political</w:t>
      </w:r>
      <w:r>
        <w:t xml:space="preserve"> </w:t>
      </w:r>
      <w:r>
        <w:t xml:space="preserve">constitution-writing, demonstrating that interdisciplinary synthesis</w:t>
      </w:r>
      <w:r>
        <w:t xml:space="preserve"> </w:t>
      </w:r>
      <w:r>
        <w:t xml:space="preserve">yields insights neither discipline produces alone.</w:t>
      </w:r>
    </w:p>
    <w:bookmarkEnd w:id="113"/>
    <w:bookmarkStart w:id="114" w:name="summary-of-findings"/>
    <w:p>
      <w:pPr>
        <w:pStyle w:val="Heading2"/>
      </w:pPr>
      <w:r>
        <w:t xml:space="preserve">4.6 Summary of Findings</w:t>
      </w:r>
    </w:p>
    <w:p>
      <w:pPr>
        <w:pStyle w:val="FirstParagraph"/>
      </w:pPr>
      <w:r>
        <w:t xml:space="preserve">Governance concentration in token economies is not predicted by how</w:t>
      </w:r>
      <w:r>
        <w:t xml:space="preserve"> </w:t>
      </w:r>
      <w:r>
        <w:t xml:space="preserve">tokens are distributed at launch. Across 40 protocols, initial</w:t>
      </w:r>
      <w:r>
        <w:t xml:space="preserve"> </w:t>
      </w:r>
      <w:r>
        <w:t xml:space="preserve">allocation design is uninformative (r = 0.17, p = 0.32): protocols with</w:t>
      </w:r>
      <w:r>
        <w:t xml:space="preserve"> </w:t>
      </w:r>
      <w:r>
        <w:t xml:space="preserve">generous community distributions exhibit concentration patterns similar</w:t>
      </w:r>
      <w:r>
        <w:t xml:space="preserve"> </w:t>
      </w:r>
      <w:r>
        <w:t xml:space="preserve">to those with heavy insider allocations. Post-distribution dynamics</w:t>
      </w:r>
      <w:r>
        <w:t xml:space="preserve"> </w:t>
      </w:r>
      <w:r>
        <w:t xml:space="preserve">dominate design intent; protocols with more insider wallets in their</w:t>
      </w:r>
      <w:r>
        <w:t xml:space="preserve"> </w:t>
      </w:r>
      <w:r>
        <w:t xml:space="preserve">top-holder lists exhibit higher concentration even among their</w:t>
      </w:r>
      <w:r>
        <w:t xml:space="preserve"> </w:t>
      </w:r>
      <w:r>
        <w:t xml:space="preserve">non-insider holders (Spearman rho = 0.54, p = 0.001, N = 34), consistent</w:t>
      </w:r>
      <w:r>
        <w:t xml:space="preserve"> </w:t>
      </w:r>
      <w:r>
        <w:t xml:space="preserve">with an ecosystem-level effect beyond the mechanical contribution of</w:t>
      </w:r>
      <w:r>
        <w:t xml:space="preserve"> </w:t>
      </w:r>
      <w:r>
        <w:t xml:space="preserve">large insider positions. DePIN protocols exhibit significantly higher</w:t>
      </w:r>
      <w:r>
        <w:t xml:space="preserve"> </w:t>
      </w:r>
      <w:r>
        <w:t xml:space="preserve">concentration than DeFi protocols (Mann-Whitney p = 0.016, d = 1.03), a</w:t>
      </w:r>
      <w:r>
        <w:t xml:space="preserve"> </w:t>
      </w:r>
      <w:r>
        <w:t xml:space="preserve">pattern consistent with hardware network economics concentrating</w:t>
      </w:r>
      <w:r>
        <w:t xml:space="preserve"> </w:t>
      </w:r>
      <w:r>
        <w:t xml:space="preserve">governance power among infrastructure operators.</w:t>
      </w:r>
    </w:p>
    <w:p>
      <w:pPr>
        <w:pStyle w:val="BodyText"/>
      </w:pPr>
      <w:r>
        <w:t xml:space="preserve">DePIN protocols vary enormously in their dependence on token subsidies,</w:t>
      </w:r>
      <w:r>
        <w:t xml:space="preserve"> </w:t>
      </w:r>
      <w:r>
        <w:t xml:space="preserve">but concentration does not track subsidy in any robust specification</w:t>
      </w:r>
      <w:r>
        <w:t xml:space="preserve"> </w:t>
      </w:r>
      <w:r>
        <w:t xml:space="preserve">(Section 3.4, Table 5). Two cases illustrate the disconnect: Aethir</w:t>
      </w:r>
      <w:r>
        <w:t xml:space="preserve"> </w:t>
      </w:r>
      <w:r>
        <w:t xml:space="preserve">generates the highest DePIN revenue yet sits at the second-highest HHI</w:t>
      </w:r>
      <w:r>
        <w:t xml:space="preserve"> </w:t>
      </w:r>
      <w:r>
        <w:t xml:space="preserve">(0.153), while Hivemapper combines a 5.46x subsidy ratio with the lowest</w:t>
      </w:r>
      <w:r>
        <w:t xml:space="preserve"> </w:t>
      </w:r>
      <w:r>
        <w:t xml:space="preserve">HHI among expansion protocols (0.020). Governance concentration reflects</w:t>
      </w:r>
      <w:r>
        <w:t xml:space="preserve"> </w:t>
      </w:r>
      <w:r>
        <w:t xml:space="preserve">sector and operator-base structure rather than ongoing financial</w:t>
      </w:r>
      <w:r>
        <w:t xml:space="preserve"> </w:t>
      </w:r>
      <w:r>
        <w:t xml:space="preserve">sustainability or initial allocation design. The multivariate OLS in</w:t>
      </w:r>
      <w:r>
        <w:t xml:space="preserve"> </w:t>
      </w:r>
      <w:r>
        <w:t xml:space="preserve">Section 3.4 (Table 6) corroborates the allocation null while documenting</w:t>
      </w:r>
      <w:r>
        <w:t xml:space="preserve"> </w:t>
      </w:r>
      <w:r>
        <w:t xml:space="preserve">that sector membership predicts concentration even after controlling for</w:t>
      </w:r>
      <w:r>
        <w:t xml:space="preserve"> </w:t>
      </w:r>
      <w:r>
        <w:t xml:space="preserve">protocol age, valuation, and insider allocation (adjusted R² between</w:t>
      </w:r>
      <w:r>
        <w:t xml:space="preserve"> </w:t>
      </w:r>
      <w:r>
        <w:t xml:space="preserve">0.14 and 0.17).</w:t>
      </w:r>
    </w:p>
    <w:p>
      <w:pPr>
        <w:pStyle w:val="BodyText"/>
      </w:pPr>
      <w:r>
        <w:t xml:space="preserve">Delegation amplifies governance concentration above the level measured</w:t>
      </w:r>
      <w:r>
        <w:t xml:space="preserve"> </w:t>
      </w:r>
      <w:r>
        <w:t xml:space="preserve">from token holdings in nine of ten Table 7 protocols (amplification</w:t>
      </w:r>
      <w:r>
        <w:t xml:space="preserve"> </w:t>
      </w:r>
      <w:r>
        <w:t xml:space="preserve">range 1.4x to 6.0x; mean 3.3x; Section 3.5), with one structural</w:t>
      </w:r>
      <w:r>
        <w:t xml:space="preserve"> </w:t>
      </w:r>
      <w:r>
        <w:t xml:space="preserve">exception (ENS at 0.21x reflects a mature delegate program where</w:t>
      </w:r>
      <w:r>
        <w:t xml:space="preserve"> </w:t>
      </w:r>
      <w:r>
        <w:t xml:space="preserve">broad-community-delegate distribution is the design choice). The</w:t>
      </w:r>
      <w:r>
        <w:t xml:space="preserve"> </w:t>
      </w:r>
      <w:r>
        <w:t xml:space="preserve">Pettit-contestability lens (Table 1 Section 2.10.1) operationalizes</w:t>
      </w:r>
      <w:r>
        <w:t xml:space="preserve"> </w:t>
      </w:r>
      <w:r>
        <w:t xml:space="preserve">the institutional mechanisms designed to produce non-domination as the</w:t>
      </w:r>
      <w:r>
        <w:t xml:space="preserve"> </w:t>
      </w:r>
      <w:r>
        <w:t xml:space="preserve">goal-state Pettit identifies; the near-universal-amplification finding</w:t>
      </w:r>
      <w:r>
        <w:t xml:space="preserve"> </w:t>
      </w:r>
      <w:r>
        <w:t xml:space="preserve">indicates that token-weighted delegation, even when paired with formal</w:t>
      </w:r>
      <w:r>
        <w:t xml:space="preserve"> </w:t>
      </w:r>
      <w:r>
        <w:t xml:space="preserve">contestability infrastructure, concentrates voting power structurally</w:t>
      </w:r>
      <w:r>
        <w:t xml:space="preserve"> </w:t>
      </w:r>
      <w:r>
        <w:t xml:space="preserve">above stake holdings in most sampled protocols, while the ENS</w:t>
      </w:r>
      <w:r>
        <w:t xml:space="preserve"> </w:t>
      </w:r>
      <w:r>
        <w:t xml:space="preserve">exception demonstrates that broad-distribution delegate programs CAN</w:t>
      </w:r>
      <w:r>
        <w:t xml:space="preserve"> </w:t>
      </w:r>
      <w:r>
        <w:t xml:space="preserve">disperse voting power below the holding baseline when explicitly</w:t>
      </w:r>
      <w:r>
        <w:t xml:space="preserve"> </w:t>
      </w:r>
      <w:r>
        <w:t xml:space="preserve">designed for that outcome. The pattern surfaces a recurring</w:t>
      </w:r>
      <w:r>
        <w:t xml:space="preserve"> </w:t>
      </w:r>
      <w:r>
        <w:t xml:space="preserve">philosophical question that the five-lens framework’s</w:t>
      </w:r>
      <w:r>
        <w:t xml:space="preserve"> </w:t>
      </w:r>
      <w:r>
        <w:t xml:space="preserve">inter-lens-relationships architecture (Section 2.9.6) helps surface:</w:t>
      </w:r>
      <w:r>
        <w:t xml:space="preserve"> </w:t>
      </w:r>
      <w:r>
        <w:t xml:space="preserve">operational mechanisms that score well on the contestability lens</w:t>
      </w:r>
      <w:r>
        <w:t xml:space="preserve"> </w:t>
      </w:r>
      <w:r>
        <w:t xml:space="preserve">(appeals, veto rights) may nevertheless leave the goal-state</w:t>
      </w:r>
      <w:r>
        <w:t xml:space="preserve"> </w:t>
      </w:r>
      <w:r>
        <w:t xml:space="preserve">(non-domination) unmet when voting-power concentration exceeds the</w:t>
      </w:r>
      <w:r>
        <w:t xml:space="preserve"> </w:t>
      </w:r>
      <w:r>
        <w:t xml:space="preserve">practical capacity of contestation mechanisms to constrain. The</w:t>
      </w:r>
      <w:r>
        <w:t xml:space="preserve"> </w:t>
      </w:r>
      <w:r>
        <w:t xml:space="preserve">PCA-symmetric robustness check (Section 3.7) confirms the</w:t>
      </w:r>
      <w:r>
        <w:t xml:space="preserve"> </w:t>
      </w:r>
      <w:r>
        <w:t xml:space="preserve">universal-amplification finding is not an artifact of the choice to</w:t>
      </w:r>
      <w:r>
        <w:t xml:space="preserve"> </w:t>
      </w:r>
      <w:r>
        <w:t xml:space="preserve">include foundation or aggregation-contract delegates in voting HHI; the</w:t>
      </w:r>
      <w:r>
        <w:t xml:space="preserve"> </w:t>
      </w:r>
      <w:r>
        <w:t xml:space="preserve">finding holds across all 5 Tally-sourced protocols even under symmetric</w:t>
      </w:r>
      <w:r>
        <w:t xml:space="preserve"> </w:t>
      </w:r>
      <w:r>
        <w:t xml:space="preserve">PCA exclusion.</w:t>
      </w:r>
    </w:p>
    <w:bookmarkEnd w:id="114"/>
    <w:bookmarkStart w:id="115" w:name="contributions"/>
    <w:p>
      <w:pPr>
        <w:pStyle w:val="Heading2"/>
      </w:pPr>
      <w:r>
        <w:t xml:space="preserve">4.7 Contributions</w:t>
      </w:r>
    </w:p>
    <w:p>
      <w:pPr>
        <w:pStyle w:val="FirstParagraph"/>
      </w:pPr>
      <w:r>
        <w:t xml:space="preserve">The paper makes six contributions across measurement, methodology, and</w:t>
      </w:r>
      <w:r>
        <w:t xml:space="preserve"> </w:t>
      </w:r>
      <w:r>
        <w:t xml:space="preserve">empirical analysis.</w:t>
      </w:r>
    </w:p>
    <w:p>
      <w:pPr>
        <w:pStyle w:val="BodyText"/>
      </w:pPr>
      <w:r>
        <w:rPr>
          <w:b/>
          <w:bCs/>
        </w:rPr>
        <w:t xml:space="preserve">First, generalizable PCA exclusion methodology</w:t>
      </w:r>
      <w:r>
        <w:t xml:space="preserve"> </w:t>
      </w:r>
      <w:r>
        <w:t xml:space="preserve">(Section 2.10.10).</w:t>
      </w:r>
      <w:r>
        <w:t xml:space="preserve"> </w:t>
      </w:r>
      <w:r>
        <w:t xml:space="preserve">The exclusion methodology identifies 126 addresses controlled by</w:t>
      </w:r>
      <w:r>
        <w:t xml:space="preserve"> </w:t>
      </w:r>
      <w:r>
        <w:t xml:space="preserve">protocols themselves (staking contracts, exchange custodians, vesting</w:t>
      </w:r>
      <w:r>
        <w:t xml:space="preserve"> </w:t>
      </w:r>
      <w:r>
        <w:t xml:space="preserve">locks, and treasuries) that appear on holder lists but cannot vote.</w:t>
      </w:r>
      <w:r>
        <w:t xml:space="preserve"> </w:t>
      </w:r>
      <w:r>
        <w:t xml:space="preserve">Correcting for these changes affected protocols’ HHI by up to 7x. Prior</w:t>
      </w:r>
      <w:r>
        <w:t xml:space="preserve"> </w:t>
      </w:r>
      <w:r>
        <w:t xml:space="preserve">studies computing token HHI without this correction measured protocol</w:t>
      </w:r>
      <w:r>
        <w:t xml:space="preserve"> </w:t>
      </w:r>
      <w:r>
        <w:t xml:space="preserve">architecture, not governance concentration. The methodology</w:t>
      </w:r>
      <w:r>
        <w:t xml:space="preserve"> </w:t>
      </w:r>
      <w:r>
        <w:t xml:space="preserve">generalizes beyond this paper’s specific protocol set through the</w:t>
      </w:r>
      <w:r>
        <w:t xml:space="preserve"> </w:t>
      </w:r>
      <w:r>
        <w:t xml:space="preserve">five-class typology codified in Section 2.10.10 (burn-destination</w:t>
      </w:r>
      <w:r>
        <w:t xml:space="preserve"> </w:t>
      </w:r>
      <w:r>
        <w:t xml:space="preserve">addresses; foundation and treasury custody; staking-aggregation</w:t>
      </w:r>
      <w:r>
        <w:t xml:space="preserve"> </w:t>
      </w:r>
      <w:r>
        <w:t xml:space="preserve">contracts; bridge custody and migration addresses); future cross-</w:t>
      </w:r>
      <w:r>
        <w:t xml:space="preserve"> </w:t>
      </w:r>
      <w:r>
        <w:t xml:space="preserve">protocol governance HHI analysis on ERC-20 or SPL token holders can</w:t>
      </w:r>
      <w:r>
        <w:t xml:space="preserve"> </w:t>
      </w:r>
      <w:r>
        <w:t xml:space="preserve">apply the typology uniformly.</w:t>
      </w:r>
    </w:p>
    <w:p>
      <w:pPr>
        <w:pStyle w:val="BodyText"/>
      </w:pPr>
      <w:r>
        <w:rPr>
          <w:b/>
          <w:bCs/>
        </w:rPr>
        <w:t xml:space="preserve">Second, two-layer philosophical framework</w:t>
      </w:r>
      <w:r>
        <w:t xml:space="preserve"> </w:t>
      </w:r>
      <w:r>
        <w:t xml:space="preserve">(Section 2.10.1; Table 1).</w:t>
      </w:r>
      <w:r>
        <w:t xml:space="preserve"> </w:t>
      </w:r>
      <w:r>
        <w:t xml:space="preserve">The framework distinguishes the philosophical goal-state Layer 1</w:t>
      </w:r>
      <w:r>
        <w:t xml:space="preserve"> </w:t>
      </w:r>
      <w:r>
        <w:t xml:space="preserve">(what the tradition aims to secure: legitimacy through public reason</w:t>
      </w:r>
      <w:r>
        <w:t xml:space="preserve"> </w:t>
      </w:r>
      <w:r>
        <w:t xml:space="preserve">for Kant; non-domination for Pettit; distributive fairness for Rawls;</w:t>
      </w:r>
      <w:r>
        <w:t xml:space="preserve"> </w:t>
      </w:r>
      <w:r>
        <w:t xml:space="preserve">adaptive collective action for Ostrom; epistemic coordination for</w:t>
      </w:r>
      <w:r>
        <w:t xml:space="preserve"> </w:t>
      </w:r>
      <w:r>
        <w:t xml:space="preserve">Hayek) from the operational mechanism Layer 2 (what is observable in</w:t>
      </w:r>
      <w:r>
        <w:t xml:space="preserve"> </w:t>
      </w:r>
      <w:r>
        <w:t xml:space="preserve">protocol design: transparent rules; appeals plus veto; floor-raising</w:t>
      </w:r>
      <w:r>
        <w:t xml:space="preserve"> </w:t>
      </w:r>
      <w:r>
        <w:t xml:space="preserve">mechanisms; nested decision-centers; demand-coupled signals). The</w:t>
      </w:r>
      <w:r>
        <w:t xml:space="preserve"> </w:t>
      </w:r>
      <w:r>
        <w:t xml:space="preserve">two-layer structure prevents the common conflation of goal with</w:t>
      </w:r>
      <w:r>
        <w:t xml:space="preserve"> </w:t>
      </w:r>
      <w:r>
        <w:t xml:space="preserve">mechanism in DAO-governance assessment (Section 4.5 documents this</w:t>
      </w:r>
      <w:r>
        <w:t xml:space="preserve"> </w:t>
      </w:r>
      <w:r>
        <w:t xml:space="preserve">conflation in existing assessment frameworks); other researchers can</w:t>
      </w:r>
      <w:r>
        <w:t xml:space="preserve"> </w:t>
      </w:r>
      <w:r>
        <w:t xml:space="preserve">adopt the two-layer scoring discipline without committing to this</w:t>
      </w:r>
      <w:r>
        <w:t xml:space="preserve"> </w:t>
      </w:r>
      <w:r>
        <w:t xml:space="preserve">paper’s specific operationalizations.</w:t>
      </w:r>
    </w:p>
    <w:p>
      <w:pPr>
        <w:pStyle w:val="BodyText"/>
      </w:pPr>
      <w:r>
        <w:rPr>
          <w:b/>
          <w:bCs/>
        </w:rPr>
        <w:t xml:space="preserve">Third, sector membership as the dominant predictor.</w:t>
      </w:r>
      <w:r>
        <w:t xml:space="preserve"> </w:t>
      </w:r>
      <w:r>
        <w:t xml:space="preserve">Sector</w:t>
      </w:r>
      <w:r>
        <w:t xml:space="preserve"> </w:t>
      </w:r>
      <w:r>
        <w:t xml:space="preserve">membership is the only protocol characteristic that predicts</w:t>
      </w:r>
      <w:r>
        <w:t xml:space="preserve"> </w:t>
      </w:r>
      <w:r>
        <w:t xml:space="preserve">concentration after adjusting for protocol age, log fully diluted</w:t>
      </w:r>
      <w:r>
        <w:t xml:space="preserve"> </w:t>
      </w:r>
      <w:r>
        <w:t xml:space="preserve">valuation, and insider allocation (Mann-Whitney p = 0.016, Cohen’s</w:t>
      </w:r>
      <w:r>
        <w:t xml:space="preserve"> </w:t>
      </w:r>
      <w:r>
        <w:t xml:space="preserve">d = 1.10; Table 6: sector coefficient p &lt; 0.05 in Models 1 and 2,</w:t>
      </w:r>
      <w:r>
        <w:t xml:space="preserve"> </w:t>
      </w:r>
      <w:r>
        <w:t xml:space="preserve">borderline at p = 0.050 in Model 3 with the full control set).</w:t>
      </w:r>
      <w:r>
        <w:t xml:space="preserve"> </w:t>
      </w:r>
      <w:r>
        <w:t xml:space="preserve">Initial allocation, maturity, subsidy structure, and token unlock</w:t>
      </w:r>
      <w:r>
        <w:t xml:space="preserve"> </w:t>
      </w:r>
      <w:r>
        <w:t xml:space="preserve">progress (three float specifications, all |r| &lt; 0.05) do not</w:t>
      </w:r>
      <w:r>
        <w:t xml:space="preserve"> </w:t>
      </w:r>
      <w:r>
        <w:t xml:space="preserve">predict concentration. The allocation null is the headline finding;</w:t>
      </w:r>
      <w:r>
        <w:t xml:space="preserve"> </w:t>
      </w:r>
      <w:r>
        <w:t xml:space="preserve">the sector contrast is the headline positive result.</w:t>
      </w:r>
    </w:p>
    <w:p>
      <w:pPr>
        <w:pStyle w:val="BodyText"/>
      </w:pPr>
      <w:r>
        <w:rPr>
          <w:b/>
          <w:bCs/>
        </w:rPr>
        <w:t xml:space="preserve">Fourth, near-universal delegation amplification</w:t>
      </w:r>
      <w:r>
        <w:t xml:space="preserve"> </w:t>
      </w:r>
      <w:r>
        <w:t xml:space="preserve">(Section 3.5).</w:t>
      </w:r>
      <w:r>
        <w:t xml:space="preserve"> </w:t>
      </w:r>
      <w:r>
        <w:t xml:space="preserve">Delegation concentrates voting power above the post-exclusion holding</w:t>
      </w:r>
      <w:r>
        <w:t xml:space="preserve"> </w:t>
      </w:r>
      <w:r>
        <w:t xml:space="preserve">baseline in nine of ten Table 7 protocols (range 1.4x to 6.0x; mean</w:t>
      </w:r>
      <w:r>
        <w:t xml:space="preserve"> </w:t>
      </w:r>
      <w:r>
        <w:t xml:space="preserve">3.8x), with one structural exception (ENS at 0.21x). The PCA-symmetric</w:t>
      </w:r>
      <w:r>
        <w:t xml:space="preserve"> </w:t>
      </w:r>
      <w:r>
        <w:t xml:space="preserve">robustness check (Section 3.7) confirms the finding holds across all</w:t>
      </w:r>
      <w:r>
        <w:t xml:space="preserve"> </w:t>
      </w:r>
      <w:r>
        <w:t xml:space="preserve">five Tally-sourced protocols even when foundation and aggregation-</w:t>
      </w:r>
      <w:r>
        <w:t xml:space="preserve"> </w:t>
      </w:r>
      <w:r>
        <w:t xml:space="preserve">contract delegates are excluded from voting HHI. The Theil and</w:t>
      </w:r>
      <w:r>
        <w:t xml:space="preserve"> </w:t>
      </w:r>
      <w:r>
        <w:t xml:space="preserve">Atkinson alternative inequality metrics (Section 3.7) confirm the</w:t>
      </w:r>
      <w:r>
        <w:t xml:space="preserve"> </w:t>
      </w:r>
      <w:r>
        <w:t xml:space="preserve">rank ordering across protocols is robust to choice of concentration</w:t>
      </w:r>
      <w:r>
        <w:t xml:space="preserve"> </w:t>
      </w:r>
      <w:r>
        <w:t xml:space="preserve">metric (HHI-Theil correlation r = 0.77 on the post-exclusion sample).</w:t>
      </w:r>
    </w:p>
    <w:p>
      <w:pPr>
        <w:pStyle w:val="BodyText"/>
      </w:pPr>
      <w:r>
        <w:rPr>
          <w:b/>
          <w:bCs/>
        </w:rPr>
        <w:t xml:space="preserve">Fifth, ENS as institutional-design proof-of-concept</w:t>
      </w:r>
      <w:r>
        <w:t xml:space="preserve"> </w:t>
      </w:r>
      <w:r>
        <w:t xml:space="preserve">(Section</w:t>
      </w:r>
      <w:r>
        <w:t xml:space="preserve"> </w:t>
      </w:r>
      <w:r>
        <w:t xml:space="preserve">3.5.1). ENS provides the first documented empirical case in the</w:t>
      </w:r>
      <w:r>
        <w:t xml:space="preserve"> </w:t>
      </w:r>
      <w:r>
        <w:t xml:space="preserve">major-DAO cross-section of delegation-mediated dispersion below the</w:t>
      </w:r>
      <w:r>
        <w:t xml:space="preserve"> </w:t>
      </w:r>
      <w:r>
        <w:t xml:space="preserve">holding baseline. The dispersion case is informative because it</w:t>
      </w:r>
      <w:r>
        <w:t xml:space="preserve"> </w:t>
      </w:r>
      <w:r>
        <w:t xml:space="preserve">operationalizes the framework’s institutional-design thesis: delegation</w:t>
      </w:r>
      <w:r>
        <w:t xml:space="preserve"> </w:t>
      </w:r>
      <w:r>
        <w:t xml:space="preserve">outcomes are design-tractable rather than mechanism-inevitable. The</w:t>
      </w:r>
      <w:r>
        <w:t xml:space="preserve"> </w:t>
      </w:r>
      <w:r>
        <w:t xml:space="preserve">generalizable design recommendation (broad community-delegate</w:t>
      </w:r>
      <w:r>
        <w:t xml:space="preserve"> </w:t>
      </w:r>
      <w:r>
        <w:t xml:space="preserve">distribution; recurring delegate compensation; public delegate</w:t>
      </w:r>
      <w:r>
        <w:t xml:space="preserve"> </w:t>
      </w:r>
      <w:r>
        <w:t xml:space="preserve">platforms; active recruitment) emerges from ENS as a comparative</w:t>
      </w:r>
      <w:r>
        <w:t xml:space="preserve"> </w:t>
      </w:r>
      <w:r>
        <w:t xml:space="preserve">protocol case for future delegate-program research.</w:t>
      </w:r>
    </w:p>
    <w:p>
      <w:pPr>
        <w:pStyle w:val="BodyText"/>
      </w:pPr>
      <w:r>
        <w:rPr>
          <w:b/>
          <w:bCs/>
        </w:rPr>
        <w:t xml:space="preserve">Sixth, ve-token extreme amplification class</w:t>
      </w:r>
      <w:r>
        <w:t xml:space="preserve"> </w:t>
      </w:r>
      <w:r>
        <w:t xml:space="preserve">(Section 3.5.2).</w:t>
      </w:r>
      <w:r>
        <w:t xml:space="preserve"> </w:t>
      </w:r>
      <w:r>
        <w:t xml:space="preserve">Vote-escrowed governance protocols (Curve veCRV; Balancer veBAL)</w:t>
      </w:r>
      <w:r>
        <w:t xml:space="preserve"> </w:t>
      </w:r>
      <w:r>
        <w:t xml:space="preserve">exhibit extreme amplification (15x and 21x) through structurally</w:t>
      </w:r>
      <w:r>
        <w:t xml:space="preserve"> </w:t>
      </w:r>
      <w:r>
        <w:t xml:space="preserve">distinct mechanisms than delegate-based governance: lock-duration</w:t>
      </w:r>
      <w:r>
        <w:t xml:space="preserve"> </w:t>
      </w:r>
      <w:r>
        <w:t xml:space="preserve">multipliers convert custody concentration into proportional voting</w:t>
      </w:r>
      <w:r>
        <w:t xml:space="preserve"> </w:t>
      </w:r>
      <w:r>
        <w:t xml:space="preserve">power, with meta-governance aggregators (Convex; Aura) further</w:t>
      </w:r>
      <w:r>
        <w:t xml:space="preserve"> </w:t>
      </w:r>
      <w:r>
        <w:t xml:space="preserve">concentrating. The class is documented separately from Table 7</w:t>
      </w:r>
      <w:r>
        <w:t xml:space="preserve"> </w:t>
      </w:r>
      <w:r>
        <w:t xml:space="preserve">because the underlying methodology differs; the documentation is</w:t>
      </w:r>
      <w:r>
        <w:t xml:space="preserve"> </w:t>
      </w:r>
      <w:r>
        <w:t xml:space="preserve">the first systematic comparative treatment of ve-token concentration</w:t>
      </w:r>
      <w:r>
        <w:t xml:space="preserve"> </w:t>
      </w:r>
      <w:r>
        <w:t xml:space="preserve">in the DAO-governance literature.</w:t>
      </w:r>
    </w:p>
    <w:p>
      <w:pPr>
        <w:pStyle w:val="BodyText"/>
      </w:pPr>
      <w:r>
        <w:t xml:space="preserve">Twin counterexamples that validate the institutional-design thesis.</w:t>
      </w:r>
      <w:r>
        <w:t xml:space="preserve"> </w:t>
      </w:r>
      <w:r>
        <w:t xml:space="preserve">Two existence-proofs in the cross-section operationalize the</w:t>
      </w:r>
      <w:r>
        <w:t xml:space="preserve"> </w:t>
      </w:r>
      <w:r>
        <w:t xml:space="preserve">framework’s institutional-design thesis empirically: Anyone Protocol</w:t>
      </w:r>
      <w:r>
        <w:t xml:space="preserve"> </w:t>
      </w:r>
      <w:r>
        <w:t xml:space="preserve">(DePIN; HHI 0.040, DeFi-median territory) demonstrates that low DePIN</w:t>
      </w:r>
      <w:r>
        <w:t xml:space="preserve"> </w:t>
      </w:r>
      <w:r>
        <w:t xml:space="preserve">concentration is achievable as a design choice rather than inevitable</w:t>
      </w:r>
      <w:r>
        <w:t xml:space="preserve"> </w:t>
      </w:r>
      <w:r>
        <w:t xml:space="preserve">in hardware-coordination protocols; ENS (Infrastructure; voting</w:t>
      </w:r>
      <w:r>
        <w:t xml:space="preserve"> </w:t>
      </w:r>
      <w:r>
        <w:t xml:space="preserve">HHI 0.028 vs holding HHI 0.135; delegation-mediated dispersion at</w:t>
      </w:r>
      <w:r>
        <w:t xml:space="preserve"> </w:t>
      </w:r>
      <w:r>
        <w:t xml:space="preserve">ratio 0.21x per Section 3.5.1) demonstrates that delegation can</w:t>
      </w:r>
      <w:r>
        <w:t xml:space="preserve"> </w:t>
      </w:r>
      <w:r>
        <w:t xml:space="preserve">disperse voting power below the holding baseline when the delegate</w:t>
      </w:r>
      <w:r>
        <w:t xml:space="preserve"> </w:t>
      </w:r>
      <w:r>
        <w:t xml:space="preserve">program is explicitly designed for broad community-delegate</w:t>
      </w:r>
      <w:r>
        <w:t xml:space="preserve"> </w:t>
      </w:r>
      <w:r>
        <w:t xml:space="preserve">distribution. The twin counterexamples are informative jointly:</w:t>
      </w:r>
      <w:r>
        <w:t xml:space="preserve"> </w:t>
      </w:r>
      <w:r>
        <w:t xml:space="preserve">they show that the framework’s institutional-design emphasis has</w:t>
      </w:r>
      <w:r>
        <w:t xml:space="preserve"> </w:t>
      </w:r>
      <w:r>
        <w:t xml:space="preserve">empirical traction in two distinct mechanism domains (holding</w:t>
      </w:r>
      <w:r>
        <w:t xml:space="preserve"> </w:t>
      </w:r>
      <w:r>
        <w:t xml:space="preserve">concentration; delegation amplification) and that the cross-protocol</w:t>
      </w:r>
      <w:r>
        <w:t xml:space="preserve"> </w:t>
      </w:r>
      <w:r>
        <w:t xml:space="preserve">variation documented in this paper is design-tractable rather than</w:t>
      </w:r>
      <w:r>
        <w:t xml:space="preserve"> </w:t>
      </w:r>
      <w:r>
        <w:t xml:space="preserve">structurally inevitable. The generalizable design implications are</w:t>
      </w:r>
      <w:r>
        <w:t xml:space="preserve"> </w:t>
      </w:r>
      <w:r>
        <w:t xml:space="preserve">documented in Sections 3.5.1 and 3.3 respectively.</w:t>
      </w:r>
    </w:p>
    <w:bookmarkEnd w:id="115"/>
    <w:bookmarkStart w:id="116" w:name="limitations-1"/>
    <w:p>
      <w:pPr>
        <w:pStyle w:val="Heading2"/>
      </w:pPr>
      <w:r>
        <w:t xml:space="preserve">4.8 Limitations</w:t>
      </w:r>
    </w:p>
    <w:p>
      <w:pPr>
        <w:pStyle w:val="FirstParagraph"/>
      </w:pPr>
      <w:r>
        <w:t xml:space="preserve">The evidence carries several limitations. The governance concentration</w:t>
      </w:r>
      <w:r>
        <w:t xml:space="preserve"> </w:t>
      </w:r>
      <w:r>
        <w:t xml:space="preserve">analysis is a March 2026 snapshot: tracking concentration over time</w:t>
      </w:r>
      <w:r>
        <w:t xml:space="preserve"> </w:t>
      </w:r>
      <w:r>
        <w:t xml:space="preserve">would reveal whether protocols are becoming more or less concentrated</w:t>
      </w:r>
      <w:r>
        <w:t xml:space="preserve"> </w:t>
      </w:r>
      <w:r>
        <w:t xml:space="preserve">and strengthen causal claims. A single scorer has applied the scoring</w:t>
      </w:r>
      <w:r>
        <w:t xml:space="preserve"> </w:t>
      </w:r>
      <w:r>
        <w:t xml:space="preserve">rubric; inter-rater reliability testing with independent scorers is</w:t>
      </w:r>
      <w:r>
        <w:t xml:space="preserve"> </w:t>
      </w:r>
      <w:r>
        <w:t xml:space="preserve">needed before the rubric can claim measurement validity beyond its</w:t>
      </w:r>
      <w:r>
        <w:t xml:space="preserve"> </w:t>
      </w:r>
      <w:r>
        <w:t xml:space="preserve">current proof-of-concept status.</w:t>
      </w:r>
    </w:p>
    <w:p>
      <w:pPr>
        <w:pStyle w:val="BodyText"/>
      </w:pPr>
      <w:r>
        <w:t xml:space="preserve">The five-lens framework Table 1 operationalizes captures a deliberate</w:t>
      </w:r>
      <w:r>
        <w:t xml:space="preserve"> </w:t>
      </w:r>
      <w:r>
        <w:t xml:space="preserve">subset of normative-philosophical traditions relevant to institutional</w:t>
      </w:r>
      <w:r>
        <w:t xml:space="preserve"> </w:t>
      </w:r>
      <w:r>
        <w:t xml:space="preserve">design. Three dimensions discussed in the literature review but</w:t>
      </w:r>
      <w:r>
        <w:t xml:space="preserve"> </w:t>
      </w:r>
      <w:r>
        <w:t xml:space="preserve">reserved for future evaluation (Section 2.10.6) are absent from the</w:t>
      </w:r>
      <w:r>
        <w:t xml:space="preserve"> </w:t>
      </w:r>
      <w:r>
        <w:t xml:space="preserve">operational scoring: the capability approach (Sen 1985, 1999;</w:t>
      </w:r>
      <w:r>
        <w:t xml:space="preserve"> </w:t>
      </w:r>
      <w:r>
        <w:t xml:space="preserve">Nussbaum 2011) on substantive opportunities for individuals; the</w:t>
      </w:r>
      <w:r>
        <w:t xml:space="preserve"> </w:t>
      </w:r>
      <w:r>
        <w:t xml:space="preserve">contextual-integrity framing (Nissenbaum 2010) on information-flow</w:t>
      </w:r>
      <w:r>
        <w:t xml:space="preserve"> </w:t>
      </w:r>
      <w:r>
        <w:t xml:space="preserve">norms governing privacy and consent; and cosmopolitan justice</w:t>
      </w:r>
      <w:r>
        <w:t xml:space="preserve"> </w:t>
      </w:r>
      <w:r>
        <w:t xml:space="preserve">frameworks (Beitz 1979; Pogge 2002) on transnational obligations. The</w:t>
      </w:r>
      <w:r>
        <w:t xml:space="preserve"> </w:t>
      </w:r>
      <w:r>
        <w:t xml:space="preserve">absences reflect non-comparable cross-protocol measurement</w:t>
      </w:r>
      <w:r>
        <w:t xml:space="preserve"> </w:t>
      </w:r>
      <w:r>
        <w:t xml:space="preserve">requirements at the present sample size, not theoretical rejection.</w:t>
      </w:r>
      <w:r>
        <w:t xml:space="preserve"> </w:t>
      </w:r>
      <w:r>
        <w:t xml:space="preserve">Berlin’s (1958) negative-versus-positive liberty distinction is also</w:t>
      </w:r>
      <w:r>
        <w:t xml:space="preserve"> </w:t>
      </w:r>
      <w:r>
        <w:t xml:space="preserve">absent from the operational rubric; the framework leans toward the</w:t>
      </w:r>
      <w:r>
        <w:t xml:space="preserve"> </w:t>
      </w:r>
      <w:r>
        <w:t xml:space="preserve">republican freedom-as-non-domination tradition that Pettit positions</w:t>
      </w:r>
      <w:r>
        <w:t xml:space="preserve"> </w:t>
      </w:r>
      <w:r>
        <w:t xml:space="preserve">as distinct from both Berlin categories. Future work expanding the</w:t>
      </w:r>
      <w:r>
        <w:t xml:space="preserve"> </w:t>
      </w:r>
      <w:r>
        <w:t xml:space="preserve">framework to incorporate capability-based, contextual-integrity, and</w:t>
      </w:r>
      <w:r>
        <w:t xml:space="preserve"> </w:t>
      </w:r>
      <w:r>
        <w:t xml:space="preserve">cosmopolitan dimensions would yield a fuller philosophical coverage</w:t>
      </w:r>
      <w:r>
        <w:t xml:space="preserve"> </w:t>
      </w:r>
      <w:r>
        <w:t xml:space="preserve">without changing the descriptive findings reported in Section 3.</w:t>
      </w:r>
    </w:p>
    <w:p>
      <w:pPr>
        <w:pStyle w:val="BodyText"/>
      </w:pPr>
      <w:r>
        <w:t xml:space="preserve">Operationalization dependency. The framework’s empirical conclusions</w:t>
      </w:r>
      <w:r>
        <w:t xml:space="preserve"> </w:t>
      </w:r>
      <w:r>
        <w:t xml:space="preserve">depend on operationalization choices that future work could legitimately</w:t>
      </w:r>
      <w:r>
        <w:t xml:space="preserve"> </w:t>
      </w:r>
      <w:r>
        <w:t xml:space="preserve">vary. The Pettit contestability lens scores</w:t>
      </w:r>
      <w:r>
        <w:t xml:space="preserve"> </w:t>
      </w:r>
      <w:r>
        <w:t xml:space="preserve">“appeals + veto rights”</w:t>
      </w:r>
      <w:r>
        <w:t xml:space="preserve"> </w:t>
      </w:r>
      <w:r>
        <w:t xml:space="preserve">at</w:t>
      </w:r>
      <w:r>
        <w:t xml:space="preserve"> </w:t>
      </w:r>
      <w:r>
        <w:t xml:space="preserve">the highest tier; an alternative operationalization scoring</w:t>
      </w:r>
      <w:r>
        <w:t xml:space="preserve"> </w:t>
      </w:r>
      <w:r>
        <w:t xml:space="preserve">“publicly</w:t>
      </w:r>
      <w:r>
        <w:t xml:space="preserve"> </w:t>
      </w:r>
      <w:r>
        <w:t xml:space="preserve">deliberated proposal rationale + bounded enforcement discretion”</w:t>
      </w:r>
      <w:r>
        <w:t xml:space="preserve"> </w:t>
      </w:r>
      <w:r>
        <w:t xml:space="preserve">(closer to Pettit’s contestatory-democracy framing in</w:t>
      </w:r>
      <w:r>
        <w:t xml:space="preserve"> </w:t>
      </w:r>
      <w:r>
        <w:rPr>
          <w:i/>
          <w:iCs/>
        </w:rPr>
        <w:t xml:space="preserve">On the People’s</w:t>
      </w:r>
      <w:r>
        <w:rPr>
          <w:i/>
          <w:iCs/>
        </w:rPr>
        <w:t xml:space="preserve"> </w:t>
      </w:r>
      <w:r>
        <w:rPr>
          <w:i/>
          <w:iCs/>
        </w:rPr>
        <w:t xml:space="preserve">Terms</w:t>
      </w:r>
      <w:r>
        <w:t xml:space="preserve">, Pettit 2012) could yield different lens scores for protocols</w:t>
      </w:r>
      <w:r>
        <w:t xml:space="preserve"> </w:t>
      </w:r>
      <w:r>
        <w:t xml:space="preserve">with strong proposal-process norms but weak formal-veto architecture.</w:t>
      </w:r>
      <w:r>
        <w:t xml:space="preserve"> </w:t>
      </w:r>
      <w:r>
        <w:t xml:space="preserve">Similarly, the Rawlsian Fairness lens scores floor-raising mechanisms;</w:t>
      </w:r>
      <w:r>
        <w:t xml:space="preserve"> </w:t>
      </w:r>
      <w:r>
        <w:t xml:space="preserve">an alternative emphasizing procedural participation (closer to Rawls’s</w:t>
      </w:r>
      <w:r>
        <w:t xml:space="preserve"> </w:t>
      </w:r>
      <w:r>
        <w:t xml:space="preserve">Liberal Principle of Legitimacy, Rawls 1993) could shift lens scores</w:t>
      </w:r>
      <w:r>
        <w:t xml:space="preserve"> </w:t>
      </w:r>
      <w:r>
        <w:t xml:space="preserve">for protocols with broad-airdrop distribution but weak post-distribution</w:t>
      </w:r>
      <w:r>
        <w:t xml:space="preserve"> </w:t>
      </w:r>
      <w:r>
        <w:t xml:space="preserve">participation infrastructure. The Synergy Index aggregation choice</w:t>
      </w:r>
      <w:r>
        <w:t xml:space="preserve"> </w:t>
      </w:r>
      <w:r>
        <w:t xml:space="preserve">(arithmetic mean) gives equal weight across lenses; alternative</w:t>
      </w:r>
      <w:r>
        <w:t xml:space="preserve"> </w:t>
      </w:r>
      <w:r>
        <w:t xml:space="preserve">weakest-link aggregation (geometric mean) would emphasize the</w:t>
      </w:r>
      <w:r>
        <w:t xml:space="preserve"> </w:t>
      </w:r>
      <w:r>
        <w:t xml:space="preserve">weakest-scoring dimension. These methodological choices are documented</w:t>
      </w:r>
      <w:r>
        <w:t xml:space="preserve"> </w:t>
      </w:r>
      <w:r>
        <w:t xml:space="preserve">explicitly so that subsequent applications of the framework can apply</w:t>
      </w:r>
      <w:r>
        <w:t xml:space="preserve"> </w:t>
      </w:r>
      <w:r>
        <w:t xml:space="preserve">their own operationalization without ambiguity about what the</w:t>
      </w:r>
      <w:r>
        <w:t xml:space="preserve"> </w:t>
      </w:r>
      <w:r>
        <w:t xml:space="preserve">present-paper scoring measured. The cross-protocol rank ordering on</w:t>
      </w:r>
      <w:r>
        <w:t xml:space="preserve"> </w:t>
      </w:r>
      <w:r>
        <w:t xml:space="preserve">the dominant concentration metric (HHI) is robust to choice of</w:t>
      </w:r>
      <w:r>
        <w:t xml:space="preserve"> </w:t>
      </w:r>
      <w:r>
        <w:t xml:space="preserve">concentration metric (Theil and Atkinson correlations in Section 3.7);</w:t>
      </w:r>
      <w:r>
        <w:t xml:space="preserve"> </w:t>
      </w:r>
      <w:r>
        <w:t xml:space="preserve">the framework’s lens-level rank ordering may be more sensitive to</w:t>
      </w:r>
      <w:r>
        <w:t xml:space="preserve"> </w:t>
      </w:r>
      <w:r>
        <w:t xml:space="preserve">operationalization choices, an open empirical question for inter-rater</w:t>
      </w:r>
      <w:r>
        <w:t xml:space="preserve"> </w:t>
      </w:r>
      <w:r>
        <w:t xml:space="preserve">reliability and operationalization-robustness analysis (future work). The sample of 40 protocols (37 in Table</w:t>
      </w:r>
      <w:r>
        <w:t xml:space="preserve"> </w:t>
      </w:r>
      <w:r>
        <w:t xml:space="preserve">4 plus three protocols with partial distributional data described in</w:t>
      </w:r>
      <w:r>
        <w:t xml:space="preserve"> </w:t>
      </w:r>
      <w:r>
        <w:t xml:space="preserve">Section 3.2) is sufficient for descriptive cross-sectional comparison</w:t>
      </w:r>
      <w:r>
        <w:t xml:space="preserve"> </w:t>
      </w:r>
      <w:r>
        <w:t xml:space="preserve">but too small for robust multivariate regression analysis with multiple</w:t>
      </w:r>
      <w:r>
        <w:t xml:space="preserve"> </w:t>
      </w:r>
      <w:r>
        <w:t xml:space="preserve">covariates; reaching the 50 to 60 protocol threshold specified in the</w:t>
      </w:r>
      <w:r>
        <w:t xml:space="preserve"> </w:t>
      </w:r>
      <w:r>
        <w:t xml:space="preserve">pipeline design (</w:t>
      </w:r>
      <w:hyperlink r:id="rId75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S5</w:t>
        </w:r>
      </w:hyperlink>
      <w:r>
        <w:t xml:space="preserve">)</w:t>
      </w:r>
      <w:r>
        <w:t xml:space="preserve"> </w:t>
      </w:r>
      <w:r>
        <w:t xml:space="preserve">would enable the regression, panel, and event-study analyses currently</w:t>
      </w:r>
      <w:r>
        <w:t xml:space="preserve"> </w:t>
      </w:r>
      <w:r>
        <w:t xml:space="preserve">specified as replication-ready designs. The sample includes only active</w:t>
      </w:r>
      <w:r>
        <w:t xml:space="preserve"> </w:t>
      </w:r>
      <w:r>
        <w:t xml:space="preserve">protocols, introducing potential survivorship bias (see Section 2.10.3</w:t>
      </w:r>
      <w:r>
        <w:t xml:space="preserve"> </w:t>
      </w:r>
      <w:r>
        <w:t xml:space="preserve">for planned inclusion of stagnated projects). We have not validated the</w:t>
      </w:r>
      <w:r>
        <w:t xml:space="preserve"> </w:t>
      </w:r>
      <w:r>
        <w:t xml:space="preserve">Synergy Index against outcome measures; Partial validation through case</w:t>
      </w:r>
      <w:r>
        <w:t xml:space="preserve"> </w:t>
      </w:r>
      <w:r>
        <w:t xml:space="preserve">evidence is reported separately, but a full validation study is future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Insider classification and tautology. The insider-concentration</w:t>
      </w:r>
      <w:r>
        <w:t xml:space="preserve"> </w:t>
      </w:r>
      <w:r>
        <w:t xml:space="preserve">correlation has a mechanical component, addressed through a non-insider</w:t>
      </w:r>
      <w:r>
        <w:t xml:space="preserve"> </w:t>
      </w:r>
      <w:r>
        <w:t xml:space="preserve">HHI decomposition (Section 3.4). The count-based measure survives; the</w:t>
      </w:r>
      <w:r>
        <w:t xml:space="preserve"> </w:t>
      </w:r>
      <w:r>
        <w:t xml:space="preserve">balance-based measure does not. The classification methodology depends</w:t>
      </w:r>
      <w:r>
        <w:t xml:space="preserve"> </w:t>
      </w:r>
      <w:r>
        <w:t xml:space="preserve">on Blockscout contract labels, which have lower coverage for</w:t>
      </w:r>
      <w:r>
        <w:t xml:space="preserve"> </w:t>
      </w:r>
      <w:r>
        <w:t xml:space="preserve">Solana-native protocols; io.net’s top-10 holders are all unclassified.</w:t>
      </w:r>
    </w:p>
    <w:p>
      <w:pPr>
        <w:pStyle w:val="BodyText"/>
      </w:pPr>
      <w:r>
        <w:t xml:space="preserve">The cross-sector subsidy analysis includes one extreme observation</w:t>
      </w:r>
      <w:r>
        <w:t xml:space="preserve"> </w:t>
      </w:r>
      <w:r>
        <w:t xml:space="preserve">(Livepeer, subsidy ratio 88.5x) that exerts disproportionate leverage on</w:t>
      </w:r>
      <w:r>
        <w:t xml:space="preserve"> </w:t>
      </w:r>
      <w:r>
        <w:t xml:space="preserve">the Pearson correlation. While this extreme subsidy reflects genuine</w:t>
      </w:r>
      <w:r>
        <w:t xml:space="preserve"> </w:t>
      </w:r>
      <w:r>
        <w:t xml:space="preserve">tokenomics rather than measurement error, the nominal Pearson</w:t>
      </w:r>
      <w:r>
        <w:t xml:space="preserve"> </w:t>
      </w:r>
      <w:r>
        <w:t xml:space="preserve">significance (p = 0.011) is driven entirely by this single data point;</w:t>
      </w:r>
      <w:r>
        <w:t xml:space="preserve"> </w:t>
      </w:r>
      <w:r>
        <w:t xml:space="preserve">the Spearman rank correlation shows no relationship (p = 0.60).</w:t>
      </w:r>
    </w:p>
    <w:p>
      <w:pPr>
        <w:pStyle w:val="BodyText"/>
      </w:pPr>
      <w:r>
        <w:t xml:space="preserve">The holding-based HHI captures token distribution but not the threshold</w:t>
      </w:r>
      <w:r>
        <w:t xml:space="preserve"> </w:t>
      </w:r>
      <w:r>
        <w:t xml:space="preserve">mechanics of weighted voting: a holder whose share approaches the</w:t>
      </w:r>
      <w:r>
        <w:t xml:space="preserve"> </w:t>
      </w:r>
      <w:r>
        <w:t xml:space="preserve">passage quota commands pivotal power disproportionate to their nominal</w:t>
      </w:r>
      <w:r>
        <w:t xml:space="preserve"> </w:t>
      </w:r>
      <w:r>
        <w:t xml:space="preserve">share (Motepalli et al., 2025). The HHI is a concentration measure;</w:t>
      </w:r>
      <w:r>
        <w:t xml:space="preserve"> </w:t>
      </w:r>
      <w:r>
        <w:t xml:space="preserve">power indices measure pivotal-voter influence. The Shapley-Shubik power</w:t>
      </w:r>
      <w:r>
        <w:t xml:space="preserve"> </w:t>
      </w:r>
      <w:r>
        <w:t xml:space="preserve">index (Shapley &amp; Shubik, 1954) and the Banzhaf index (Banzhaf, 1968)</w:t>
      </w:r>
      <w:r>
        <w:t xml:space="preserve"> </w:t>
      </w:r>
      <w:r>
        <w:t xml:space="preserve">are the canonical voting-theory complements to HHI: under</w:t>
      </w:r>
      <w:r>
        <w:t xml:space="preserve"> </w:t>
      </w:r>
      <w:r>
        <w:t xml:space="preserve">threshold-voting mechanisms, a holder’s pivotal probability can diverge</w:t>
      </w:r>
      <w:r>
        <w:t xml:space="preserve"> </w:t>
      </w:r>
      <w:r>
        <w:t xml:space="preserve">substantially from their nominal token share, particularly near passage</w:t>
      </w:r>
      <w:r>
        <w:t xml:space="preserve"> </w:t>
      </w:r>
      <w:r>
        <w:t xml:space="preserve">quota. We use HHI as the program-canonical concentration measure</w:t>
      </w:r>
      <w:r>
        <w:t xml:space="preserve"> </w:t>
      </w:r>
      <w:r>
        <w:t xml:space="preserve">because it is comparable across protocols regardless of</w:t>
      </w:r>
      <w:r>
        <w:t xml:space="preserve"> </w:t>
      </w:r>
      <w:r>
        <w:t xml:space="preserve">proposal-specific quota rules and is the standard in the</w:t>
      </w:r>
      <w:r>
        <w:t xml:space="preserve"> </w:t>
      </w:r>
      <w:r>
        <w:t xml:space="preserve">delegation-HHI literature this paper extends (Fritsch et al., 2024);</w:t>
      </w:r>
      <w:r>
        <w:t xml:space="preserve"> </w:t>
      </w:r>
      <w:r>
        <w:t xml:space="preserve">the Shapley-Shubik and Banzhaf power indices would refine the</w:t>
      </w:r>
      <w:r>
        <w:t xml:space="preserve"> </w:t>
      </w:r>
      <w:r>
        <w:t xml:space="preserve">cross-protocol comparison for individual proposals where</w:t>
      </w:r>
      <w:r>
        <w:t xml:space="preserve"> </w:t>
      </w:r>
      <w:r>
        <w:t xml:space="preserve">threshold-specific power matters, without changing the rank-ordering</w:t>
      </w:r>
      <w:r>
        <w:t xml:space="preserve"> </w:t>
      </w:r>
      <w:r>
        <w:t xml:space="preserve">of cross-sectional concentration that Section 3 documents. HHI is</w:t>
      </w:r>
      <w:r>
        <w:t xml:space="preserve"> </w:t>
      </w:r>
      <w:r>
        <w:t xml:space="preserve">additionally subject to value-validity limitations when distributions</w:t>
      </w:r>
      <w:r>
        <w:t xml:space="preserve"> </w:t>
      </w:r>
      <w:r>
        <w:t xml:space="preserve">are highly asymmetric (Kvålsøth, 2022a); the Gini coefficients reported</w:t>
      </w:r>
      <w:r>
        <w:t xml:space="preserve"> </w:t>
      </w:r>
      <w:r>
        <w:t xml:space="preserve">alongside HHI (Table 4) partially address this concern, and the moderate</w:t>
      </w:r>
      <w:r>
        <w:t xml:space="preserve"> </w:t>
      </w:r>
      <w:r>
        <w:t xml:space="preserve">correlation between the two metrics (r = 0.51) indicates they capture</w:t>
      </w:r>
      <w:r>
        <w:t xml:space="preserve"> </w:t>
      </w:r>
      <w:r>
        <w:t xml:space="preserve">distinct concentration dimensions. A companion methodological critique</w:t>
      </w:r>
      <w:r>
        <w:t xml:space="preserve"> </w:t>
      </w:r>
      <w:r>
        <w:t xml:space="preserve">of HHI’s structural properties reinforces the need for multi-metric</w:t>
      </w:r>
      <w:r>
        <w:t xml:space="preserve"> </w:t>
      </w:r>
      <w:r>
        <w:t xml:space="preserve">assessment in highly skewed governance distributions (Kvålsøth, 2022b).</w:t>
      </w:r>
      <w:r>
        <w:t xml:space="preserve"> </w:t>
      </w:r>
      <w:r>
        <w:t xml:space="preserve">The allocation design null (Section 3.4) is robust to these</w:t>
      </w:r>
      <w:r>
        <w:t xml:space="preserve"> </w:t>
      </w:r>
      <w:r>
        <w:t xml:space="preserve">methodological concerns because it tests whether initial allocation</w:t>
      </w:r>
      <w:r>
        <w:t xml:space="preserve"> </w:t>
      </w:r>
      <w:r>
        <w:t xml:space="preserve">predicts post-distribution concentration, a relationship that holds</w:t>
      </w:r>
      <w:r>
        <w:t xml:space="preserve"> </w:t>
      </w:r>
      <w:r>
        <w:t xml:space="preserve">under any monotonic concentration metric. Separately, ethnographic evidence</w:t>
      </w:r>
      <w:r>
        <w:t xml:space="preserve"> </w:t>
      </w:r>
      <w:r>
        <w:t xml:space="preserve">documents voter turnout below 10% in major DAOs (Calzada, 2025),</w:t>
      </w:r>
      <w:r>
        <w:t xml:space="preserve"> </w:t>
      </w:r>
      <w:r>
        <w:t xml:space="preserve">suggesting that effective governance concentration may exceed</w:t>
      </w:r>
      <w:r>
        <w:t xml:space="preserve"> </w:t>
      </w:r>
      <w:r>
        <w:t xml:space="preserve">holding-based HHI when participation rates are low;</w:t>
      </w:r>
      <w:r>
        <w:t xml:space="preserve"> </w:t>
      </w:r>
      <w:r>
        <w:t xml:space="preserve">participation-adjusted concentration metrics represent a measurement</w:t>
      </w:r>
      <w:r>
        <w:t xml:space="preserve"> </w:t>
      </w:r>
      <w:r>
        <w:t xml:space="preserve">priority for future work.</w:t>
      </w:r>
    </w:p>
    <w:p>
      <w:pPr>
        <w:pStyle w:val="BodyText"/>
      </w:pPr>
      <w:r>
        <w:t xml:space="preserve">More broadly, the Synergy Index measures institutional design intent,</w:t>
      </w:r>
      <w:r>
        <w:t xml:space="preserve"> </w:t>
      </w:r>
      <w:r>
        <w:t xml:space="preserve">not participant welfare. Protocols instrument token flows (burns,</w:t>
      </w:r>
      <w:r>
        <w:t xml:space="preserve"> </w:t>
      </w:r>
      <w:r>
        <w:t xml:space="preserve">transfers, governance votes) but not service outcomes (coverage quality,</w:t>
      </w:r>
      <w:r>
        <w:t xml:space="preserve"> </w:t>
      </w:r>
      <w:r>
        <w:t xml:space="preserve">latency, operator return-on-investment), a structural property of</w:t>
      </w:r>
      <w:r>
        <w:t xml:space="preserve"> </w:t>
      </w:r>
      <w:r>
        <w:t xml:space="preserve">on-chain data architectures rather than a limitation specific to this</w:t>
      </w:r>
      <w:r>
        <w:t xml:space="preserve"> </w:t>
      </w:r>
      <w:r>
        <w:t xml:space="preserve">study. Baygi, Introna, and Ostovar (2024) develop flow-oriented social</w:t>
      </w:r>
      <w:r>
        <w:t xml:space="preserve"> </w:t>
      </w:r>
      <w:r>
        <w:t xml:space="preserve">justice tests for online labor platforms using Sen’s framework,</w:t>
      </w:r>
      <w:r>
        <w:t xml:space="preserve"> </w:t>
      </w:r>
      <w:r>
        <w:t xml:space="preserve">measuring whether platform participation expands or constrains worker</w:t>
      </w:r>
      <w:r>
        <w:t xml:space="preserve"> </w:t>
      </w:r>
      <w:r>
        <w:t xml:space="preserve">capabilities over time; DePIN operators face analogous</w:t>
      </w:r>
      <w:r>
        <w:t xml:space="preserve"> </w:t>
      </w:r>
      <w:r>
        <w:t xml:space="preserve">trajectory-dependent welfare dynamics as token prices, subsidy</w:t>
      </w:r>
      <w:r>
        <w:t xml:space="preserve"> </w:t>
      </w:r>
      <w:r>
        <w:t xml:space="preserve">schedules, and network demand shift, but no comparable measurement</w:t>
      </w:r>
      <w:r>
        <w:t xml:space="preserve"> </w:t>
      </w:r>
      <w:r>
        <w:t xml:space="preserve">infrastructure exists for tokenized infrastructure systems. Connecting</w:t>
      </w:r>
      <w:r>
        <w:t xml:space="preserve"> </w:t>
      </w:r>
      <w:r>
        <w:t xml:space="preserve">institutional design quality to participant-level welfare requires</w:t>
      </w:r>
      <w:r>
        <w:t xml:space="preserve"> </w:t>
      </w:r>
      <w:r>
        <w:t xml:space="preserve">instrumentation that does not yet exist in the DePIN ecosystem; this</w:t>
      </w:r>
      <w:r>
        <w:t xml:space="preserve"> </w:t>
      </w:r>
      <w:r>
        <w:t xml:space="preserve">welfare measurement gap represents the most consequential evidence</w:t>
      </w:r>
      <w:r>
        <w:t xml:space="preserve"> </w:t>
      </w:r>
      <w:r>
        <w:t xml:space="preserve">frontier for future work.</w:t>
      </w:r>
    </w:p>
    <w:bookmarkEnd w:id="116"/>
    <w:bookmarkStart w:id="118" w:name="future-research"/>
    <w:p>
      <w:pPr>
        <w:pStyle w:val="Heading2"/>
      </w:pPr>
      <w:r>
        <w:t xml:space="preserve">4.9 Future Research</w:t>
      </w:r>
    </w:p>
    <w:p>
      <w:pPr>
        <w:pStyle w:val="FirstParagraph"/>
      </w:pPr>
      <w:r>
        <w:t xml:space="preserve">Four research directions have highest priority. First, longitudinal</w:t>
      </w:r>
      <w:r>
        <w:t xml:space="preserve"> </w:t>
      </w:r>
      <w:r>
        <w:t xml:space="preserve">governance tracking: monthly snapshots of HHI and Gini across the full</w:t>
      </w:r>
      <w:r>
        <w:t xml:space="preserve"> </w:t>
      </w:r>
      <w:r>
        <w:t xml:space="preserve">sample would convert the current cross-section into a panel dataset,</w:t>
      </w:r>
      <w:r>
        <w:t xml:space="preserve"> </w:t>
      </w:r>
      <w:r>
        <w:t xml:space="preserve">enabling analysis of deconcentration trajectories and the governance</w:t>
      </w:r>
      <w:r>
        <w:t xml:space="preserve"> </w:t>
      </w:r>
      <w:r>
        <w:t xml:space="preserve">effects of specific reform events (e.g., delegation program launches,</w:t>
      </w:r>
      <w:r>
        <w:t xml:space="preserve"> </w:t>
      </w:r>
      <w:r>
        <w:t xml:space="preserve">vesting cliff expirations). A companion panel analysis of quarterly HHI</w:t>
      </w:r>
      <w:r>
        <w:t xml:space="preserve"> </w:t>
      </w:r>
      <w:r>
        <w:t xml:space="preserve">trajectories for 14 governance tokens (</w:t>
      </w:r>
      <w:hyperlink r:id="rId117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S7</w:t>
        </w:r>
      </w:hyperlink>
      <w:r>
        <w:t xml:space="preserve">)</w:t>
      </w:r>
      <w:r>
        <w:t xml:space="preserve"> </w:t>
      </w:r>
      <w:r>
        <w:t xml:space="preserve">documents that 11 of 14 protocols exhibit monotonic governance HHI decay</w:t>
      </w:r>
      <w:r>
        <w:t xml:space="preserve"> </w:t>
      </w:r>
      <w:r>
        <w:t xml:space="preserve">over 24 months post-token-generation event, with vote-escrow (CRV),</w:t>
      </w:r>
      <w:r>
        <w:t xml:space="preserve"> </w:t>
      </w:r>
      <w:r>
        <w:t xml:space="preserve">reservoir-drip (COMP), and claim-window (ENS) designs as exceptions;</w:t>
      </w:r>
      <w:r>
        <w:t xml:space="preserve"> </w:t>
      </w:r>
      <w:r>
        <w:t xml:space="preserve">this longitudinal pattern is consistent with the cross-sectional</w:t>
      </w:r>
      <w:r>
        <w:t xml:space="preserve"> </w:t>
      </w:r>
      <w:r>
        <w:t xml:space="preserve">allocation null reported in Section 3.4.</w:t>
      </w:r>
    </w:p>
    <w:p>
      <w:pPr>
        <w:pStyle w:val="BodyText"/>
      </w:pPr>
      <w:r>
        <w:t xml:space="preserve">Second, sample expansion: the current cross-section of 40 protocols</w:t>
      </w:r>
      <w:r>
        <w:t xml:space="preserve"> </w:t>
      </w:r>
      <w:r>
        <w:t xml:space="preserve">supports descriptive analysis; expanding the sample to 50 to 60</w:t>
      </w:r>
      <w:r>
        <w:t xml:space="preserve"> </w:t>
      </w:r>
      <w:r>
        <w:t xml:space="preserve">protocols would enable the regression, panel, and event-study analyses</w:t>
      </w:r>
      <w:r>
        <w:t xml:space="preserve"> </w:t>
      </w:r>
      <w:r>
        <w:t xml:space="preserve">currently specified as replication-ready designs.</w:t>
      </w:r>
    </w:p>
    <w:p>
      <w:pPr>
        <w:pStyle w:val="BodyText"/>
      </w:pPr>
      <w:r>
        <w:t xml:space="preserve">Third, inter-rater reliability: recruiting independent scorers to apply</w:t>
      </w:r>
      <w:r>
        <w:t xml:space="preserve"> </w:t>
      </w:r>
      <w:r>
        <w:t xml:space="preserve">the rubric to overlapping protocol subsets would test whether the</w:t>
      </w:r>
      <w:r>
        <w:t xml:space="preserve"> </w:t>
      </w:r>
      <w:r>
        <w:t xml:space="preserve">philosophical lens scores are reproducible and would strengthen the</w:t>
      </w:r>
      <w:r>
        <w:t xml:space="preserve"> </w:t>
      </w:r>
      <w:r>
        <w:t xml:space="preserve">measurement claim.</w:t>
      </w:r>
    </w:p>
    <w:p>
      <w:pPr>
        <w:pStyle w:val="BodyText"/>
      </w:pPr>
      <w:r>
        <w:t xml:space="preserve">Fourth, extending concentration measurement from holding-based HHI to</w:t>
      </w:r>
      <w:r>
        <w:t xml:space="preserve"> </w:t>
      </w:r>
      <w:r>
        <w:t xml:space="preserve">coalition-based power indices (Shapley &amp; Shubik, 1954; Banzhaf, 1968)</w:t>
      </w:r>
      <w:r>
        <w:t xml:space="preserve"> </w:t>
      </w:r>
      <w:r>
        <w:t xml:space="preserve">would quantify whether token holders’ probability of being pivotal in</w:t>
      </w:r>
      <w:r>
        <w:t xml:space="preserve"> </w:t>
      </w:r>
      <w:r>
        <w:t xml:space="preserve">governance votes diverges from their nominal share. Quorum thresholds</w:t>
      </w:r>
      <w:r>
        <w:t xml:space="preserve"> </w:t>
      </w:r>
      <w:r>
        <w:t xml:space="preserve">create non-linear power</w:t>
      </w:r>
      <w:r>
        <w:t xml:space="preserve"> </w:t>
      </w:r>
      <w:r>
        <w:t xml:space="preserve">scaling: a holder’s pivotal probability can diverge substantially from</w:t>
      </w:r>
      <w:r>
        <w:t xml:space="preserve"> </w:t>
      </w:r>
      <w:r>
        <w:t xml:space="preserve">their nominal share when quorum thresholds bind near the median of the</w:t>
      </w:r>
      <w:r>
        <w:t xml:space="preserve"> </w:t>
      </w:r>
      <w:r>
        <w:t xml:space="preserve">holding distribution. The 8 protocols with Tally or Snapshot governance</w:t>
      </w:r>
      <w:r>
        <w:t xml:space="preserve"> </w:t>
      </w:r>
      <w:r>
        <w:t xml:space="preserve">data in the current sample provide a natural starting point, and the</w:t>
      </w:r>
      <w:r>
        <w:t xml:space="preserve"> </w:t>
      </w:r>
      <w:r>
        <w:t xml:space="preserve">delegation amplification ratios documented in Section 3.5 suggest the</w:t>
      </w:r>
      <w:r>
        <w:t xml:space="preserve"> </w:t>
      </w:r>
      <w:r>
        <w:t xml:space="preserve">divergence reflects institutional design choices that vary within sector</w:t>
      </w:r>
      <w:r>
        <w:t xml:space="preserve"> </w:t>
      </w:r>
      <w:r>
        <w:t xml:space="preserve">category, as the heterogeneous outcomes between Optimism and Arbitrum</w:t>
      </w:r>
      <w:r>
        <w:t xml:space="preserve"> </w:t>
      </w:r>
      <w:r>
        <w:t xml:space="preserve">demonstrate. Recent game-theoretic results demonstrate that</w:t>
      </w:r>
      <w:r>
        <w:t xml:space="preserve"> </w:t>
      </w:r>
      <w:r>
        <w:t xml:space="preserve">Shapley-based reward distributions achieve bounded Price of Stability</w:t>
      </w:r>
      <w:r>
        <w:t xml:space="preserve"> </w:t>
      </w:r>
      <w:r>
        <w:t xml:space="preserve">(4/3) in oceanic staking models while inherently resisting Sybil</w:t>
      </w:r>
      <w:r>
        <w:t xml:space="preserve"> </w:t>
      </w:r>
      <w:r>
        <w:t xml:space="preserve">stake-splitting attacks (Kiayias et al., 2025), indicating that this</w:t>
      </w:r>
      <w:r>
        <w:t xml:space="preserve"> </w:t>
      </w:r>
      <w:r>
        <w:t xml:space="preserve">measurement extension is both theoretically grounded and computationally</w:t>
      </w:r>
      <w:r>
        <w:t xml:space="preserve"> </w:t>
      </w:r>
      <w:r>
        <w:t xml:space="preserve">feasible for the sample sizes in the current dataset.</w:t>
      </w:r>
    </w:p>
    <w:p>
      <w:pPr>
        <w:pStyle w:val="BodyText"/>
      </w:pPr>
      <w:r>
        <w:t xml:space="preserve">Falsifiable forward claims. The cross-sectional design supports two</w:t>
      </w:r>
      <w:r>
        <w:t xml:space="preserve"> </w:t>
      </w:r>
      <w:r>
        <w:t xml:space="preserve">falsifiable predictions about subsequent cross-protocol governance</w:t>
      </w:r>
      <w:r>
        <w:t xml:space="preserve"> </w:t>
      </w:r>
      <w:r>
        <w:t xml:space="preserve">trajectories that future panel-data analysis can test. First, if</w:t>
      </w:r>
      <w:r>
        <w:t xml:space="preserve"> </w:t>
      </w:r>
      <w:r>
        <w:t xml:space="preserve">governance concentration continues to track sector membership (the</w:t>
      </w:r>
      <w:r>
        <w:t xml:space="preserve"> </w:t>
      </w:r>
      <w:r>
        <w:t xml:space="preserve">DePIN-DeFi differential documented in Section 3.3), we predict that</w:t>
      </w:r>
      <w:r>
        <w:t xml:space="preserve"> </w:t>
      </w:r>
      <w:r>
        <w:t xml:space="preserve">DePIN protocols entering the cross-section in 2026-2027 will, on</w:t>
      </w:r>
      <w:r>
        <w:t xml:space="preserve"> </w:t>
      </w:r>
      <w:r>
        <w:t xml:space="preserve">average, exhibit higher holding HHI than DeFi protocols entering in</w:t>
      </w:r>
      <w:r>
        <w:t xml:space="preserve"> </w:t>
      </w:r>
      <w:r>
        <w:t xml:space="preserve">the same period, conditional on launch year and insider allocation</w:t>
      </w:r>
      <w:r>
        <w:t xml:space="preserve"> </w:t>
      </w:r>
      <w:r>
        <w:t xml:space="preserve">similarity. Second, given the universal delegation amplification</w:t>
      </w:r>
      <w:r>
        <w:t xml:space="preserve"> </w:t>
      </w:r>
      <w:r>
        <w:t xml:space="preserve">documented in Section 3.5, we predict that any protocol introducing a</w:t>
      </w:r>
      <w:r>
        <w:t xml:space="preserve"> </w:t>
      </w:r>
      <w:r>
        <w:t xml:space="preserve">delegate-program after R2 submission (or expanding from informal to</w:t>
      </w:r>
      <w:r>
        <w:t xml:space="preserve"> </w:t>
      </w:r>
      <w:r>
        <w:t xml:space="preserve">formal delegation) will produce voting HHI greater than its holding</w:t>
      </w:r>
      <w:r>
        <w:t xml:space="preserve"> </w:t>
      </w:r>
      <w:r>
        <w:t xml:space="preserve">HHI within twelve months of the program launch, with magnitude varying</w:t>
      </w:r>
      <w:r>
        <w:t xml:space="preserve"> </w:t>
      </w:r>
      <w:r>
        <w:t xml:space="preserve">by delegate-program design rather than by sector. Both predictions</w:t>
      </w:r>
      <w:r>
        <w:t xml:space="preserve"> </w:t>
      </w:r>
      <w:r>
        <w:t xml:space="preserve">inherit the methodology applied in this paper (PCA-symmetric HHI</w:t>
      </w:r>
      <w:r>
        <w:t xml:space="preserve"> </w:t>
      </w:r>
      <w:r>
        <w:t xml:space="preserve">computation; March 2026 baseline methodology). Subsequent panel-data</w:t>
      </w:r>
      <w:r>
        <w:t xml:space="preserve"> </w:t>
      </w:r>
      <w:r>
        <w:t xml:space="preserve">and event-study work testing these predictions will be pre-registered</w:t>
      </w:r>
      <w:r>
        <w:t xml:space="preserve"> </w:t>
      </w:r>
      <w:r>
        <w:t xml:space="preserve">(OSF or equivalent) to commit hypothesis specifications prior to data</w:t>
      </w:r>
      <w:r>
        <w:t xml:space="preserve"> </w:t>
      </w:r>
      <w:r>
        <w:t xml:space="preserve">analysis, addressing the multiple-comparisons concerns inherent in</w:t>
      </w:r>
      <w:r>
        <w:t xml:space="preserve"> </w:t>
      </w:r>
      <w:r>
        <w:t xml:space="preserve">cross-sectional descriptive analysis.</w:t>
      </w:r>
    </w:p>
    <w:p>
      <w:pPr>
        <w:pStyle w:val="BodyText"/>
      </w:pPr>
      <w:r>
        <w:t xml:space="preserve">Reproducibility and data availability. The 40-protocol governance</w:t>
      </w:r>
      <w:r>
        <w:t xml:space="preserve"> </w:t>
      </w:r>
      <w:r>
        <w:t xml:space="preserve">concentration dataset, exclusions log (86 protocol-controlled address</w:t>
      </w:r>
      <w:r>
        <w:t xml:space="preserve"> </w:t>
      </w:r>
      <w:r>
        <w:t xml:space="preserve">exclusions across 38 protocols documented in exclusions_log.csv), the</w:t>
      </w:r>
      <w:r>
        <w:t xml:space="preserve"> </w:t>
      </w:r>
      <w:r>
        <w:t xml:space="preserve">canonical regression dataset including Token Terminal subsidy ratios</w:t>
      </w:r>
      <w:r>
        <w:t xml:space="preserve"> </w:t>
      </w:r>
      <w:r>
        <w:t xml:space="preserve">and on-chain financial data, the Hivemapper / io.net / Aethir holder</w:t>
      </w:r>
      <w:r>
        <w:t xml:space="preserve"> </w:t>
      </w:r>
      <w:r>
        <w:t xml:space="preserve">distributions used for the R2 Table 4 expansion, the veCRV cumulative</w:t>
      </w:r>
      <w:r>
        <w:t xml:space="preserve"> </w:t>
      </w:r>
      <w:r>
        <w:t xml:space="preserve">deposit data underlying the Section 4.1 ve-locking analysis, and the</w:t>
      </w:r>
      <w:r>
        <w:t xml:space="preserve"> </w:t>
      </w:r>
      <w:r>
        <w:t xml:space="preserve">Theil/Atkinson supplementary metrics used in the Section 3.7 robustness</w:t>
      </w:r>
      <w:r>
        <w:t xml:space="preserve"> </w:t>
      </w:r>
      <w:r>
        <w:t xml:space="preserve">check are all available in the replication repository linked in the</w:t>
      </w:r>
      <w:r>
        <w:t xml:space="preserve"> </w:t>
      </w:r>
      <w:r>
        <w:t xml:space="preserve">supplementary materials. Replication scripts for each table and figure</w:t>
      </w:r>
      <w:r>
        <w:t xml:space="preserve"> </w:t>
      </w:r>
      <w:r>
        <w:t xml:space="preserve">are provided in Supplementary File S5; the cross-protocol Pearson and</w:t>
      </w:r>
      <w:r>
        <w:t xml:space="preserve"> </w:t>
      </w:r>
      <w:r>
        <w:t xml:space="preserve">Spearman correlations reported across Sections 3.3, 3.4, and 3.7 can be</w:t>
      </w:r>
      <w:r>
        <w:t xml:space="preserve"> </w:t>
      </w:r>
      <w:r>
        <w:t xml:space="preserve">reproduced via the replication scripts using only the linked</w:t>
      </w:r>
      <w:r>
        <w:t xml:space="preserve"> </w:t>
      </w:r>
      <w:r>
        <w:t xml:space="preserve">public-source data. The exclusion methodology is documented at the</w:t>
      </w:r>
      <w:r>
        <w:t xml:space="preserve"> </w:t>
      </w:r>
      <w:r>
        <w:t xml:space="preserve">address-by-address granularity in Supplementary File S6.</w:t>
      </w:r>
    </w:p>
    <w:bookmarkEnd w:id="118"/>
    <w:bookmarkEnd w:id="119"/>
    <w:bookmarkStart w:id="121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t xml:space="preserve">The following supplementary files accompany this paper:</w:t>
      </w:r>
    </w:p>
    <w:p>
      <w:pPr>
        <w:pStyle w:val="BodyText"/>
      </w:pPr>
      <w:hyperlink r:id="rId69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S1</w:t>
        </w:r>
      </w:hyperlink>
      <w:r>
        <w:t xml:space="preserve">:</w:t>
      </w:r>
      <w:r>
        <w:t xml:space="preserve"> </w:t>
      </w:r>
      <w:r>
        <w:t xml:space="preserve">Extended metric definitions, including the Synergy Index construction</w:t>
      </w:r>
      <w:r>
        <w:t xml:space="preserve"> </w:t>
      </w:r>
      <w:r>
        <w:t xml:space="preserve">and inter-rater reliability specification for multi-coder deployment of</w:t>
      </w:r>
      <w:r>
        <w:t xml:space="preserve"> </w:t>
      </w:r>
      <w:r>
        <w:t xml:space="preserve">the scoring rubric.</w:t>
      </w:r>
    </w:p>
    <w:p>
      <w:pPr>
        <w:pStyle w:val="BodyText"/>
      </w:pPr>
      <w:hyperlink r:id="rId71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S2</w:t>
        </w:r>
      </w:hyperlink>
      <w:r>
        <w:t xml:space="preserve">:</w:t>
      </w:r>
      <w:r>
        <w:t xml:space="preserve"> </w:t>
      </w:r>
      <w:r>
        <w:t xml:space="preserve">Research instrument templates, including the protocol codebook schema</w:t>
      </w:r>
      <w:r>
        <w:t xml:space="preserve"> </w:t>
      </w:r>
      <w:r>
        <w:t xml:space="preserve">and scoring sheet template with worked examples.</w:t>
      </w:r>
    </w:p>
    <w:p>
      <w:pPr>
        <w:pStyle w:val="BodyText"/>
      </w:pPr>
      <w:hyperlink r:id="rId72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S3</w:t>
        </w:r>
      </w:hyperlink>
      <w:r>
        <w:t xml:space="preserve">:</w:t>
      </w:r>
      <w:r>
        <w:t xml:space="preserve"> </w:t>
      </w:r>
      <w:r>
        <w:t xml:space="preserve">Scoring tables (protocol × criterion matrices with evidence links) for</w:t>
      </w:r>
      <w:r>
        <w:t xml:space="preserve"> </w:t>
      </w:r>
      <w:r>
        <w:t xml:space="preserve">all 12 scored protocols.</w:t>
      </w:r>
    </w:p>
    <w:p>
      <w:pPr>
        <w:pStyle w:val="BodyText"/>
      </w:pPr>
      <w:hyperlink r:id="rId120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S4</w:t>
        </w:r>
      </w:hyperlink>
      <w:r>
        <w:t xml:space="preserve">:</w:t>
      </w:r>
      <w:r>
        <w:t xml:space="preserve"> </w:t>
      </w:r>
      <w:r>
        <w:t xml:space="preserve">Events table for future event-study analyses.</w:t>
      </w:r>
    </w:p>
    <w:p>
      <w:pPr>
        <w:pStyle w:val="BodyText"/>
      </w:pPr>
      <w:hyperlink r:id="rId75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S5</w:t>
        </w:r>
      </w:hyperlink>
      <w:r>
        <w:t xml:space="preserve">:</w:t>
      </w:r>
      <w:r>
        <w:t xml:space="preserve"> </w:t>
      </w:r>
      <w:r>
        <w:t xml:space="preserve">Full empirical pipeline specification (16 analyses across five</w:t>
      </w:r>
      <w:r>
        <w:t xml:space="preserve"> </w:t>
      </w:r>
      <w:r>
        <w:t xml:space="preserve">categories), including replication-ready design for cross-sectional,</w:t>
      </w:r>
      <w:r>
        <w:t xml:space="preserve"> </w:t>
      </w:r>
      <w:r>
        <w:t xml:space="preserve">panel, event-study, and qualitative analyses.</w:t>
      </w:r>
    </w:p>
    <w:p>
      <w:pPr>
        <w:pStyle w:val="BodyText"/>
      </w:pPr>
      <w:hyperlink r:id="rId63">
        <w:r>
          <w:rPr>
            <w:rStyle w:val="Hyperlink"/>
            <w:u w:val="single"/>
          </w:rPr>
          <w:t xml:space="preserve">Supplementary File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S6</w:t>
        </w:r>
      </w:hyperlink>
      <w:r>
        <w:t xml:space="preserve">:</w:t>
      </w:r>
      <w:r>
        <w:t xml:space="preserve"> </w:t>
      </w:r>
      <w:r>
        <w:t xml:space="preserve">Raw governance token distribution data (Dune Analytics SQL queries and</w:t>
      </w:r>
      <w:r>
        <w:t xml:space="preserve"> </w:t>
      </w:r>
      <w:r>
        <w:t xml:space="preserve">results, March 2026 snapshot). Supplementary File S7: Quarterly HHI</w:t>
      </w:r>
      <w:r>
        <w:t xml:space="preserve"> </w:t>
      </w:r>
      <w:r>
        <w:t xml:space="preserve">panel for 14 governance tokens (8 quarters post-token-generation event).</w:t>
      </w:r>
      <w:r>
        <w:t xml:space="preserve"> </w:t>
      </w:r>
      <w:r>
        <w:t xml:space="preserve">Exhibit S7 plots HHI trajectories; 11 of 14 protocols exhibit monotonic</w:t>
      </w:r>
      <w:r>
        <w:t xml:space="preserve"> </w:t>
      </w:r>
      <w:r>
        <w:t xml:space="preserve">decay, with CRV (vote-escrow), COMP (reservoir-drip), and ENS</w:t>
      </w:r>
      <w:r>
        <w:t xml:space="preserve"> </w:t>
      </w:r>
      <w:r>
        <w:t xml:space="preserve">(claim-window) as mechanism-specific exceptions. Supplementary File S8:</w:t>
      </w:r>
      <w:r>
        <w:t xml:space="preserve"> </w:t>
      </w:r>
      <w:r>
        <w:t xml:space="preserve">Expanded subsidy-concentration analysis using Token Terminal revenue and</w:t>
      </w:r>
      <w:r>
        <w:t xml:space="preserve"> </w:t>
      </w:r>
      <w:r>
        <w:t xml:space="preserve">incentive data for 22 protocols (14 DeFi/Infrastructure via Token</w:t>
      </w:r>
      <w:r>
        <w:t xml:space="preserve"> </w:t>
      </w:r>
      <w:r>
        <w:t xml:space="preserve">Terminal, 8 DePIN via on-chain computation). Cross-sector Pearson r =</w:t>
      </w:r>
      <w:r>
        <w:t xml:space="preserve"> </w:t>
      </w:r>
      <w:r>
        <w:t xml:space="preserve">0.095 (p = 0.674), consistent with the subsidy-concentration null at</w:t>
      </w:r>
      <w:r>
        <w:t xml:space="preserve"> </w:t>
      </w:r>
      <w:r>
        <w:t xml:space="preserve">expanded sample size.</w:t>
      </w:r>
    </w:p>
    <w:p>
      <w:pPr>
        <w:pStyle w:val="BodyText"/>
      </w:pPr>
      <w:r>
        <w:t xml:space="preserve">Replication data:</w:t>
      </w:r>
      <w:r>
        <w:t xml:space="preserve"> </w:t>
      </w:r>
      <w:r>
        <w:t xml:space="preserve">https://github.com/Research-Publications-and-Data/Tokenomics-As-Institutional_Design</w:t>
      </w:r>
    </w:p>
    <w:bookmarkEnd w:id="121"/>
    <w:bookmarkStart w:id="122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The author thanks Token Terminal for complimentary API access. DeFi</w:t>
      </w:r>
      <w:r>
        <w:t xml:space="preserve"> </w:t>
      </w:r>
      <w:r>
        <w:t xml:space="preserve">protocol subsidy ratios use Token Terminal fee, revenue, and incentive</w:t>
      </w:r>
      <w:r>
        <w:t xml:space="preserve"> </w:t>
      </w:r>
      <w:r>
        <w:t xml:space="preserve">data; DePIN protocol subsidy ratios use on-chain burn and mint data from</w:t>
      </w:r>
      <w:r>
        <w:t xml:space="preserve"> </w:t>
      </w:r>
      <w:r>
        <w:t xml:space="preserve">Dune Analytics due to systematic measurement gaps in existing analytics</w:t>
      </w:r>
      <w:r>
        <w:t xml:space="preserve"> </w:t>
      </w:r>
      <w:r>
        <w:t xml:space="preserve">platforms for hardware network economics.</w:t>
      </w:r>
    </w:p>
    <w:bookmarkEnd w:id="122"/>
    <w:bookmarkStart w:id="123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Birchall, J. (2011). People-centred businesses: Co-operatives, mutuals</w:t>
      </w:r>
      <w:r>
        <w:t xml:space="preserve"> </w:t>
      </w:r>
      <w:r>
        <w:t xml:space="preserve">and the idea of membership. Palgrave Macmillan.</w:t>
      </w:r>
    </w:p>
    <w:p>
      <w:pPr>
        <w:pStyle w:val="BodyText"/>
      </w:pPr>
      <w:r>
        <w:t xml:space="preserve">Hansmann, H. (1996). The ownership of enterprise. Harvard University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International Cooperative Alliance. (1995). Statement on the cooperative</w:t>
      </w:r>
      <w:r>
        <w:t xml:space="preserve"> </w:t>
      </w:r>
      <w:r>
        <w:t xml:space="preserve">identity. ICA.</w:t>
      </w:r>
    </w:p>
    <w:p>
      <w:pPr>
        <w:pStyle w:val="BodyText"/>
      </w:pPr>
      <w:r>
        <w:t xml:space="preserve">Scholz, T. (2016). Platform cooperativism: Challenging the corporate</w:t>
      </w:r>
      <w:r>
        <w:t xml:space="preserve"> </w:t>
      </w:r>
      <w:r>
        <w:t xml:space="preserve">sharing economy. Rosa Luxemburg Stiftung.</w:t>
      </w:r>
    </w:p>
    <w:p>
      <w:pPr>
        <w:pStyle w:val="BodyText"/>
      </w:pPr>
      <w:r>
        <w:t xml:space="preserve">Alshater, M. M. (2026). Decentralized physical infrastructure networks</w:t>
      </w:r>
      <w:r>
        <w:t xml:space="preserve"> </w:t>
      </w:r>
      <w:r>
        <w:t xml:space="preserve">(DePIN) tokenomics. Frontiers in Blockchain, 8, 1644115.</w:t>
      </w:r>
      <w:r>
        <w:t xml:space="preserve"> </w:t>
      </w:r>
      <w:r>
        <w:t xml:space="preserve">https://doi.org/10.3389/fbloc.2025.1644115</w:t>
      </w:r>
    </w:p>
    <w:p>
      <w:pPr>
        <w:pStyle w:val="BodyText"/>
      </w:pPr>
      <w:r>
        <w:t xml:space="preserve">Appiah, K. A. (2006). Cosmopolitanism: Ethics in a world of strangers.</w:t>
      </w:r>
      <w:r>
        <w:t xml:space="preserve"> </w:t>
      </w:r>
      <w:r>
        <w:t xml:space="preserve">W. W. Norton.</w:t>
      </w:r>
    </w:p>
    <w:p>
      <w:pPr>
        <w:pStyle w:val="BodyText"/>
      </w:pPr>
      <w:r>
        <w:t xml:space="preserve">Appel, I., &amp; Grennan, J. (2023). Control of decentralized autonomous</w:t>
      </w:r>
      <w:r>
        <w:t xml:space="preserve"> </w:t>
      </w:r>
      <w:r>
        <w:t xml:space="preserve">organizations. AEA Papers and Proceedings, 113, 182–185.</w:t>
      </w:r>
      <w:r>
        <w:t xml:space="preserve"> </w:t>
      </w:r>
      <w:r>
        <w:t xml:space="preserve">https://doi.org/10.1257/pandp.20231119</w:t>
      </w:r>
    </w:p>
    <w:p>
      <w:pPr>
        <w:pStyle w:val="BodyText"/>
      </w:pPr>
      <w:r>
        <w:t xml:space="preserve">Aramonte, S., Huang, W., &amp; Schrimpf, A. (2021). DeFi risks and the</w:t>
      </w:r>
      <w:r>
        <w:t xml:space="preserve"> </w:t>
      </w:r>
      <w:r>
        <w:t xml:space="preserve">decentralisation illusion. BIS Quarterly Review, December 2021, 21–36.</w:t>
      </w:r>
      <w:r>
        <w:t xml:space="preserve"> </w:t>
      </w:r>
      <w:r>
        <w:t xml:space="preserve">https://www.bis.org/publ/qtrpdf/r_qt2112b.htm</w:t>
      </w:r>
    </w:p>
    <w:p>
      <w:pPr>
        <w:pStyle w:val="BodyText"/>
      </w:pPr>
      <w:r>
        <w:t xml:space="preserve">Arnosti, N., &amp; Weinberg, S. M. (2022). Bitcoin: A natural oligopoly.</w:t>
      </w:r>
      <w:r>
        <w:t xml:space="preserve"> </w:t>
      </w:r>
      <w:r>
        <w:t xml:space="preserve">Management Science, 68(7), 4755–4771.</w:t>
      </w:r>
      <w:r>
        <w:t xml:space="preserve"> </w:t>
      </w:r>
      <w:r>
        <w:t xml:space="preserve">https://doi.org/10.1287/mnsc.2021.4095</w:t>
      </w:r>
    </w:p>
    <w:p>
      <w:pPr>
        <w:pStyle w:val="BodyText"/>
      </w:pPr>
      <w:r>
        <w:t xml:space="preserve">Atkinson, A. B. (1970). On the measurement of inequality. Journal of</w:t>
      </w:r>
      <w:r>
        <w:t xml:space="preserve"> </w:t>
      </w:r>
      <w:r>
        <w:t xml:space="preserve">Economic Theory, 2(3), 244-263.</w:t>
      </w:r>
      <w:r>
        <w:t xml:space="preserve"> </w:t>
      </w:r>
      <w:r>
        <w:t xml:space="preserve">https://doi.org/10.1016/0022-0531(70)90039-6</w:t>
      </w:r>
    </w:p>
    <w:p>
      <w:pPr>
        <w:pStyle w:val="BodyText"/>
      </w:pPr>
      <w:r>
        <w:t xml:space="preserve">Atzori, M. (2017). Blockchain technology and decentralized governance:</w:t>
      </w:r>
      <w:r>
        <w:t xml:space="preserve"> </w:t>
      </w:r>
      <w:r>
        <w:t xml:space="preserve">Is the state still necessary? Journal of Governance and Regulation,</w:t>
      </w:r>
      <w:r>
        <w:t xml:space="preserve"> </w:t>
      </w:r>
      <w:r>
        <w:t xml:space="preserve">6(1), 45-62. https://doi.org/10.22495/jgr_v6_i1_p5</w:t>
      </w:r>
    </w:p>
    <w:p>
      <w:pPr>
        <w:pStyle w:val="BodyText"/>
      </w:pPr>
      <w:r>
        <w:t xml:space="preserve">Ballandies, M. C., Wang, H., Law, A. C. C., Yang, J. C., Gosken, C., &amp;</w:t>
      </w:r>
      <w:r>
        <w:t xml:space="preserve"> </w:t>
      </w:r>
      <w:r>
        <w:t xml:space="preserve">Andrew, M. (2023). A taxonomy for blockchain-based decentralized</w:t>
      </w:r>
      <w:r>
        <w:t xml:space="preserve"> </w:t>
      </w:r>
      <w:r>
        <w:t xml:space="preserve">physical infrastructure networks (DePIN). 2023 IEEE 9th World Forum on</w:t>
      </w:r>
      <w:r>
        <w:t xml:space="preserve"> </w:t>
      </w:r>
      <w:r>
        <w:t xml:space="preserve">Internet of Things (WF-IoT).</w:t>
      </w:r>
    </w:p>
    <w:p>
      <w:pPr>
        <w:pStyle w:val="BodyText"/>
      </w:pPr>
      <w:r>
        <w:t xml:space="preserve">Bane, D., &amp; Gala, S. (2025). State of DePIN 2024. Messari.</w:t>
      </w:r>
      <w:r>
        <w:t xml:space="preserve"> </w:t>
      </w:r>
      <w:r>
        <w:t xml:space="preserve">https://messari.io/report/state-of-depin-2024</w:t>
      </w:r>
    </w:p>
    <w:p>
      <w:pPr>
        <w:pStyle w:val="BodyText"/>
      </w:pPr>
      <w:r>
        <w:t xml:space="preserve">Bane, D., &amp; Gala, S. (2026). State of DePIN 2025. Messari &amp; Escape</w:t>
      </w:r>
      <w:r>
        <w:t xml:space="preserve"> </w:t>
      </w:r>
      <w:r>
        <w:t xml:space="preserve">Velocity. https://messari.io/report/state-of-depin-2025</w:t>
      </w:r>
    </w:p>
    <w:p>
      <w:pPr>
        <w:pStyle w:val="BodyText"/>
      </w:pPr>
      <w:r>
        <w:t xml:space="preserve">Barbereau, T., Smethurst, R., Papageorgiou, O., Sedlmeir, J., &amp; Fridgen,</w:t>
      </w:r>
      <w:r>
        <w:t xml:space="preserve"> </w:t>
      </w:r>
      <w:r>
        <w:t xml:space="preserve">G. (2023). Decentralised finance’s timocratic governance: The</w:t>
      </w:r>
      <w:r>
        <w:t xml:space="preserve"> </w:t>
      </w:r>
      <w:r>
        <w:t xml:space="preserve">distribution and exercise of tokenised voting rights. Technology in</w:t>
      </w:r>
      <w:r>
        <w:t xml:space="preserve"> </w:t>
      </w:r>
      <w:r>
        <w:t xml:space="preserve">Society, 73, 102251. https://doi.org/10.1016/j.techsoc.2023.102251</w:t>
      </w:r>
    </w:p>
    <w:p>
      <w:pPr>
        <w:pStyle w:val="BodyText"/>
      </w:pPr>
      <w:r>
        <w:t xml:space="preserve">Baygi, R. M., Introna, L. D., &amp; Ostovar, M. (2024). Beyond categories: A</w:t>
      </w:r>
      <w:r>
        <w:t xml:space="preserve"> </w:t>
      </w:r>
      <w:r>
        <w:t xml:space="preserve">flow-oriented approach to social justice on online labor platforms. MIS</w:t>
      </w:r>
      <w:r>
        <w:t xml:space="preserve"> </w:t>
      </w:r>
      <w:r>
        <w:t xml:space="preserve">Quarterly, 48(4), 1663–1690. https://doi.org/10.25300/MISQ/2024/18253</w:t>
      </w:r>
    </w:p>
    <w:p>
      <w:pPr>
        <w:pStyle w:val="BodyText"/>
      </w:pPr>
      <w:r>
        <w:t xml:space="preserve">Banzhaf, J. F., III. (1968). One man, 3.312 votes: A mathematical</w:t>
      </w:r>
      <w:r>
        <w:t xml:space="preserve"> </w:t>
      </w:r>
      <w:r>
        <w:t xml:space="preserve">analysis of the Electoral College. Villanova Law Review, 13(2), 304-332.</w:t>
      </w:r>
    </w:p>
    <w:p>
      <w:pPr>
        <w:pStyle w:val="BodyText"/>
      </w:pPr>
      <w:r>
        <w:t xml:space="preserve">Beitz, C. R. (1979). Political theory and international relations.</w:t>
      </w:r>
      <w:r>
        <w:t xml:space="preserve"> </w:t>
      </w:r>
      <w:r>
        <w:t xml:space="preserve">Princeton University Press.</w:t>
      </w:r>
    </w:p>
    <w:p>
      <w:pPr>
        <w:pStyle w:val="BodyText"/>
      </w:pPr>
      <w:r>
        <w:t xml:space="preserve">Berlin, I. (1958). Two concepts of liberty. Clarendon Press.</w:t>
      </w:r>
    </w:p>
    <w:p>
      <w:pPr>
        <w:pStyle w:val="BodyText"/>
      </w:pPr>
      <w:r>
        <w:t xml:space="preserve">Blockworks. (2026). GEODNET analytics dashboard. Retrieved April 2026,</w:t>
      </w:r>
      <w:r>
        <w:t xml:space="preserve"> </w:t>
      </w:r>
      <w:r>
        <w:t xml:space="preserve">from https://blockworks.com/analytics/geodnet</w:t>
      </w:r>
    </w:p>
    <w:p>
      <w:pPr>
        <w:pStyle w:val="BodyText"/>
      </w:pPr>
      <w:r>
        <w:t xml:space="preserve">Blockworks. (2026). Helium financials dashboard. Retrieved April 2026,</w:t>
      </w:r>
      <w:r>
        <w:t xml:space="preserve"> </w:t>
      </w:r>
      <w:r>
        <w:t xml:space="preserve">from https://blockworks.com/analytics/helium/helium-financials</w:t>
      </w:r>
    </w:p>
    <w:p>
      <w:pPr>
        <w:pStyle w:val="BodyText"/>
      </w:pPr>
      <w:r>
        <w:t xml:space="preserve">Brennan, G., &amp; Buchanan, J. M. (1985). The reason of rules:</w:t>
      </w:r>
      <w:r>
        <w:t xml:space="preserve"> </w:t>
      </w:r>
      <w:r>
        <w:t xml:space="preserve">Constitutional political economy. Cambridge University Press.</w:t>
      </w:r>
    </w:p>
    <w:p>
      <w:pPr>
        <w:pStyle w:val="BodyText"/>
      </w:pPr>
      <w:r>
        <w:t xml:space="preserve">Buchanan, J. M., &amp; Tullock, G. (1962). The calculus of consent: Logical</w:t>
      </w:r>
      <w:r>
        <w:t xml:space="preserve"> </w:t>
      </w:r>
      <w:r>
        <w:t xml:space="preserve">foundations of constitutional democracy. University of Michigan Press.</w:t>
      </w:r>
    </w:p>
    <w:p>
      <w:pPr>
        <w:pStyle w:val="BodyText"/>
      </w:pPr>
      <w:r>
        <w:t xml:space="preserve">Buddensiek, E., &amp; Momtaz, P. P. (2025). Information cascades in</w:t>
      </w:r>
      <w:r>
        <w:t xml:space="preserve"> </w:t>
      </w:r>
      <w:r>
        <w:t xml:space="preserve">decentralized autonomous organizations (DAOs). SSRN Working Paper No.</w:t>
      </w:r>
      <w:r>
        <w:t xml:space="preserve"> </w:t>
      </w:r>
      <w:r>
        <w:t xml:space="preserve">5258156. https://doi.org/10.2139/ssrn.5258156</w:t>
      </w:r>
    </w:p>
    <w:p>
      <w:pPr>
        <w:pStyle w:val="BodyText"/>
      </w:pPr>
      <w:r>
        <w:t xml:space="preserve">Buterin, V., Conner, E., Dudley, R., Slipper, M., &amp; Norder, I. (2019).</w:t>
      </w:r>
      <w:r>
        <w:t xml:space="preserve"> </w:t>
      </w:r>
      <w:r>
        <w:t xml:space="preserve">EIP-1559: Fee market change for ETH 1.0 chain (Ethereum Improvement</w:t>
      </w:r>
      <w:r>
        <w:t xml:space="preserve"> </w:t>
      </w:r>
      <w:r>
        <w:t xml:space="preserve">Proposal). https://eips.ethereum.org/EIPS/eip-1559</w:t>
      </w:r>
    </w:p>
    <w:p>
      <w:pPr>
        <w:pStyle w:val="BodyText"/>
      </w:pPr>
      <w:r>
        <w:t xml:space="preserve">Calzada, I. (2025). The political economy of Web3 platformization:</w:t>
      </w:r>
      <w:r>
        <w:t xml:space="preserve"> </w:t>
      </w:r>
      <w:r>
        <w:t xml:space="preserve">Innovation systems, reaching the moon, governing the ghetto. Digital,</w:t>
      </w:r>
      <w:r>
        <w:t xml:space="preserve"> </w:t>
      </w:r>
      <w:r>
        <w:t xml:space="preserve">5(4), 62. https://doi.org/10.3390/digital5040062</w:t>
      </w:r>
    </w:p>
    <w:p>
      <w:pPr>
        <w:pStyle w:val="BodyText"/>
      </w:pPr>
      <w:r>
        <w:t xml:space="preserve">CoinGecko. (2026). Cryptocurrency market data. Retrieved March 2026,</w:t>
      </w:r>
      <w:r>
        <w:t xml:space="preserve"> </w:t>
      </w:r>
      <w:r>
        <w:t xml:space="preserve">from https://www.coingecko.com</w:t>
      </w:r>
    </w:p>
    <w:p>
      <w:pPr>
        <w:pStyle w:val="BodyText"/>
      </w:pPr>
      <w:r>
        <w:t xml:space="preserve">Cong, L. W., Li, Y., &amp; Wang, N. (2021). Tokenomics: Dynamic adoption and</w:t>
      </w:r>
      <w:r>
        <w:t xml:space="preserve"> </w:t>
      </w:r>
      <w:r>
        <w:t xml:space="preserve">valuation. Review of Financial Studies, 34(3), 1105–1155.</w:t>
      </w:r>
      <w:r>
        <w:t xml:space="preserve"> </w:t>
      </w:r>
      <w:r>
        <w:t xml:space="preserve">https://doi.org/10.1093/rfs/hhaa089</w:t>
      </w:r>
    </w:p>
    <w:p>
      <w:pPr>
        <w:pStyle w:val="BodyText"/>
      </w:pPr>
      <w:r>
        <w:t xml:space="preserve">Cong, L. W., Rabetti, D., Wang, C. C. Y., &amp; Yan, Y. (2025). Centralized</w:t>
      </w:r>
      <w:r>
        <w:t xml:space="preserve"> </w:t>
      </w:r>
      <w:r>
        <w:t xml:space="preserve">governance in decentralized organizations (Draft: August 2025). Working</w:t>
      </w:r>
      <w:r>
        <w:t xml:space="preserve"> </w:t>
      </w:r>
      <w:r>
        <w:t xml:space="preserve">Paper.</w:t>
      </w:r>
    </w:p>
    <w:p>
      <w:pPr>
        <w:pStyle w:val="BodyText"/>
      </w:pPr>
      <w:r>
        <w:t xml:space="preserve">Cohen, J. (1988). Statistical power analysis for the behavioral</w:t>
      </w:r>
      <w:r>
        <w:t xml:space="preserve"> </w:t>
      </w:r>
      <w:r>
        <w:t xml:space="preserve">sciences (2nd ed.). Lawrence Erlbaum Associates.</w:t>
      </w:r>
    </w:p>
    <w:p>
      <w:pPr>
        <w:pStyle w:val="BodyText"/>
      </w:pPr>
      <w:r>
        <w:t xml:space="preserve">Cohen, J. (1989). Deliberation and democratic legitimacy. In A. Hamlin</w:t>
      </w:r>
      <w:r>
        <w:t xml:space="preserve"> </w:t>
      </w:r>
      <w:r>
        <w:t xml:space="preserve">&amp; P. Pettit (Eds.), The good polity: Normative analysis of the state</w:t>
      </w:r>
      <w:r>
        <w:t xml:space="preserve"> </w:t>
      </w:r>
      <w:r>
        <w:t xml:space="preserve">(pp. 17-34). Blackwell.</w:t>
      </w:r>
    </w:p>
    <w:p>
      <w:pPr>
        <w:pStyle w:val="BodyText"/>
      </w:pPr>
      <w:r>
        <w:t xml:space="preserve">De Filippi, P., Mannan, M., Cossar, S., Merk, T., &amp; Kamalova, J. (2024).</w:t>
      </w:r>
      <w:r>
        <w:t xml:space="preserve"> </w:t>
      </w:r>
      <w:r>
        <w:t xml:space="preserve">Blockchain technology and polycentric governance (Research Project</w:t>
      </w:r>
      <w:r>
        <w:t xml:space="preserve"> </w:t>
      </w:r>
      <w:r>
        <w:t xml:space="preserve">Report). European University Institute, Robert Schuman Centre.</w:t>
      </w:r>
      <w:r>
        <w:t xml:space="preserve"> </w:t>
      </w:r>
      <w:r>
        <w:t xml:space="preserve">https://hdl.handle.net/1814/77030</w:t>
      </w:r>
    </w:p>
    <w:p>
      <w:pPr>
        <w:pStyle w:val="BodyText"/>
      </w:pPr>
      <w:r>
        <w:t xml:space="preserve">De Filippi, P., &amp; Wright, A. (2018). Blockchain and the law: The rule of</w:t>
      </w:r>
      <w:r>
        <w:t xml:space="preserve"> </w:t>
      </w:r>
      <w:r>
        <w:t xml:space="preserve">code. Harvard University Press. https://doi.org/10.4159/9780674985933</w:t>
      </w:r>
    </w:p>
    <w:p>
      <w:pPr>
        <w:pStyle w:val="BodyText"/>
      </w:pPr>
      <w:r>
        <w:t xml:space="preserve">DuPont, Q. (2014). The politics of cryptography: Bitcoin and the</w:t>
      </w:r>
      <w:r>
        <w:t xml:space="preserve"> </w:t>
      </w:r>
      <w:r>
        <w:t xml:space="preserve">ordering machines. Journal of Peer Production, 4. https://peerproduction.net</w:t>
      </w:r>
    </w:p>
    <w:p>
      <w:pPr>
        <w:pStyle w:val="BodyText"/>
      </w:pPr>
      <w:r>
        <w:t xml:space="preserve">DeepDAO. (2023). DAO governance analytics [Data set]. Retrieved 2023,</w:t>
      </w:r>
      <w:r>
        <w:t xml:space="preserve"> </w:t>
      </w:r>
      <w:r>
        <w:t xml:space="preserve">from https://deepdao.io</w:t>
      </w:r>
    </w:p>
    <w:p>
      <w:pPr>
        <w:pStyle w:val="BodyText"/>
      </w:pPr>
      <w:r>
        <w:t xml:space="preserve">Dune Analytics. (2026). On-chain governance token holder data [Data</w:t>
      </w:r>
      <w:r>
        <w:t xml:space="preserve"> </w:t>
      </w:r>
      <w:r>
        <w:t xml:space="preserve">set]. Retrieved March 2026, from https://dune.com</w:t>
      </w:r>
    </w:p>
    <w:p>
      <w:pPr>
        <w:pStyle w:val="BodyText"/>
      </w:pPr>
      <w:r>
        <w:t xml:space="preserve">Eisermann, T., Campajola, C., Tessone, C. J., &amp; Teixeira, A. S. (2025).</w:t>
      </w:r>
      <w:r>
        <w:t xml:space="preserve"> </w:t>
      </w:r>
      <w:r>
        <w:t xml:space="preserve">Concentration in governance control across decentralised finance</w:t>
      </w:r>
      <w:r>
        <w:t xml:space="preserve"> </w:t>
      </w:r>
      <w:r>
        <w:t xml:space="preserve">protocols. EPJ Data Science, 14, 85.</w:t>
      </w:r>
      <w:r>
        <w:t xml:space="preserve"> </w:t>
      </w:r>
      <w:r>
        <w:t xml:space="preserve">https://doi.org/10.1140/epjds/s13688-025-00610-5</w:t>
      </w:r>
    </w:p>
    <w:p>
      <w:pPr>
        <w:pStyle w:val="BodyText"/>
      </w:pPr>
      <w:r>
        <w:t xml:space="preserve">Esposito, M., Tse, T., &amp; Goh, D. (2025). Decentralizing governance:</w:t>
      </w:r>
      <w:r>
        <w:t xml:space="preserve"> </w:t>
      </w:r>
      <w:r>
        <w:t xml:space="preserve">Exploring the dynamics and challenges of digital commons and DAOs.</w:t>
      </w:r>
      <w:r>
        <w:t xml:space="preserve"> </w:t>
      </w:r>
      <w:r>
        <w:t xml:space="preserve">Frontiers in Blockchain, 8, 1538227.</w:t>
      </w:r>
      <w:r>
        <w:t xml:space="preserve"> </w:t>
      </w:r>
      <w:r>
        <w:t xml:space="preserve">https://doi.org/10.3389/fbloc.2025.1538227</w:t>
      </w:r>
    </w:p>
    <w:p>
      <w:pPr>
        <w:pStyle w:val="BodyText"/>
      </w:pPr>
      <w:r>
        <w:t xml:space="preserve">Fan, Z., DeFilippi, P., Mannan, M., &amp; Tan, J. (2025). Distributed</w:t>
      </w:r>
      <w:r>
        <w:t xml:space="preserve"> </w:t>
      </w:r>
      <w:r>
        <w:t xml:space="preserve">governance in decentralized autonomous organizations: A survey of theory</w:t>
      </w:r>
      <w:r>
        <w:t xml:space="preserve"> </w:t>
      </w:r>
      <w:r>
        <w:t xml:space="preserve">and practice. Working Paper.</w:t>
      </w:r>
    </w:p>
    <w:p>
      <w:pPr>
        <w:pStyle w:val="BodyText"/>
      </w:pPr>
      <w:r>
        <w:t xml:space="preserve">Feichtinger, R., Fritsch, R., Vonlanthen, Y., &amp; Wattenhofer, R. (2023).</w:t>
      </w:r>
      <w:r>
        <w:t xml:space="preserve"> </w:t>
      </w:r>
      <w:r>
        <w:t xml:space="preserve">The hidden shortcomings of (D)AOs: An empirical study of on-chain</w:t>
      </w:r>
      <w:r>
        <w:t xml:space="preserve"> </w:t>
      </w:r>
      <w:r>
        <w:t xml:space="preserve">governance. In International Conference on Financial Cryptography and</w:t>
      </w:r>
      <w:r>
        <w:t xml:space="preserve"> </w:t>
      </w:r>
      <w:r>
        <w:t xml:space="preserve">Data Security (pp. 165–185). Springer.</w:t>
      </w:r>
    </w:p>
    <w:p>
      <w:pPr>
        <w:pStyle w:val="BodyText"/>
      </w:pPr>
      <w:r>
        <w:t xml:space="preserve">Floridi, L. (2013). The ethics of information. Oxford University Press.</w:t>
      </w:r>
    </w:p>
    <w:p>
      <w:pPr>
        <w:pStyle w:val="BodyText"/>
      </w:pPr>
      <w:r>
        <w:t xml:space="preserve">Fritsch, R., Müller, M., &amp; Wattenhofer, R. (2024). Analyzing voting</w:t>
      </w:r>
      <w:r>
        <w:t xml:space="preserve"> </w:t>
      </w:r>
      <w:r>
        <w:t xml:space="preserve">power in decentralized governance: Who controls DAOs? Blockchain:</w:t>
      </w:r>
      <w:r>
        <w:t xml:space="preserve"> </w:t>
      </w:r>
      <w:r>
        <w:t xml:space="preserve">Research and Applications, 5(3), 100208.</w:t>
      </w:r>
      <w:r>
        <w:t xml:space="preserve"> </w:t>
      </w:r>
      <w:r>
        <w:t xml:space="preserve">https://doi.org/10.1016/j.bcra.2024.100208</w:t>
      </w:r>
    </w:p>
    <w:p>
      <w:pPr>
        <w:pStyle w:val="BodyText"/>
      </w:pPr>
      <w:r>
        <w:t xml:space="preserve">Gersbach, H., Schneider, M., &amp; Shahkar, P. (2024). Effects of vote</w:t>
      </w:r>
      <w:r>
        <w:t xml:space="preserve"> </w:t>
      </w:r>
      <w:r>
        <w:t xml:space="preserve">delegation in blockchains: Who wins? arXiv:2408.05410 (revised July</w:t>
      </w:r>
      <w:r>
        <w:t xml:space="preserve"> </w:t>
      </w:r>
      <w:r>
        <w:t xml:space="preserve">2025). https://doi.org/10.48550/arXiv.2408.05410</w:t>
      </w:r>
    </w:p>
    <w:p>
      <w:pPr>
        <w:pStyle w:val="BodyText"/>
      </w:pPr>
      <w:r>
        <w:t xml:space="preserve">Hall, A. B., &amp; Miyazaki, S. (2024). What happens when anyone can be your</w:t>
      </w:r>
      <w:r>
        <w:t xml:space="preserve"> </w:t>
      </w:r>
      <w:r>
        <w:t xml:space="preserve">representative? Studying the use of liquid democracy for high-stakes</w:t>
      </w:r>
      <w:r>
        <w:t xml:space="preserve"> </w:t>
      </w:r>
      <w:r>
        <w:t xml:space="preserve">decisions in online platforms. Stanford GSB Working Paper.</w:t>
      </w:r>
      <w:r>
        <w:t xml:space="preserve"> </w:t>
      </w:r>
      <w:r>
        <w:t xml:space="preserve">https://doi.org/10.31219/osf.io/k3hcd</w:t>
      </w:r>
    </w:p>
    <w:p>
      <w:pPr>
        <w:pStyle w:val="BodyText"/>
      </w:pPr>
      <w:r>
        <w:t xml:space="preserve">Han, J., Lee, J., &amp; Li, T. (2023). DAO governance. European Corporate</w:t>
      </w:r>
      <w:r>
        <w:t xml:space="preserve"> </w:t>
      </w:r>
      <w:r>
        <w:t xml:space="preserve">Governance Institute Finance Working Paper No. 1119/2025.</w:t>
      </w:r>
      <w:r>
        <w:t xml:space="preserve"> </w:t>
      </w:r>
      <w:r>
        <w:t xml:space="preserve">https://doi.org/10.2139/ssrn.4346581</w:t>
      </w:r>
    </w:p>
    <w:p>
      <w:pPr>
        <w:pStyle w:val="BodyText"/>
      </w:pPr>
      <w:r>
        <w:t xml:space="preserve">Han, J., Lee, J., &amp; Li, T. (2024). A review of DAO governance: Recent</w:t>
      </w:r>
      <w:r>
        <w:t xml:space="preserve"> </w:t>
      </w:r>
      <w:r>
        <w:t xml:space="preserve">literature and emerging trends. European Corporate Governance Institute</w:t>
      </w:r>
      <w:r>
        <w:t xml:space="preserve"> </w:t>
      </w:r>
      <w:r>
        <w:t xml:space="preserve">Finance Working Paper No. 1044/2025.</w:t>
      </w:r>
      <w:r>
        <w:t xml:space="preserve"> </w:t>
      </w:r>
      <w:r>
        <w:t xml:space="preserve">https://doi.org/10.2139/ssrn.5074046</w:t>
      </w:r>
    </w:p>
    <w:p>
      <w:pPr>
        <w:pStyle w:val="BodyText"/>
      </w:pPr>
      <w:r>
        <w:t xml:space="preserve">Habermas, J. (1996). Between facts and norms: Contributions to a</w:t>
      </w:r>
      <w:r>
        <w:t xml:space="preserve"> </w:t>
      </w:r>
      <w:r>
        <w:t xml:space="preserve">discourse theory of law and democracy. MIT Press.</w:t>
      </w:r>
    </w:p>
    <w:p>
      <w:pPr>
        <w:pStyle w:val="BodyText"/>
      </w:pPr>
      <w:r>
        <w:t xml:space="preserve">Hardin, G. (1968). The tragedy of the commons. Science, 162(3859),</w:t>
      </w:r>
      <w:r>
        <w:t xml:space="preserve"> </w:t>
      </w:r>
      <w:r>
        <w:t xml:space="preserve">1243-1248. https://doi.org/10.1126/science.162.3859.1243</w:t>
      </w:r>
    </w:p>
    <w:p>
      <w:pPr>
        <w:pStyle w:val="BodyText"/>
      </w:pPr>
      <w:r>
        <w:t xml:space="preserve">Hayek, F. A. (1945). The use of knowledge in society. American Economic</w:t>
      </w:r>
      <w:r>
        <w:t xml:space="preserve"> </w:t>
      </w:r>
      <w:r>
        <w:t xml:space="preserve">Review, 35(4), 519-530. https://doi.org/10.2307/1809376</w:t>
      </w:r>
    </w:p>
    <w:p>
      <w:pPr>
        <w:pStyle w:val="BodyText"/>
      </w:pPr>
      <w:r>
        <w:t xml:space="preserve">Hirschman, A. O. (1964). The paternity of an index. American Economic</w:t>
      </w:r>
      <w:r>
        <w:t xml:space="preserve"> </w:t>
      </w:r>
      <w:r>
        <w:t xml:space="preserve">Review, 54(5), 761.</w:t>
      </w:r>
    </w:p>
    <w:p>
      <w:pPr>
        <w:pStyle w:val="BodyText"/>
      </w:pPr>
      <w:r>
        <w:t xml:space="preserve">Holmstrom, B. (1979). Moral hazard and observability. The Bell</w:t>
      </w:r>
      <w:r>
        <w:t xml:space="preserve"> </w:t>
      </w:r>
      <w:r>
        <w:t xml:space="preserve">Journal of Economics, 10(1), 74-91. https://doi.org/10.2307/3003320</w:t>
      </w:r>
    </w:p>
    <w:p>
      <w:pPr>
        <w:pStyle w:val="BodyText"/>
      </w:pPr>
      <w:r>
        <w:t xml:space="preserve">Howell, S. T., Niessner, M., &amp; Yermack, D. (2020). Initial coin</w:t>
      </w:r>
      <w:r>
        <w:t xml:space="preserve"> </w:t>
      </w:r>
      <w:r>
        <w:t xml:space="preserve">offerings: Financing growth with cryptocurrency token sales. Review of</w:t>
      </w:r>
      <w:r>
        <w:t xml:space="preserve"> </w:t>
      </w:r>
      <w:r>
        <w:t xml:space="preserve">Financial Studies, 33(9), 3925–3974. https://doi.org/10.1093/rfs/hhz131</w:t>
      </w:r>
    </w:p>
    <w:p>
      <w:pPr>
        <w:pStyle w:val="BodyText"/>
      </w:pPr>
      <w:r>
        <w:t xml:space="preserve">Hurwicz, L. (1973). The design of mechanisms for resource allocation.</w:t>
      </w:r>
      <w:r>
        <w:t xml:space="preserve"> </w:t>
      </w:r>
      <w:r>
        <w:t xml:space="preserve">American Economic Review, 63(2), 1–30.</w:t>
      </w:r>
    </w:p>
    <w:p>
      <w:pPr>
        <w:pStyle w:val="BodyText"/>
      </w:pPr>
      <w:r>
        <w:t xml:space="preserve">Hurwicz, L. (1987). Inventing new institutions: The design perspective.</w:t>
      </w:r>
      <w:r>
        <w:t xml:space="preserve"> </w:t>
      </w:r>
      <w:r>
        <w:t xml:space="preserve">American Journal of Agricultural Economics, 69(2), 395-402.</w:t>
      </w:r>
      <w:r>
        <w:t xml:space="preserve"> </w:t>
      </w:r>
      <w:r>
        <w:t xml:space="preserve">https://doi.org/10.2307/1242293</w:t>
      </w:r>
    </w:p>
    <w:p>
      <w:pPr>
        <w:pStyle w:val="BodyText"/>
      </w:pPr>
      <w:r>
        <w:t xml:space="preserve">Kant, I. (1991). Perpetual peace: A philosophical sketch. In H. Reiss</w:t>
      </w:r>
      <w:r>
        <w:t xml:space="preserve"> </w:t>
      </w:r>
      <w:r>
        <w:t xml:space="preserve">(Ed.), Kant: Political writings (pp. 93-130). Cambridge University</w:t>
      </w:r>
      <w:r>
        <w:t xml:space="preserve"> </w:t>
      </w:r>
      <w:r>
        <w:t xml:space="preserve">Press. (Original work published 1795)</w:t>
      </w:r>
    </w:p>
    <w:p>
      <w:pPr>
        <w:pStyle w:val="BodyText"/>
      </w:pPr>
      <w:r>
        <w:t xml:space="preserve">Kant, I. (1997). Groundwork of the metaphysics of morals (M. Gregor, Ed.</w:t>
      </w:r>
      <w:r>
        <w:t xml:space="preserve"> </w:t>
      </w:r>
      <w:r>
        <w:t xml:space="preserve">&amp; Trans.). Cambridge University Press. (Original work published 1785.)</w:t>
      </w:r>
    </w:p>
    <w:p>
      <w:pPr>
        <w:pStyle w:val="BodyText"/>
      </w:pPr>
      <w:r>
        <w:t xml:space="preserve">Kiayias, A., Koutsoupias, E., Markakis, E., &amp; Tsamopoulos, P. (2025).</w:t>
      </w:r>
      <w:r>
        <w:t xml:space="preserve"> </w:t>
      </w:r>
      <w:r>
        <w:t xml:space="preserve">Pool formation in oceanic games: Shapley value and proportional sharing.</w:t>
      </w:r>
      <w:r>
        <w:t xml:space="preserve"> </w:t>
      </w:r>
      <w:r>
        <w:t xml:space="preserve">In Proc. 7th Conference on Advances in Financial Technologies (AFT</w:t>
      </w:r>
      <w:r>
        <w:t xml:space="preserve"> </w:t>
      </w:r>
      <w:r>
        <w:t xml:space="preserve">2025), LIPIcs Vol. 354, pp. 21:1–21:24.</w:t>
      </w:r>
      <w:r>
        <w:t xml:space="preserve"> </w:t>
      </w:r>
      <w:r>
        <w:t xml:space="preserve">https://doi.org/10.4230/LIPIcs.AFT.2025.21</w:t>
      </w:r>
    </w:p>
    <w:p>
      <w:pPr>
        <w:pStyle w:val="BodyText"/>
      </w:pPr>
      <w:r>
        <w:t xml:space="preserve">Kvålsøth, T. O. (2022a). Measurement of market (industry) concentration</w:t>
      </w:r>
      <w:r>
        <w:t xml:space="preserve"> </w:t>
      </w:r>
      <w:r>
        <w:t xml:space="preserve">based on value validity. PLOS ONE, 17(2), e0264613.</w:t>
      </w:r>
      <w:r>
        <w:t xml:space="preserve"> </w:t>
      </w:r>
      <w:r>
        <w:t xml:space="preserve">https://doi.org/10.1371/journal.pone.0264613</w:t>
      </w:r>
    </w:p>
    <w:p>
      <w:pPr>
        <w:pStyle w:val="BodyText"/>
      </w:pPr>
      <w:r>
        <w:t xml:space="preserve">Kvålsøth, T. O. (2022b). Cautionary note about the Herfindahl-Hirschman</w:t>
      </w:r>
      <w:r>
        <w:t xml:space="preserve"> </w:t>
      </w:r>
      <w:r>
        <w:t xml:space="preserve">Index of market (industry) concentration. Contemporary Economics, 16(1),</w:t>
      </w:r>
      <w:r>
        <w:t xml:space="preserve"> </w:t>
      </w:r>
      <w:r>
        <w:t xml:space="preserve">51–60. https://ssrn.com/abstract=4132083</w:t>
      </w:r>
    </w:p>
    <w:p>
      <w:pPr>
        <w:pStyle w:val="BodyText"/>
      </w:pPr>
      <w:r>
        <w:t xml:space="preserve">Li, S., &amp; Chen, Y. (2024). Governing decentralized autonomous</w:t>
      </w:r>
      <w:r>
        <w:t xml:space="preserve"> </w:t>
      </w:r>
      <w:r>
        <w:t xml:space="preserve">organizations as digital commons. Journal of Business Venturing</w:t>
      </w:r>
      <w:r>
        <w:t xml:space="preserve"> </w:t>
      </w:r>
      <w:r>
        <w:t xml:space="preserve">Insights, 22, e00450. https://doi.org/10.1016/j.jbvi.2024.e00450</w:t>
      </w:r>
    </w:p>
    <w:p>
      <w:pPr>
        <w:pStyle w:val="BodyText"/>
      </w:pPr>
      <w:r>
        <w:t xml:space="preserve">Michels, R. (1911/1962). Political parties: A sociological study of the</w:t>
      </w:r>
      <w:r>
        <w:t xml:space="preserve"> </w:t>
      </w:r>
      <w:r>
        <w:t xml:space="preserve">oligarchical tendencies of modern democracy (E. Paul &amp; C. Paul, Trans.).</w:t>
      </w:r>
      <w:r>
        <w:t xml:space="preserve"> </w:t>
      </w:r>
      <w:r>
        <w:t xml:space="preserve">Free Press. (Original work published 1911)</w:t>
      </w:r>
    </w:p>
    <w:p>
      <w:pPr>
        <w:pStyle w:val="BodyText"/>
      </w:pPr>
      <w:r>
        <w:t xml:space="preserve">Motepalli, S., Garg, N., Zhang, G., &amp; Jacobsen, H.-A. (2025).</w:t>
      </w:r>
      <w:r>
        <w:t xml:space="preserve"> </w:t>
      </w:r>
      <w:r>
        <w:t xml:space="preserve">Decentralization in PoS blockchain consensus: Quantification and</w:t>
      </w:r>
      <w:r>
        <w:t xml:space="preserve"> </w:t>
      </w:r>
      <w:r>
        <w:t xml:space="preserve">advancement. arXiv:2504.14351. https://arxiv.org/abs/2504.14351</w:t>
      </w:r>
    </w:p>
    <w:p>
      <w:pPr>
        <w:pStyle w:val="BodyText"/>
      </w:pPr>
      <w:r>
        <w:t xml:space="preserve">Myerson, R. B. (1981). Optimal auction design. Mathematics of Operations</w:t>
      </w:r>
      <w:r>
        <w:t xml:space="preserve"> </w:t>
      </w:r>
      <w:r>
        <w:t xml:space="preserve">Research, 6(1), 58–73. https://doi.org/10.1287/moor.6.1.58</w:t>
      </w:r>
    </w:p>
    <w:p>
      <w:pPr>
        <w:pStyle w:val="BodyText"/>
      </w:pPr>
      <w:r>
        <w:t xml:space="preserve">Nabben, K., Wang, H., &amp; Zargham, M. (2024). Decentralised governance for</w:t>
      </w:r>
      <w:r>
        <w:t xml:space="preserve"> </w:t>
      </w:r>
      <w:r>
        <w:t xml:space="preserve">autonomous cyber-physical systems. arXiv preprint, arXiv:2408.16764.</w:t>
      </w:r>
      <w:r>
        <w:t xml:space="preserve"> </w:t>
      </w:r>
      <w:r>
        <w:t xml:space="preserve">https://arxiv.org/abs/2408.16764</w:t>
      </w:r>
    </w:p>
    <w:p>
      <w:pPr>
        <w:pStyle w:val="BodyText"/>
      </w:pPr>
      <w:r>
        <w:t xml:space="preserve">Nadler, M., &amp; Schär, F. (2020). Decentralized finance, centralized</w:t>
      </w:r>
      <w:r>
        <w:t xml:space="preserve"> </w:t>
      </w:r>
      <w:r>
        <w:t xml:space="preserve">ownership? An iterative mapping process to measure protocol token</w:t>
      </w:r>
      <w:r>
        <w:t xml:space="preserve"> </w:t>
      </w:r>
      <w:r>
        <w:t xml:space="preserve">distribution. arXiv:2012.09306.</w:t>
      </w:r>
      <w:r>
        <w:t xml:space="preserve"> </w:t>
      </w:r>
      <w:r>
        <w:t xml:space="preserve">https://doi.org/10.48550/arXiv.2012.09306</w:t>
      </w:r>
    </w:p>
    <w:p>
      <w:pPr>
        <w:pStyle w:val="BodyText"/>
      </w:pPr>
      <w:r>
        <w:t xml:space="preserve">North, D. C. (1990). Institutions, institutional change and economic</w:t>
      </w:r>
      <w:r>
        <w:t xml:space="preserve"> </w:t>
      </w:r>
      <w:r>
        <w:t xml:space="preserve">performance. Cambridge University Press.</w:t>
      </w:r>
    </w:p>
    <w:p>
      <w:pPr>
        <w:pStyle w:val="BodyText"/>
      </w:pPr>
      <w:r>
        <w:t xml:space="preserve">Nissenbaum, H. (2010). Privacy in context: Technology, policy, and the</w:t>
      </w:r>
      <w:r>
        <w:t xml:space="preserve"> </w:t>
      </w:r>
      <w:r>
        <w:t xml:space="preserve">integrity of social life. Stanford University Press.</w:t>
      </w:r>
    </w:p>
    <w:p>
      <w:pPr>
        <w:pStyle w:val="BodyText"/>
      </w:pPr>
      <w:r>
        <w:t xml:space="preserve">Nussbaum, M. C. (2011). Creating capabilities: The human development</w:t>
      </w:r>
      <w:r>
        <w:t xml:space="preserve"> </w:t>
      </w:r>
      <w:r>
        <w:t xml:space="preserve">approach. Harvard University Press.</w:t>
      </w:r>
    </w:p>
    <w:p>
      <w:pPr>
        <w:pStyle w:val="BodyText"/>
      </w:pPr>
      <w:r>
        <w:t xml:space="preserve">Okutan, B. A., Schmid, S., &amp; Pignolet, Y.-A. (2025). Democracy for DAOs:</w:t>
      </w:r>
      <w:r>
        <w:t xml:space="preserve"> </w:t>
      </w:r>
      <w:r>
        <w:t xml:space="preserve">An empirical study of decentralized governance and dynamics: Case study</w:t>
      </w:r>
      <w:r>
        <w:t xml:space="preserve"> </w:t>
      </w:r>
      <w:r>
        <w:t xml:space="preserve">Internet Computer SNS ecosystem. In Proc. IEEE International Conference</w:t>
      </w:r>
      <w:r>
        <w:t xml:space="preserve"> </w:t>
      </w:r>
      <w:r>
        <w:t xml:space="preserve">on Blockchain and Cryptocurrency (ICBC).</w:t>
      </w:r>
      <w:r>
        <w:t xml:space="preserve"> </w:t>
      </w:r>
      <w:r>
        <w:t xml:space="preserve">https://doi.org/10.1109/icbc64466.2025.11114606</w:t>
      </w:r>
    </w:p>
    <w:p>
      <w:pPr>
        <w:pStyle w:val="BodyText"/>
      </w:pPr>
      <w:r>
        <w:t xml:space="preserve">Olson, M. (1965). The logic of collective action: Public goods and the</w:t>
      </w:r>
      <w:r>
        <w:t xml:space="preserve"> </w:t>
      </w:r>
      <w:r>
        <w:t xml:space="preserve">theory of groups. Harvard University Press.</w:t>
      </w:r>
    </w:p>
    <w:p>
      <w:pPr>
        <w:pStyle w:val="BodyText"/>
      </w:pPr>
      <w:r>
        <w:t xml:space="preserve">Ostrom, E. (1990). Governing the commons: The evolution of institutions</w:t>
      </w:r>
      <w:r>
        <w:t xml:space="preserve"> </w:t>
      </w:r>
      <w:r>
        <w:t xml:space="preserve">for collective action. Cambridge University Press.</w:t>
      </w:r>
    </w:p>
    <w:p>
      <w:pPr>
        <w:pStyle w:val="BodyText"/>
      </w:pPr>
      <w:r>
        <w:t xml:space="preserve">Optimism. (2024). Optimism governance documentation: Citizens’ House.</w:t>
      </w:r>
      <w:r>
        <w:t xml:space="preserve"> </w:t>
      </w:r>
      <w:r>
        <w:t xml:space="preserve">https://community.optimism.io/docs/governance/</w:t>
      </w:r>
    </w:p>
    <w:p>
      <w:pPr>
        <w:pStyle w:val="BodyText"/>
      </w:pPr>
      <w:r>
        <w:t xml:space="preserve">Pettit, P. (1997). Republicanism: A theory of freedom and government.</w:t>
      </w:r>
      <w:r>
        <w:t xml:space="preserve"> </w:t>
      </w:r>
      <w:r>
        <w:t xml:space="preserve">Oxford University Press.</w:t>
      </w:r>
    </w:p>
    <w:p>
      <w:pPr>
        <w:pStyle w:val="BodyText"/>
      </w:pPr>
      <w:r>
        <w:t xml:space="preserve">Pfeffer, J., &amp; Salancik, G. R. (1978). The external control of</w:t>
      </w:r>
      <w:r>
        <w:t xml:space="preserve"> </w:t>
      </w:r>
      <w:r>
        <w:t xml:space="preserve">organizations: A resource dependence perspective. Harper &amp; Row.</w:t>
      </w:r>
    </w:p>
    <w:p>
      <w:pPr>
        <w:pStyle w:val="BodyText"/>
      </w:pPr>
      <w:r>
        <w:t xml:space="preserve">Pettit, P. (2012). On the people’s terms: A republican theory and</w:t>
      </w:r>
      <w:r>
        <w:t xml:space="preserve"> </w:t>
      </w:r>
      <w:r>
        <w:t xml:space="preserve">model of democracy. Cambridge University Press.</w:t>
      </w:r>
    </w:p>
    <w:p>
      <w:pPr>
        <w:pStyle w:val="BodyText"/>
      </w:pPr>
      <w:r>
        <w:t xml:space="preserve">Pogge, T. (2002). World poverty and human rights: Cosmopolitan</w:t>
      </w:r>
      <w:r>
        <w:t xml:space="preserve"> </w:t>
      </w:r>
      <w:r>
        <w:t xml:space="preserve">responsibilities and reforms. Polity Press.</w:t>
      </w:r>
    </w:p>
    <w:p>
      <w:pPr>
        <w:pStyle w:val="BodyText"/>
      </w:pPr>
      <w:r>
        <w:t xml:space="preserve">Rawls, J. (1999). A theory of justice (Rev. ed.). Belknap Press of</w:t>
      </w:r>
      <w:r>
        <w:t xml:space="preserve"> </w:t>
      </w:r>
      <w:r>
        <w:t xml:space="preserve">Harvard University Press. https://doi.org/10.4159/9780674042582</w:t>
      </w:r>
      <w:r>
        <w:t xml:space="preserve"> </w:t>
      </w:r>
      <w:r>
        <w:t xml:space="preserve">(Original work published 1971.)</w:t>
      </w:r>
    </w:p>
    <w:p>
      <w:pPr>
        <w:pStyle w:val="BodyText"/>
      </w:pPr>
      <w:r>
        <w:t xml:space="preserve">Rawls, J. (2001). Justice as fairness: A restatement. Harvard</w:t>
      </w:r>
      <w:r>
        <w:t xml:space="preserve"> </w:t>
      </w:r>
      <w:r>
        <w:t xml:space="preserve">University Press.</w:t>
      </w:r>
    </w:p>
    <w:p>
      <w:pPr>
        <w:pStyle w:val="BodyText"/>
      </w:pPr>
      <w:r>
        <w:t xml:space="preserve">Reijers, W., &amp; Coeckelbergh, M. (2018). The blockchain as a narrative</w:t>
      </w:r>
      <w:r>
        <w:t xml:space="preserve"> </w:t>
      </w:r>
      <w:r>
        <w:t xml:space="preserve">technology: Investigating the social ontology and normative</w:t>
      </w:r>
      <w:r>
        <w:t xml:space="preserve"> </w:t>
      </w:r>
      <w:r>
        <w:t xml:space="preserve">configurations of cryptocurrencies. Philosophy &amp; Technology, 31(1),</w:t>
      </w:r>
      <w:r>
        <w:t xml:space="preserve"> </w:t>
      </w:r>
      <w:r>
        <w:t xml:space="preserve">103–130. https://doi.org/10.1007/s13347-016-0239-x</w:t>
      </w:r>
    </w:p>
    <w:p>
      <w:pPr>
        <w:pStyle w:val="BodyText"/>
      </w:pPr>
      <w:r>
        <w:t xml:space="preserve">Rikken, O., Janssen, M., &amp; Kwee, Z. (2023). Governance impacts of</w:t>
      </w:r>
      <w:r>
        <w:t xml:space="preserve"> </w:t>
      </w:r>
      <w:r>
        <w:t xml:space="preserve">blockchain-based decentralized autonomous organizations: An empirical</w:t>
      </w:r>
      <w:r>
        <w:t xml:space="preserve"> </w:t>
      </w:r>
      <w:r>
        <w:t xml:space="preserve">analysis. Policy Design and Practice, 6(4), 465–487.</w:t>
      </w:r>
      <w:r>
        <w:t xml:space="preserve"> </w:t>
      </w:r>
      <w:r>
        <w:t xml:space="preserve">https://doi.org/10.1080/25741292.2023.2270220</w:t>
      </w:r>
    </w:p>
    <w:p>
      <w:pPr>
        <w:pStyle w:val="BodyText"/>
      </w:pPr>
      <w:r>
        <w:t xml:space="preserve">Roughgarden, T. (2020). Transaction fee mechanism design for the</w:t>
      </w:r>
      <w:r>
        <w:t xml:space="preserve"> </w:t>
      </w:r>
      <w:r>
        <w:t xml:space="preserve">Ethereum blockchain: An economic analysis of EIP-1559. arXiv:2012.00854.</w:t>
      </w:r>
      <w:r>
        <w:t xml:space="preserve"> </w:t>
      </w:r>
      <w:r>
        <w:t xml:space="preserve">https://arxiv.org/abs/2012.00854</w:t>
      </w:r>
    </w:p>
    <w:p>
      <w:pPr>
        <w:pStyle w:val="BodyText"/>
      </w:pPr>
      <w:r>
        <w:t xml:space="preserve">Roughgarden, T. (2021). Transaction fee mechanism design. ACM SIGecom</w:t>
      </w:r>
      <w:r>
        <w:t xml:space="preserve"> </w:t>
      </w:r>
      <w:r>
        <w:t xml:space="preserve">Exchanges, 19(1), 52–55. https://doi.org/10.1145/3476436.3476445</w:t>
      </w:r>
    </w:p>
    <w:p>
      <w:pPr>
        <w:pStyle w:val="BodyText"/>
      </w:pPr>
      <w:r>
        <w:t xml:space="preserve">Sai, A. R., Buckley, J., &amp; Le Gear, A. (2021). Characterizing wealth</w:t>
      </w:r>
      <w:r>
        <w:t xml:space="preserve"> </w:t>
      </w:r>
      <w:r>
        <w:t xml:space="preserve">inequality in cryptocurrencies. Frontiers in Blockchain, 4, 730122.</w:t>
      </w:r>
      <w:r>
        <w:t xml:space="preserve"> </w:t>
      </w:r>
      <w:r>
        <w:t xml:space="preserve">https://doi.org/10.3389/fbloc.2021.730122</w:t>
      </w:r>
    </w:p>
    <w:p>
      <w:pPr>
        <w:pStyle w:val="BodyText"/>
      </w:pPr>
      <w:r>
        <w:t xml:space="preserve">Sawinyh, N. (2025, October 29). Points-based distribution programs in</w:t>
      </w:r>
      <w:r>
        <w:t xml:space="preserve"> </w:t>
      </w:r>
      <w:r>
        <w:t xml:space="preserve">Web3: A comprehensive guide. DeFiPrime.</w:t>
      </w:r>
      <w:r>
        <w:t xml:space="preserve"> </w:t>
      </w:r>
      <w:r>
        <w:t xml:space="preserve">https://defiprime.com/points-based-token-distribution-programs-web3</w:t>
      </w:r>
    </w:p>
    <w:p>
      <w:pPr>
        <w:pStyle w:val="BodyText"/>
      </w:pPr>
      <w:r>
        <w:t xml:space="preserve">Schär, F. (2021). Decentralized finance: On blockchain- and smart</w:t>
      </w:r>
      <w:r>
        <w:t xml:space="preserve"> </w:t>
      </w:r>
      <w:r>
        <w:t xml:space="preserve">contract-based financial markets. Federal Reserve Bank of St. Louis</w:t>
      </w:r>
      <w:r>
        <w:t xml:space="preserve"> </w:t>
      </w:r>
      <w:r>
        <w:t xml:space="preserve">Review, 103(2), 153–174. https://doi.org/10.20955/r.103.153-74</w:t>
      </w:r>
    </w:p>
    <w:p>
      <w:pPr>
        <w:pStyle w:val="BodyText"/>
      </w:pPr>
      <w:r>
        <w:t xml:space="preserve">Scholte, J. A. (2026). Concluding reflections: Polycentricity and</w:t>
      </w:r>
      <w:r>
        <w:t xml:space="preserve"> </w:t>
      </w:r>
      <w:r>
        <w:t xml:space="preserve">legitimacy in digital governance. Information, Communication &amp; Society.</w:t>
      </w:r>
      <w:r>
        <w:t xml:space="preserve"> </w:t>
      </w:r>
      <w:r>
        <w:t xml:space="preserve">https://doi.org/10.1080/1369118X.2026.2624711</w:t>
      </w:r>
    </w:p>
    <w:p>
      <w:pPr>
        <w:pStyle w:val="BodyText"/>
      </w:pPr>
      <w:r>
        <w:t xml:space="preserve">Schneider, N. (2019). Governable spaces: Democratic design for online</w:t>
      </w:r>
      <w:r>
        <w:t xml:space="preserve"> </w:t>
      </w:r>
      <w:r>
        <w:t xml:space="preserve">life. University of California Press (forthcoming 2024 publication;</w:t>
      </w:r>
      <w:r>
        <w:t xml:space="preserve"> </w:t>
      </w:r>
      <w:r>
        <w:t xml:space="preserve">preprint 2019).</w:t>
      </w:r>
    </w:p>
    <w:p>
      <w:pPr>
        <w:pStyle w:val="BodyText"/>
      </w:pPr>
      <w:r>
        <w:t xml:space="preserve">Shapley, L. S. (1953). A value for n-person games. In H. W. Kuhn &amp; A. W.</w:t>
      </w:r>
      <w:r>
        <w:t xml:space="preserve"> </w:t>
      </w:r>
      <w:r>
        <w:t xml:space="preserve">Tucker (Eds.), Contributions to the theory of games, Volume II (Annals</w:t>
      </w:r>
      <w:r>
        <w:t xml:space="preserve"> </w:t>
      </w:r>
      <w:r>
        <w:t xml:space="preserve">of Mathematics Studies 28, pp. 307–317). Princeton University Press.</w:t>
      </w:r>
    </w:p>
    <w:p>
      <w:pPr>
        <w:pStyle w:val="BodyText"/>
      </w:pPr>
      <w:r>
        <w:t xml:space="preserve">Sen, A. (1999). Development as freedom. Alfred A. Knopf.</w:t>
      </w:r>
    </w:p>
    <w:p>
      <w:pPr>
        <w:pStyle w:val="BodyText"/>
      </w:pPr>
      <w:r>
        <w:t xml:space="preserve">Shapley, L. S., &amp; Shubik, M. (1954). A method for evaluating the</w:t>
      </w:r>
      <w:r>
        <w:t xml:space="preserve"> </w:t>
      </w:r>
      <w:r>
        <w:t xml:space="preserve">distribution of power in a committee system. American Political Science</w:t>
      </w:r>
      <w:r>
        <w:t xml:space="preserve"> </w:t>
      </w:r>
      <w:r>
        <w:t xml:space="preserve">Review, 48(3), 787-792. https://doi.org/10.2307/1951053</w:t>
      </w:r>
    </w:p>
    <w:p>
      <w:pPr>
        <w:pStyle w:val="BodyText"/>
      </w:pPr>
      <w:r>
        <w:t xml:space="preserve">Sharma, T., Potter, Y., Pongmala, K., Wang, H., Miller, A., Song, D., &amp;</w:t>
      </w:r>
      <w:r>
        <w:t xml:space="preserve"> </w:t>
      </w:r>
      <w:r>
        <w:t xml:space="preserve">Wang, Y. (2026). Future of algorithmic organization: Large-scale</w:t>
      </w:r>
      <w:r>
        <w:t xml:space="preserve"> </w:t>
      </w:r>
      <w:r>
        <w:t xml:space="preserve">analysis of decentralized autonomous organizations (DAOs). ACM</w:t>
      </w:r>
      <w:r>
        <w:t xml:space="preserve"> </w:t>
      </w:r>
      <w:r>
        <w:t xml:space="preserve">Transactions on the Web. https://doi.org/10.1145/3796547</w:t>
      </w:r>
    </w:p>
    <w:p>
      <w:pPr>
        <w:pStyle w:val="BodyText"/>
      </w:pPr>
      <w:r>
        <w:t xml:space="preserve">Skinner, Q. (1998). Liberty before liberalism. Cambridge University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Theil, H. (1967). Economics and information theory. North-Holland.</w:t>
      </w:r>
    </w:p>
    <w:p>
      <w:pPr>
        <w:pStyle w:val="BodyText"/>
      </w:pPr>
      <w:r>
        <w:t xml:space="preserve">Tirole, J. (2001). Corporate governance. Econometrica, 69(1), 1-35.</w:t>
      </w:r>
      <w:r>
        <w:t xml:space="preserve"> </w:t>
      </w:r>
      <w:r>
        <w:t xml:space="preserve">https://doi.org/10.1111/1468-0262.00177</w:t>
      </w:r>
    </w:p>
    <w:p>
      <w:pPr>
        <w:pStyle w:val="BodyText"/>
      </w:pPr>
      <w:r>
        <w:t xml:space="preserve">Tchuente, G. (2025). Too big to monitor? Network scale and the breakdown</w:t>
      </w:r>
      <w:r>
        <w:t xml:space="preserve"> </w:t>
      </w:r>
      <w:r>
        <w:t xml:space="preserve">of decentralized monitoring. arXiv:2511.23320.</w:t>
      </w:r>
      <w:r>
        <w:t xml:space="preserve"> </w:t>
      </w:r>
      <w:r>
        <w:t xml:space="preserve">https://doi.org/10.48550/arXiv.2511.23320</w:t>
      </w:r>
    </w:p>
    <w:p>
      <w:pPr>
        <w:pStyle w:val="BodyText"/>
      </w:pPr>
      <w:r>
        <w:t xml:space="preserve">Van Vulpen, L., &amp; Jansen, S. (2023). Decentralized autonomous</w:t>
      </w:r>
      <w:r>
        <w:t xml:space="preserve"> </w:t>
      </w:r>
      <w:r>
        <w:t xml:space="preserve">organization design for the commons and the common good. Frontiers in</w:t>
      </w:r>
      <w:r>
        <w:t xml:space="preserve"> </w:t>
      </w:r>
      <w:r>
        <w:t xml:space="preserve">Blockchain, 6, 1257313. https://doi.org/10.3389/fbloc.2023.1257313</w:t>
      </w:r>
    </w:p>
    <w:p>
      <w:pPr>
        <w:pStyle w:val="BodyText"/>
      </w:pPr>
      <w:r>
        <w:t xml:space="preserve">Voshmgir, S. (2020). Token economy: How the web3 reinvents the internet</w:t>
      </w:r>
      <w:r>
        <w:t xml:space="preserve"> </w:t>
      </w:r>
      <w:r>
        <w:t xml:space="preserve">(2nd ed.). Token Kitchen.</w:t>
      </w:r>
    </w:p>
    <w:p>
      <w:pPr>
        <w:pStyle w:val="BodyText"/>
      </w:pPr>
      <w:r>
        <w:t xml:space="preserve">Weidener, L., Anwar, A., Richter, T., Pournader, P., &amp; Kartal, A. B.</w:t>
      </w:r>
      <w:r>
        <w:t xml:space="preserve"> </w:t>
      </w:r>
      <w:r>
        <w:t xml:space="preserve">(2025). Delegated voting in decentralized autonomous organizations: A</w:t>
      </w:r>
      <w:r>
        <w:t xml:space="preserve"> </w:t>
      </w:r>
      <w:r>
        <w:t xml:space="preserve">scoping review. Frontiers in Blockchain, 8, 1533405.</w:t>
      </w:r>
      <w:r>
        <w:t xml:space="preserve"> </w:t>
      </w:r>
      <w:r>
        <w:t xml:space="preserve">https://doi.org/10.3389/fbloc.2025.1533405</w:t>
      </w:r>
    </w:p>
    <w:p>
      <w:pPr>
        <w:pStyle w:val="BodyText"/>
      </w:pPr>
      <w:r>
        <w:t xml:space="preserve">Wasserstein, R. L., &amp; Lazar, N. A. (2016). The ASA statement on</w:t>
      </w:r>
      <w:r>
        <w:t xml:space="preserve"> </w:t>
      </w:r>
      <w:r>
        <w:t xml:space="preserve">p-values: Context, process, and purpose. The American Statistician,</w:t>
      </w:r>
      <w:r>
        <w:t xml:space="preserve"> </w:t>
      </w:r>
      <w:r>
        <w:t xml:space="preserve">70(2), 129-133. https://doi.org/10.1080/00031305.2016.1154108</w:t>
      </w:r>
    </w:p>
    <w:p>
      <w:pPr>
        <w:pStyle w:val="BodyText"/>
      </w:pPr>
      <w:r>
        <w:t xml:space="preserve">Werbach, K. (2018). The blockchain and the new architecture of trust.</w:t>
      </w:r>
      <w:r>
        <w:t xml:space="preserve"> </w:t>
      </w:r>
      <w:r>
        <w:t xml:space="preserve">MIT Press. https://doi.org/10.7551/mitpress/11449.001.0001</w:t>
      </w:r>
    </w:p>
    <w:p>
      <w:pPr>
        <w:pStyle w:val="BodyText"/>
      </w:pPr>
      <w:r>
        <w:t xml:space="preserve">Werner, S. M., Perez, D., Gudgeon, L., Klages-Mundt, A., Harz, D., &amp;</w:t>
      </w:r>
      <w:r>
        <w:t xml:space="preserve"> </w:t>
      </w:r>
      <w:r>
        <w:t xml:space="preserve">Knottenbelt, W. J. (2022). SoK: Decentralized finance (DeFi). In</w:t>
      </w:r>
      <w:r>
        <w:t xml:space="preserve"> </w:t>
      </w:r>
      <w:r>
        <w:t xml:space="preserve">Proceedings of the 4th ACM Conference on Advances in Financial</w:t>
      </w:r>
      <w:r>
        <w:t xml:space="preserve"> </w:t>
      </w:r>
      <w:r>
        <w:t xml:space="preserve">Technologies (pp. 30–46). ACM. https://doi.org/10.1145/3558535.3559780</w:t>
      </w:r>
    </w:p>
    <w:p>
      <w:pPr>
        <w:pStyle w:val="BodyText"/>
      </w:pPr>
      <w:r>
        <w:t xml:space="preserve">Williamson, O. E. (1999). Public and private bureaucracies: A</w:t>
      </w:r>
      <w:r>
        <w:t xml:space="preserve"> </w:t>
      </w:r>
      <w:r>
        <w:t xml:space="preserve">transaction cost economics perspective. Journal of Law, Economics, and</w:t>
      </w:r>
      <w:r>
        <w:t xml:space="preserve"> </w:t>
      </w:r>
      <w:r>
        <w:t xml:space="preserve">Organization, 15(1), 306–342.</w:t>
      </w:r>
    </w:p>
    <w:p>
      <w:pPr>
        <w:pStyle w:val="BodyText"/>
      </w:pPr>
      <w:r>
        <w:t xml:space="preserve">Yanaka, H., &amp; Heeks, R. (2023). Analysing the development impact of the</w:t>
      </w:r>
      <w:r>
        <w:t xml:space="preserve"> </w:t>
      </w:r>
      <w:r>
        <w:t xml:space="preserve">gig economy using Sen’s capability approach (Digital Development Working</w:t>
      </w:r>
      <w:r>
        <w:t xml:space="preserve"> </w:t>
      </w:r>
      <w:r>
        <w:t xml:space="preserve">Paper No. 101). University of Manchester.</w:t>
      </w:r>
      <w:r>
        <w:t xml:space="preserve"> </w:t>
      </w:r>
      <w:r>
        <w:t xml:space="preserve">https://hummedia.manchester.ac.uk/institutes/gdi/publications/workingpapers/di/dd_wp101.pdf</w:t>
      </w:r>
    </w:p>
    <w:p>
      <w:pPr>
        <w:pStyle w:val="BodyText"/>
      </w:pPr>
      <w:r>
        <w:t xml:space="preserve">Zukowski, Z. (2026a). Who burns the tokens? Fiscal sustainability and</w:t>
      </w:r>
      <w:r>
        <w:t xml:space="preserve"> </w:t>
      </w:r>
      <w:r>
        <w:t xml:space="preserve">demand concentration in GeoDePIN networks. SSRN Working Paper.</w:t>
      </w:r>
      <w:r>
        <w:t xml:space="preserve"> </w:t>
      </w:r>
      <w:r>
        <w:t xml:space="preserve">https://papers.ssrn.com/sol3/papers.cfm?abstract_id=6483619</w:t>
      </w:r>
    </w:p>
    <w:p>
      <w:pPr>
        <w:pStyle w:val="BodyText"/>
      </w:pPr>
      <w:r>
        <w:t xml:space="preserve">Zukowski, Z. (2026c). Routing the Dollar: Gateway infrastructure,</w:t>
      </w:r>
      <w:r>
        <w:t xml:space="preserve"> </w:t>
      </w:r>
      <w:r>
        <w:t xml:space="preserve">monetary policy transmission, and the Dollar’s international functions</w:t>
      </w:r>
      <w:r>
        <w:t xml:space="preserve"> </w:t>
      </w:r>
      <w:r>
        <w:t xml:space="preserve">in digital markets. SSRN Working Paper No. 6267698.</w:t>
      </w:r>
      <w:r>
        <w:t xml:space="preserve"> </w:t>
      </w:r>
      <w:r>
        <w:t xml:space="preserve">https://papers.ssrn.com/sol3/papers.cfm?abstract_id=6267698</w:t>
      </w:r>
    </w:p>
    <w:p>
      <w:pPr>
        <w:pStyle w:val="BodyText"/>
      </w:pPr>
      <w:r>
        <w:t xml:space="preserve">Zukowski, Z. (2026d). Seven Dollars: Legal Structure, Operator Risk, and</w:t>
      </w:r>
      <w:r>
        <w:t xml:space="preserve"> </w:t>
      </w:r>
      <w:r>
        <w:t xml:space="preserve">Diligence Divergence Across Dollar-Denominated Digital Products. SSRN</w:t>
      </w:r>
      <w:r>
        <w:t xml:space="preserve"> </w:t>
      </w:r>
      <w:r>
        <w:t xml:space="preserve">Working Paper [forthcoming].</w:t>
      </w:r>
    </w:p>
    <w:p>
      <w:pPr>
        <w:pStyle w:val="BodyText"/>
      </w:pPr>
      <w:r>
        <w:t xml:space="preserve">Zukowski, Z. (2026b). Adaptive Tokenomics: A Systems Engineering</w:t>
      </w:r>
      <w:r>
        <w:t xml:space="preserve"> </w:t>
      </w:r>
      <w:r>
        <w:t xml:space="preserve">Approach to Programmable Incentive Design. SSRN Working Paper</w:t>
      </w:r>
      <w:r>
        <w:t xml:space="preserve"> </w:t>
      </w:r>
      <w:r>
        <w:t xml:space="preserve">No. 6364158. https://papers.ssrn.com/sol3/papers.cfm?abstract_id=6364158</w:t>
      </w:r>
    </w:p>
    <w:bookmarkEnd w:id="12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mbria" w:hAnsi="Cambria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9" Target="media/image1.png" Type="http://schemas.openxmlformats.org/officeDocument/2006/relationships/image" /><Relationship Id="rId10" Target="media/image2.png" Type="http://schemas.openxmlformats.org/officeDocument/2006/relationships/image" /><Relationship Id="rId11" Target="media/image3.png" Type="http://schemas.openxmlformats.org/officeDocument/2006/relationships/image" /><Relationship Id="rId12" Target="media/exhibit_initial_allocation.png" Type="http://schemas.openxmlformats.org/officeDocument/2006/relationships/image" /><Relationship Id="rId13" Target="media/exhibit_delegation_adjusted.png" Type="http://schemas.openxmlformats.org/officeDocument/2006/relationships/image" /><Relationship Id="rId14" Target="media/exhibit_concentration_participation.png" Type="http://schemas.openxmlformats.org/officeDocument/2006/relationships/image" /><Relationship Id="rId15" Target="media/exhibit_concentration_participation.png" Type="http://schemas.openxmlformats.org/officeDocument/2006/relationships/image" /><Relationship Id="rId16" Target="media/exhibit_sector_comparison.png" Type="http://schemas.openxmlformats.org/officeDocument/2006/relationships/image" /><Relationship Id="rId17" Target="media/exhibit_subsidy_vs_hhi.png" Type="http://schemas.openxmlformats.org/officeDocument/2006/relationships/image" /><Relationship Type="http://schemas.openxmlformats.org/officeDocument/2006/relationships/image" Id="rId104" Target="media/rId104.png" /><Relationship Type="http://schemas.openxmlformats.org/officeDocument/2006/relationships/image" Id="rId92" Target="media/rId92.png" /><Relationship Type="http://schemas.openxmlformats.org/officeDocument/2006/relationships/image" Id="rId88" Target="media/rId88.png" /><Relationship Type="http://schemas.openxmlformats.org/officeDocument/2006/relationships/image" Id="rId84" Target="media/rId84.png" /><Relationship Type="http://schemas.openxmlformats.org/officeDocument/2006/relationships/image" Id="rId101" Target="media/rId101.png" /><Relationship Type="http://schemas.openxmlformats.org/officeDocument/2006/relationships/image" Id="rId64" Target="media/rId64.png" /><Relationship Type="http://schemas.openxmlformats.org/officeDocument/2006/relationships/image" Id="rId57" Target="media/rId57.png" /><Relationship Type="http://schemas.openxmlformats.org/officeDocument/2006/relationships/image" Id="rId51" Target="media/rId51.png" /><Relationship Type="http://schemas.openxmlformats.org/officeDocument/2006/relationships/hyperlink" Id="rId69" Target="https://github.com/Research-Publications-and-Data/Tokenomics-As-Institutional_Design/blob/main/b2/paper/supplements/S1_metric_definitions.md" TargetMode="External" /><Relationship Type="http://schemas.openxmlformats.org/officeDocument/2006/relationships/hyperlink" Id="rId71" Target="https://github.com/Research-Publications-and-Data/Tokenomics-As-Institutional_Design/blob/main/b2/paper/supplements/S2_scoring_rubric.md" TargetMode="External" /><Relationship Type="http://schemas.openxmlformats.org/officeDocument/2006/relationships/hyperlink" Id="rId72" Target="https://github.com/Research-Publications-and-Data/Tokenomics-As-Institutional_Design/blob/main/b2/paper/supplements/S3_scoring_tables.md" TargetMode="External" /><Relationship Type="http://schemas.openxmlformats.org/officeDocument/2006/relationships/hyperlink" Id="rId120" Target="https://github.com/Research-Publications-and-Data/Tokenomics-As-Institutional_Design/blob/main/b2/paper/supplements/S4_events_table.md" TargetMode="External" /><Relationship Type="http://schemas.openxmlformats.org/officeDocument/2006/relationships/hyperlink" Id="rId75" Target="https://github.com/Research-Publications-and-Data/Tokenomics-As-Institutional_Design/blob/main/b2/paper/supplements/S5_pipeline_specification.md" TargetMode="External" /><Relationship Type="http://schemas.openxmlformats.org/officeDocument/2006/relationships/hyperlink" Id="rId63" Target="https://github.com/Research-Publications-and-Data/Tokenomics-As-Institutional_Design/blob/main/b2/paper/supplements/S6_revenue_standardization.md" TargetMode="External" /><Relationship Type="http://schemas.openxmlformats.org/officeDocument/2006/relationships/hyperlink" Id="rId100" Target="https://github.com/Research-Publications-and-Data/Tokenomics-As-Institutional_Design/blob/main/b2/paper/supplements/S8_tt_expansion.md" TargetMode="External" /><Relationship Type="http://schemas.openxmlformats.org/officeDocument/2006/relationships/hyperlink" Id="rId117" Target="https://github.com/Research-Publications-and-Data/Tokenomics-As-Institutional_Design/tree/main/b2/paper/supplements/S7_hhi_pan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github.com/Research-Publications-and-Data/Tokenomics-As-Institutional_Design/blob/main/b2/paper/supplements/S1_metric_definitions.md" TargetMode="External" /><Relationship Type="http://schemas.openxmlformats.org/officeDocument/2006/relationships/hyperlink" Id="rId71" Target="https://github.com/Research-Publications-and-Data/Tokenomics-As-Institutional_Design/blob/main/b2/paper/supplements/S2_scoring_rubric.md" TargetMode="External" /><Relationship Type="http://schemas.openxmlformats.org/officeDocument/2006/relationships/hyperlink" Id="rId72" Target="https://github.com/Research-Publications-and-Data/Tokenomics-As-Institutional_Design/blob/main/b2/paper/supplements/S3_scoring_tables.md" TargetMode="External" /><Relationship Type="http://schemas.openxmlformats.org/officeDocument/2006/relationships/hyperlink" Id="rId120" Target="https://github.com/Research-Publications-and-Data/Tokenomics-As-Institutional_Design/blob/main/b2/paper/supplements/S4_events_table.md" TargetMode="External" /><Relationship Type="http://schemas.openxmlformats.org/officeDocument/2006/relationships/hyperlink" Id="rId75" Target="https://github.com/Research-Publications-and-Data/Tokenomics-As-Institutional_Design/blob/main/b2/paper/supplements/S5_pipeline_specification.md" TargetMode="External" /><Relationship Type="http://schemas.openxmlformats.org/officeDocument/2006/relationships/hyperlink" Id="rId63" Target="https://github.com/Research-Publications-and-Data/Tokenomics-As-Institutional_Design/blob/main/b2/paper/supplements/S6_revenue_standardization.md" TargetMode="External" /><Relationship Type="http://schemas.openxmlformats.org/officeDocument/2006/relationships/hyperlink" Id="rId100" Target="https://github.com/Research-Publications-and-Data/Tokenomics-As-Institutional_Design/blob/main/b2/paper/supplements/S8_tt_expansion.md" TargetMode="External" /><Relationship Type="http://schemas.openxmlformats.org/officeDocument/2006/relationships/hyperlink" Id="rId117" Target="https://github.com/Research-Publications-and-Data/Tokenomics-As-Institutional_Design/tree/main/b2/paper/supplements/S7_hhi_pan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2026-05-19T06:03:00Z</dcterms:created>
  <dcterms:modified xsi:type="dcterms:W3CDTF">2026-05-19T06:03:00Z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