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r>
        <w:t>Initial token allocation design does not predict governance concentration. A 40-protocol cross-section spanning Decentralized Physical Infrastructure Networks (DePIN), DeFi, infrastructure, and social token categories documents that the percentage of tokens allocated to team and investors at launch is uninformative about post-distribution governance concentration (Pearson r = 0.19, p = 0.25, N = 37): protocols with generous community distributions exhibit concentration patterns similar to those with heavy insider allocations. Hyperliquid, the only protocol in the sample with zero venture capital and a 31% community airdrop, shows the lowest DeFi-subsample HHI (0.005), but the broader null holds across allocation designs. Evidence is consistent with post-distribution market dynamics shaping concentration more than initial structural design.</w:t>
      </w:r>
    </w:p>
    <w:p>
      <w:r>
        <w:t>Four supporting findings sharpen the picture. First, protocols with more insider wallets in their top-holder sets exhibit higher concentration among non-insider holders (Spearman rho = 0.54, p = 0.001, N = 34), indicating that insider-heavy protocols develop concentrated governance ecosystems, not merely concentrated insider positions. Second, sector membership predicts concentration: DePIN protocols are more concentrated than DeFi (Mann-Whitney p = 0.014, Cohen’s d = 1.03), and the effect survives multivariate adjustment for protocol age, valuation, and insider allocation (Table 6, p &lt; 0.05 in Models 1 and 2; borderline at p = 0.050 in Model 3; adjusted R² 0.14 to 0.17). Third, on-chain subsidy intensity correlates with concentration in levels (r = 0.58, p = 0.008, N = 20) but entirely through Livepeer (88.5x subsidy): excluding Livepeer, the correlation is not significant (r = 0.12, p = 0.63). Fourth, delegation amplifies concentration unevenly: voting-power HHI reaches 3 to 6 times holding HHI in DePIN, while two infrastructure protocols diverge (Optimism 0.79x, Arbitrum 4.3x), consistent with institutional design at the operator and router level shaping governance outcomes more than sector classification alone.</w:t>
      </w:r>
    </w:p>
    <w:p>
      <w:r>
        <w:t>These findings rest on a measurement distinction often conflated in the literature. Token inequality (Gini, dispersion across all holders) and governance concentration (HHI, sum of squared shares across top holders) capture distinct properties of the same holder set. Inequality is severe in every protocol (Gini 0.73 to 0.98), while concentration varies across two orders of magnitude (HHI 0.005 to 0.199); their moderate correlation (r = 0.54) shows that inequality metrics cannot substitute for direct concentration measurement.</w:t>
      </w:r>
    </w:p>
    <w:p>
      <w:pPr>
        <w:spacing w:before="240"/>
      </w:pPr>
      <w:r>
        <w:rPr>
          <w:b/>
        </w:rPr>
        <w:t xml:space="preserve">JEL Codes: </w:t>
      </w:r>
      <w:r>
        <w:rPr/>
        <w:t>C21, D02, D47, D63, D71, D72, G34, L22, P48</w:t>
      </w:r>
    </w:p>
    <w:p>
      <w:pPr>
        <w:spacing w:before="240"/>
      </w:pPr>
      <w:r>
        <w:rPr>
          <w:b/>
        </w:rPr>
        <w:t>Keywords: tokenomics, institutional design, governance concentration, DAO governance, DePIN, delegation amplification, Herfindahl-Hirschman Index, political philosophy of institutions,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0.44, p = 0.005),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0.19, p = 0.25)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pPr>
      <w:r>
        <w:t xml:space="preserve">2.4.1 Cooperatives as the Nearest Institutional Ancestor</w:t>
      </w:r>
    </w:p>
    <w:p>
      <w:pPr>
        <w:pStyle w:val="Normal"/>
      </w:pPr>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p>
    <w:p>
      <w:pPr>
        <w:pStyle w:val="Normal"/>
      </w:pPr>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p>
    <w:p>
      <w:pPr>
        <w:pStyle w:val="Normal"/>
      </w:pPr>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 Reading the figure: the arrows trace the design pipeline from philosophical commitments through measurable outcomes; each lens in the rubric is a constraint on permissible designs at the corresponding stage.</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 Reading the figure: each axis represents a separate philosophical lens; protocols satisfying multiple lenses occupy upper-right regions, while concentration on a single lens leaves the others under-protected.</w:t>
      </w:r>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pPr>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 Reading the figure: bars show pre-exclusion HHI, with the post-exclusion (governance-relevant) HHI overlay; the gap between the two indicates how much of measured concentration was protocol-controlled rather than governance-relevant.</w:t>
      </w:r>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0.45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pPr>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§4.8 limitations.</w:t>
      </w:r>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pPr>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r>
              <w:rPr>
                <w:sz w:val="18"/>
              </w:rPr>
              <w:t>34.9%</w:t>
            </w:r>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r>
              <w:rPr>
                <w:sz w:val="18"/>
              </w:rPr>
              <w:t>0.010</w:t>
            </w:r>
          </w:p>
        </w:tc>
        <w:tc>
          <w:tcPr>
            <w:tcW w:type="dxa" w:w="960"/>
          </w:tcPr>
          <w:p>
            <w:r>
              <w:rPr>
                <w:sz w:val="18"/>
              </w:rPr>
              <w:t>0.89</w:t>
            </w:r>
          </w:p>
        </w:tc>
        <w:tc>
          <w:tcPr>
            <w:tcW w:type="dxa" w:w="960"/>
          </w:tcPr>
          <w:p>
            <w:r>
              <w:rPr>
                <w:sz w:val="18"/>
              </w:rPr>
              <w:t>4.2%</w:t>
            </w:r>
          </w:p>
        </w:tc>
        <w:tc>
          <w:tcPr>
            <w:tcW w:type="dxa" w:w="1080"/>
          </w:tcPr>
          <w:p>
            <w:r>
              <w:rPr>
                <w:sz w:val="18"/>
              </w:rPr>
              <w:t>22.9%</w:t>
            </w:r>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r>
              <w:rPr>
                <w:sz w:val="18"/>
              </w:rPr>
              <w:t>0.017</w:t>
            </w:r>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r>
              <w:rPr>
                <w:sz w:val="18"/>
              </w:rPr>
              <w:t>22.4%</w:t>
            </w:r>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r>
              <w:rPr>
                <w:sz w:val="18"/>
              </w:rPr>
              <w:t>40.2%</w:t>
            </w:r>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r>
              <w:rPr>
                <w:sz w:val="18"/>
              </w:rPr>
              <w:t>29.6%</w:t>
            </w:r>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pPr>
      <w:r>
        <w:t xml:space="preserve">Table 4 notes:</w:t>
      </w:r>
    </w:p>
    <w:p>
      <w:pPr>
        <w:pStyle w:val="Normal"/>
      </w:pPr>
      <w:r>
        <w:t xml:space="preserve">† = futarchy governance (MetaDAO).</w:t>
      </w:r>
    </w:p>
    <w:p>
      <w:pPr>
        <w:pStyle w:val="Normal"/>
      </w:pPr>
      <w:r>
        <w:t xml:space="preserve">‡ (in protocol name column) = survivorship-bias control (TEC, Gitcoin).</w:t>
      </w:r>
    </w:p>
    <w:p>
      <w:pPr>
        <w:pStyle w:val="Normal"/>
      </w:pPr>
      <w:r>
        <w:t xml:space="preserve">Methodology notes: HHI for Curve reflects raw CRV holdings; veCRV-weighted concentration is approximately 0.171 due to lock-duration multipliers. HHI for Uniswap reflects post-burn-rule exclusion of 0x000...dead (102.46M UNI, 11.27% of supply). Top-1% and Top-10% columns for AAVE, UNI, ARB, GRT, and OP report post-exclusion shares, applying the same protocol-controlled-address exclusion methodology used for HHI computation.</w:t>
      </w:r>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 Reading the figure: box plots show the concentration distribution within each sector; the DePIN-DeFi gap is visible in median position despite overlap in tails.</w:t>
      </w:r>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pPr>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p>
    <w:p>
      <w:r>
        <w:rPr>
          <w:b w:val="0"/>
        </w:rPr>
        <w:t>Initial token allocation design does not predict governance concentration. The percentage of total supply allocated to team and investors at launch shows no significant association with post-distribution HHI (Pearson r = 0.19, p = 0.25,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r>
              <w:rPr>
                <w:sz w:val="18"/>
              </w:rPr>
              <w:t>0.20</w:t>
            </w:r>
          </w:p>
        </w:tc>
        <w:tc>
          <w:tcPr>
            <w:tcW w:type="dxa" w:w="1000"/>
          </w:tcPr>
          <w:p>
            <w:r>
              <w:rPr>
                <w:sz w:val="18"/>
              </w:rPr>
              <w:t>0.224</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r>
              <w:rPr>
                <w:sz w:val="18"/>
              </w:rPr>
              <w:t>0.09</w:t>
            </w:r>
          </w:p>
        </w:tc>
        <w:tc>
          <w:tcPr>
            <w:tcW w:type="dxa" w:w="1000"/>
          </w:tcPr>
          <w:p>
            <w:r>
              <w:rPr>
                <w:sz w:val="18"/>
              </w:rPr>
              <w:t>0.596</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r>
              <w:rPr>
                <w:sz w:val="18"/>
              </w:rPr>
              <w:t>0.01</w:t>
            </w:r>
          </w:p>
        </w:tc>
        <w:tc>
          <w:tcPr>
            <w:tcW w:type="dxa" w:w="1000"/>
          </w:tcPr>
          <w:p>
            <w:r>
              <w:rPr>
                <w:sz w:val="18"/>
              </w:rPr>
              <w:t>0.957</w:t>
            </w:r>
          </w:p>
        </w:tc>
        <w:tc>
          <w:tcPr>
            <w:tcW w:type="dxa" w:w="540"/>
          </w:tcPr>
          <w:p>
            <w:r>
              <w:rPr>
                <w:sz w:val="18"/>
              </w:rPr>
              <w:t>40</w:t>
            </w:r>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0.58</w:t>
            </w:r>
          </w:p>
        </w:tc>
        <w:tc>
          <w:tcPr>
            <w:tcW w:type="dxa" w:w="1000"/>
          </w:tcPr>
          <w:p>
            <w:r>
              <w:rPr>
                <w:sz w:val="18"/>
              </w:rPr>
              <w:t>0.008</w:t>
            </w:r>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r>
              <w:rPr>
                <w:sz w:val="18"/>
              </w:rPr>
              <w:t>0.12</w:t>
            </w:r>
          </w:p>
        </w:tc>
        <w:tc>
          <w:tcPr>
            <w:tcW w:type="dxa" w:w="1000"/>
          </w:tcPr>
          <w:p>
            <w:r>
              <w:rPr>
                <w:sz w:val="18"/>
              </w:rPr>
              <w:t>0.633</w:t>
            </w:r>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0.54</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0.44, p = 0.005, N = 39), robust across all 39 leave-one-out iterations (rho range: 0.41 to 0.50).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0.19, p = 0.25) is the paper’s lead finding: initial allocation design does not predict post-distribution governance concentration. Reading the figure: the absence of a downward slope is the finding; if insider allocation drove concentration we would expect a positive slope, and if exclusion overcorrected we would expect a negative slope.</w:t>
      </w:r>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0.19, p = 0.25,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0.171,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0.44),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 Reading the figure: protocols above the diagonal have voting more concentrated than holding (delegation amplifies); protocols below the diagonal have voting less concentrated than holding (delegation distributes).</w:t>
      </w:r>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r>
              <w:rPr>
                <w:sz w:val="18"/>
              </w:rPr>
              <w:t>Snapshot†</w:t>
            </w:r>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r>
              <w:rPr>
                <w:sz w:val="18"/>
              </w:rPr>
              <w:t>Snapshot†</w:t>
            </w:r>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pPr>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pPr>
      <w:r>
        <w:t xml:space="preserve">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p>
    <w:p>
      <w:r>
        <w:rPr>
          <w:b w:val="0"/>
        </w:rPr>
        <w:t>All primary findings were tested by dropping each protocol one at a time and recomputing the statistic. The insider-retention correlation is fully robust. The DePIN-DeFi sector difference is robust to most but not all exclusions. The subsidy correlation is entirely driven by Livepeer. Details follow.</w:t>
      </w:r>
    </w:p>
    <w:p>
      <w:r>
        <w:rPr>
          <w:b w:val="0"/>
        </w:rPr>
        <w:t>The insider concentration relationship (Spearman rho = 0.44, p = 0.005) is robust: it remains significant across all 39 single-protocol exclusions, with rho ranging from 0.41 to 0.50 and p-values from 0.001 to 0.011.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0.58, p = 0.008, N = 20) is driven by a single protocol. Livepeer’s subsidy ratio of 88.5x is a 3.5-sigma outlier on the subsidy axis, and its HHI (0.20) is the second-highest in the subsidy subsample. Excluding Livepeer alone reduces the correlation to r = 0.12 (p = 0.63).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0.12 (dashed line, excluding Livepeer) to r = 0.58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 Reading the figure: the cross-sector association weakens substantially when Livepeer is excluded, indicating that the headline subsidy result is sensitive to a single high-leverage protocol.</w:t>
      </w:r>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 Reading the figure: the slope is approximately flat, indicating that voter participation does not predict concentration in this 13-protocol sample; participation and concentration are largely independent dimensions of governance health.</w:t>
      </w:r>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0.44, p = 0.005, N = 39, leave-one-out significant in 39 of 39 iterations) provides evidence consistent with the proposition that token distribution characteristics in current holder positions are robustly associated with governance concentration measured by HHI, while the allocation-design null (Pearson r = 0.19, p = 0.25,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0.45–0.99;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0.19, p = 0.25):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suggestively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(0.171),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valuation, and insider allocation (Mann-Whitney p = 0.014, Cohen’s d = 1.03; Table 6 Models 1-3 confirm the effect under multivariate specification).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0.54)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pPr>
      <w:r>
        <w:t xml:space="preserve">Birchall, J. (2011). People-centred businesses: Co-operatives, mutuals and the idea of membership. Palgrave Macmillan.</w:t>
      </w:r>
    </w:p>
    <w:p>
      <w:pPr>
        <w:pStyle w:val="Normal"/>
      </w:pPr>
      <w:r>
        <w:t xml:space="preserve">Hansmann, H. (1996). The ownership of enterprise. Harvard University Press.</w:t>
      </w:r>
    </w:p>
    <w:p>
      <w:pPr>
        <w:pStyle w:val="Normal"/>
      </w:pPr>
      <w:r>
        <w:t xml:space="preserve">International Cooperative Alliance. (1995). Statement on the cooperative identity. ICA.</w:t>
      </w:r>
    </w:p>
    <w:p>
      <w:pPr>
        <w:pStyle w:val="Normal"/>
      </w:pPr>
      <w:r>
        <w:t xml:space="preserve">Scholz, T. (2016). Platform cooperativism: Challenging the corporate sharing economy. Rosa Luxemburg Stiftung.</w:t>
      </w:r>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