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8"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74"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p>
      <w:pPr>
        <w:pStyle w:val="BodyText"/>
      </w:pPr>
      <w:r>
        <w:t xml:space="preserve">A power-index extension across the N = 16 cross-source voting-HHI sample (Tally + Snapshot + Solana proper-weight; Phase 1 of the post-R2 R3 data collection per</w:t>
      </w:r>
      <w:r>
        <w:t xml:space="preserve"> </w:t>
      </w:r>
      <w:hyperlink r:id="rId60">
        <w:r>
          <w:rPr>
            <w:rStyle w:val="Hyperlink"/>
          </w:rPr>
          <w:t xml:space="preserve">Supplementary File S14</w:t>
        </w:r>
      </w:hyperlink>
      <w:r>
        <w:t xml:space="preserve">) refines the binary amplify-versus-disperse framing into a three-class amplification typology (Finding F-B2-17 in</w:t>
      </w:r>
      <w:r>
        <w:t xml:space="preserve"> </w:t>
      </w:r>
      <w:r>
        <w:rPr>
          <w:rStyle w:val="VerbatimChar"/>
        </w:rPr>
        <w:t xml:space="preserve">docs/KEY_FINDINGS.md</w:t>
      </w:r>
      <w:r>
        <w:t xml:space="preserve">).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The Phase 1 acceptance test (Pearson r between SS-HHI and Voting-HHI greater than 0.95 across the N = 16 sample) passes at r = 0.9756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0">
        <w:r>
          <w:rPr>
            <w:rStyle w:val="Hyperlink"/>
          </w:rPr>
          <w:t xml:space="preserve">Supplementary File S14 full closure</w:t>
        </w:r>
      </w:hyperlink>
      <w:r>
        <w:t xml:space="preserve">.</w:t>
      </w:r>
    </w:p>
    <w:bookmarkStart w:id="61"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1"/>
    <w:bookmarkStart w:id="62"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2"/>
    <w:bookmarkStart w:id="63"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3"/>
    <w:bookmarkStart w:id="64"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4"/>
    <w:bookmarkStart w:id="65"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5"/>
    <w:bookmarkStart w:id="66"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6"/>
    <w:bookmarkStart w:id="73"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w:t>
      </w:r>
    </w:p>
    <w:p>
      <w:pPr>
        <w:pStyle w:val="BodyText"/>
      </w:pPr>
      <w:r>
        <w:t xml:space="preserve">The voter-axis cross-protocol pattern documented above has a structural-mechanical counterpart at the holder-axis surface (Finding F-B2-16 in</w:t>
      </w:r>
      <w:r>
        <w:t xml:space="preserve"> </w:t>
      </w:r>
      <w:r>
        <w:rPr>
          <w:rStyle w:val="VerbatimChar"/>
        </w:rPr>
        <w:t xml:space="preserve">docs/KEY_FINDINGS.md</w:t>
      </w:r>
      <w:r>
        <w:t xml:space="preserve">; Solana-side Sim API verification of 7 cross-protocol candidate addresses in</w:t>
      </w:r>
      <w:r>
        <w:t xml:space="preserve"> </w:t>
      </w:r>
      <w:hyperlink r:id="rId67">
        <w:r>
          <w:rPr>
            <w:rStyle w:val="Hyperlink"/>
          </w:rPr>
          <w:t xml:space="preserve">Supplementary File S13 addendum</w:t>
        </w:r>
      </w:hyperlink>
      <w:r>
        <w:t xml:space="preserve">; EVM-side universal CEX hot-wallet sweep across the N = 40 cross-section in</w:t>
      </w:r>
      <w:r>
        <w:t xml:space="preserve"> </w:t>
      </w:r>
      <w:hyperlink r:id="rId68">
        <w:r>
          <w:rPr>
            <w:rStyle w:val="Hyperlink"/>
          </w:rPr>
          <w:t xml:space="preserve">Supplementary File S19 phase 4 scope expansion</w:t>
        </w:r>
      </w:hyperlink>
      <w:r>
        <w:t xml:space="preserve">). The EVM sweep identifies 89 cross-protocol holder-address hits across 21 protocols, with 8 producing material post-exclusion HHI shifts above 0.0005 (largest: Aethir +0.0033). The Bitpanda hot wallet</w:t>
      </w:r>
      <w:r>
        <w:t xml:space="preserve"> </w:t>
      </w:r>
      <w:r>
        <w:rPr>
          <w:rStyle w:val="VerbatimChar"/>
        </w:rPr>
        <w:t xml:space="preserve">0x18...</w:t>
      </w:r>
      <w:r>
        <w:t xml:space="preserve"> </w:t>
      </w:r>
      <w:r>
        <w:t xml:space="preserve">appears in 20 of 40 protocols (50 percent sample coverage), the most widespread cross-protocol CEX presence in the cross-section. The pattern is structurally distinct from the voter-axis pattern (PGov, Tane, Arana, et al. are professional governance firms whose business model is deliberate cross-protocol delegation; CEX hot wallets are mechanical custody routing that produces cross-protocol address overlap without coordinated governance intent), but the two patterns share the structural-mechanical character: per-protocol HHI metrics undercount the cross-protocol-aggregated concentration that emerges when the same operator (PGov-class governance firm OR exchange-custody routing) holds material weight at multiple protocols simultaneously. Both patterns converge on the same conclusion: a fifth concentration axis (cross-protocol institutional concentration; covering both governance-coordination and custody-routing mechanisms) is load-bearing for the cross-section’s concentration story and is not captured by any per-protocol HHI metric.</w:t>
      </w:r>
    </w:p>
    <w:p>
      <w:pPr>
        <w:pStyle w:val="BodyText"/>
      </w:pPr>
      <w:r>
        <w:t xml:space="preserve">A separate methodology-innovation case emerges from Polkadot, a Nominated Proof-of-Stake (NPoS) network where stake-HHI is mechanically near-zero (0.0017) because the protocol’s Phragmen algorithm equalizes nominator-to-validator allocation by design (validator-stake floor approximately 1.5M DOT for the active validator set; duplicate-stake clusters at the floor are structural artifacts of the equalization mechanism, not single-operator clustering, per the per-validator nominator-count variation of 1 to 190 across the unverified cluster). The standard validator-stake-HHI methodology systematically understates actual governance concentration for the Substrate NPoS class along three reinforcing axes documented in</w:t>
      </w:r>
      <w:r>
        <w:t xml:space="preserve"> </w:t>
      </w:r>
      <w:hyperlink r:id="rId69">
        <w:r>
          <w:rPr>
            <w:rStyle w:val="Hyperlink"/>
          </w:rPr>
          <w:t xml:space="preserve">Supplementary File S19 DOT validator analysis addendum</w:t>
        </w:r>
      </w:hyperlink>
      <w:r>
        <w:t xml:space="preserve">.</w:t>
      </w:r>
    </w:p>
    <w:p>
      <w:pPr>
        <w:pStyle w:val="BodyText"/>
      </w:pPr>
      <w:r>
        <w:t xml:space="preserve">First, operator-level concentration: Binance dominates the top-16 validator slots (rank-1 through rank-16 except rank-9 DothubValidator; each approximately 2.075M DOT bonded; vertical CEX-stake integration routing customer DOT custody through CEX-controlled validators). A multi-axis verification cycle (</w:t>
      </w:r>
      <w:hyperlink r:id="rId70">
        <w:r>
          <w:rPr>
            <w:rStyle w:val="Hyperlink"/>
          </w:rPr>
          <w:t xml:space="preserve">Supplementary File S19 verification execution</w:t>
        </w:r>
      </w:hyperlink>
      <w:r>
        <w:t xml:space="preserve">) lifts cumulative operator attribution from 16.11 percent of bonded stake (Subscan Identity Pallet on stash accounts alone) to 29.25 percent via three additional verification axes: Web3 Foundation Thousand Validators Programme (W3F TVP) registry, Polkadot Telemetry feed publishers, and Layer-2 funding-source clustering (Subscan transfers-received clustering). The verified-operator breakdown of bonded stake under the multi-axis methodology is 3.90 percent verified CEX (largely Binance + Kraken), 10.40 percent institutional staking providers (Blockdaemon + KILN + pos.dog + Figment + Iceberg Nodes + ParaNodes + Stakin + RockX + ChainSafe + Stakefish + P2P), 6.08 percent W3F TVP community operators, 8.90 percent independent verified, and 70.75 percent still unverified. Combined top-5 single operators (Binance 3.72 percent + Blockdaemon 2.63 percent + pos.dog 1.58 percent + KILN 1.45 percent + Figment 1.36 percent) hold 10.74 percent of bonded stake; the top-5 institutional concentration on Polkadot is comparable to the total CEX-validator concentration. Binance’s 3.72 percent bonded-stake share remains a lower bound on actual CEX-validator concentration because the 70.75 percent unverified pool may contain additional CEX-routed validators not yet identified via self-stake signature or nominator-count fingerprinting (verified-operator self-stake signature distinguishes Binance approximately 0 percent self-stake from institutional operator 173 to 561 retail-nominator profiles); a counterintuitive identity pattern further complicates verification: institutional staking providers (Blockdaemon, KILN, pos.dog, Iceberg, ParaNodes) register on-chain identity on their funding</w:t>
      </w:r>
      <w:r>
        <w:t xml:space="preserve"> </w:t>
      </w:r>
      <w:r>
        <w:t xml:space="preserve">“warm wallet”</w:t>
      </w:r>
      <w:r>
        <w:t xml:space="preserve"> </w:t>
      </w:r>
      <w:r>
        <w:t xml:space="preserve">accounts but NOT on their validator stash accounts, so the standard Subscan-Identity-Pallet-on-stash methodology misses them entirely; Layer-2 funding-source clustering is the productive verification method for the institutional-provider class. Eight anonymous large funders concentrate approximately 14 percent of the remaining unverified stake (~80 validators / ~115M DOT; top-3 funders 19, 16, 15 validators each totaling 73M DOT = 8.7 percent of stake with no on-chain identity); resolution of these requires off-chain investigation (Polkadot Forum + Element + W3F GitHub + institutional disclosures) and would push cumulative attribution to approximately 43 percent of bonded stake.</w:t>
      </w:r>
    </w:p>
    <w:p>
      <w:pPr>
        <w:pStyle w:val="BodyText"/>
      </w:pPr>
      <w:r>
        <w:t xml:space="preserve">Second, governance-vote concentration substantially exceeds validator-stake concentration. OpenGov referendum #1777 (representative of the active OpenGov surface) had three single voters depositing 9M DOT each, which is 6x the approximately 1.5M DOT per-validator NPoS cap. Direct OpenGov voting bypasses the validator-stake-equalization mechanism entirely; a holder with material DOT can deploy the full balance to governance without distributing across validators. The governance-vote HHI on OpenGov is therefore the methodologically-appropriate concentration metric for political-economy-relevant analysis on Substrate NPoS chains, with the validator-stake HHI 0.0017 documenting only the staking-distribution layer.</w:t>
      </w:r>
    </w:p>
    <w:p>
      <w:pPr>
        <w:pStyle w:val="BodyText"/>
      </w:pPr>
      <w:r>
        <w:t xml:space="preserve">Third, empirical-instability of holder-balance: a Subscan API verification (</w:t>
      </w:r>
      <w:hyperlink r:id="rId71">
        <w:r>
          <w:rPr>
            <w:rStyle w:val="Hyperlink"/>
          </w:rPr>
          <w:t xml:space="preserve">Supplementary File S20</w:t>
        </w:r>
      </w:hyperlink>
      <w:r>
        <w:t xml:space="preserve">) shows that the Dune-identified pre-cycle DOT top-1 holder (</w:t>
      </w:r>
      <w:r>
        <w:rPr>
          <w:rStyle w:val="VerbatimChar"/>
        </w:rPr>
        <w:t xml:space="preserve">16ZL8y...</w:t>
      </w:r>
      <w:r>
        <w:t xml:space="preserve"> </w:t>
      </w:r>
      <w:r>
        <w:t xml:space="preserve">at 132.9M DOT in the 2025-07-23 snapshot) has balance = 0 in the current Subscan state. Holder-balance distributions on Substrate NPoS chains rebalance via the equalization mechanism plus active OpenGov vote deployment on a faster cadence than the standard holder-HHI snapshot methodology assumes; stake-concentration HHI computed at the validator-operator layer is the methodologically-stable alternative.</w:t>
      </w:r>
    </w:p>
    <w:p>
      <w:pPr>
        <w:pStyle w:val="BodyText"/>
      </w:pPr>
      <w:r>
        <w:t xml:space="preserve">The methodological implication is that Substrate NPoS chains require a multi-axis concentration frame: validator-stake HHI (mechanically near-zero by NPoS design); operator-stake HHI at the verified-operator layer (CEX-validator integration evidence); governance-vote HHI on OpenGov (the political-economy-relevant axis, bypassing the validator-stake cap); and foundation-custody fraction (separate axis covering Web3 Foundation and analogous pre-stake custody). Sister-finding: TAO/Bittensor also exhibits low pre-exclusion HHI 0.014 at the validator network layer; both DOT and TAO form a substrate-native L1+DePIN cluster around HHI 0.014 to 0.0017 where standard holder-HHI methodology underweights. Polkadot is a HALT-4.1 case in the Phase 4 sample-expansion dispatch (</w:t>
      </w:r>
      <w:hyperlink r:id="rId72">
        <w:r>
          <w:rPr>
            <w:rStyle w:val="Hyperlink"/>
          </w:rPr>
          <w:t xml:space="preserve">Supplementary File S16 DOT addendum</w:t>
        </w:r>
      </w:hyperlink>
      <w:r>
        <w:t xml:space="preserve">) where the protocol substantively differs from the 5-class PCA typology assumption that holder-share-squared captures meaningful concentration; future cross-section extensions to other Substrate-native or NPoS-class L1s should adopt the multi-axis methodology as the primary frame, with §3.8 typology extension following the four-axis decomposition outlined above.</w:t>
      </w:r>
    </w:p>
    <w:p>
      <w:pPr>
        <w:pStyle w:val="BodyText"/>
      </w:pPr>
      <w:r>
        <w:t xml:space="preserve">The Solana-side cross-protocol audit (whether the same institutional class operates on Realms and SPL Governance surfaces alongside its EVM presence) and the extension to off-Snapshot off-Tally governance surfaces remain measurement-priority items, with the Phase 5 PCA verification cycle (</w:t>
      </w:r>
      <w:hyperlink r:id="rId67">
        <w:r>
          <w:rPr>
            <w:rStyle w:val="Hyperlink"/>
          </w:rPr>
          <w:t xml:space="preserve">Supplementary File S13</w:t>
        </w:r>
      </w:hyperlink>
      <w:r>
        <w:t xml:space="preserve"> </w:t>
      </w:r>
      <w:r>
        <w:t xml:space="preserve">Sim API verification of 7 cross-protocol Solana candidate addresses) closing the immediate Solana-side cross-protocol gap.</w:t>
      </w:r>
    </w:p>
    <w:bookmarkEnd w:id="73"/>
    <w:bookmarkEnd w:id="74"/>
    <w:bookmarkStart w:id="87"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6" name="Picture"/>
            <a:graphic>
              <a:graphicData uri="http://schemas.openxmlformats.org/drawingml/2006/picture">
                <pic:pic>
                  <pic:nvPicPr>
                    <pic:cNvPr descr="media/fig9_loo_forest.png" id="77" name="Picture"/>
                    <pic:cNvPicPr>
                      <a:picLocks noChangeArrowheads="1" noChangeAspect="1"/>
                    </pic:cNvPicPr>
                  </pic:nvPicPr>
                  <pic:blipFill>
                    <a:blip r:embed="rId75"/>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per the methodology codified at commit</w:t>
      </w:r>
      <w:r>
        <w:t xml:space="preserve"> </w:t>
      </w:r>
      <w:r>
        <w:rPr>
          <w:rStyle w:val="VerbatimChar"/>
        </w:rPr>
        <w:t xml:space="preserve">a31b69c</w:t>
      </w:r>
      <w:r>
        <w:t xml:space="preserve"> </w:t>
      </w:r>
      <w:r>
        <w:t xml:space="preserve">(2026-03-31).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8">
        <w:r>
          <w:rPr>
            <w:rStyle w:val="Hyperlink"/>
          </w:rPr>
          <w:t xml:space="preserve">Supplementary File S8</w:t>
        </w:r>
      </w:hyperlink>
      <w:r>
        <w:t xml:space="preserve">.</w:t>
      </w:r>
    </w:p>
    <w:p>
      <w:pPr>
        <w:pStyle w:val="BodyText"/>
      </w:pPr>
      <w:r>
        <w:drawing>
          <wp:inline>
            <wp:extent cx="5334000" cy="4186514"/>
            <wp:effectExtent b="0" l="0" r="0" t="0"/>
            <wp:docPr descr="" title="" id="80" name="Picture"/>
            <a:graphic>
              <a:graphicData uri="http://schemas.openxmlformats.org/drawingml/2006/picture">
                <pic:pic>
                  <pic:nvPicPr>
                    <pic:cNvPr descr="media/fig7_subsidy_scatter.png" id="81" name="Picture"/>
                    <pic:cNvPicPr>
                      <a:picLocks noChangeArrowheads="1" noChangeAspect="1"/>
                    </pic:cNvPicPr>
                  </pic:nvPicPr>
                  <pic:blipFill>
                    <a:blip r:embed="rId79"/>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8">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3"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2">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2">
        <w:r>
          <w:rPr>
            <w:rStyle w:val="Hyperlink"/>
          </w:rPr>
          <w:t xml:space="preserve">Supplementary File S12</w:t>
        </w:r>
      </w:hyperlink>
      <w:r>
        <w:t xml:space="preserve">.</w:t>
      </w:r>
    </w:p>
    <w:bookmarkEnd w:id="83"/>
    <w:bookmarkStart w:id="85"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84">
        <w:r>
          <w:rPr>
            <w:rStyle w:val="Hyperlink"/>
          </w:rPr>
          <w:t xml:space="preserve">Supplementary File S10</w:t>
        </w:r>
      </w:hyperlink>
      <w:r>
        <w:t xml:space="preserve">.</w:t>
      </w:r>
    </w:p>
    <w:bookmarkEnd w:id="85"/>
    <w:bookmarkStart w:id="86"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6"/>
    <w:bookmarkEnd w:id="87"/>
    <w:bookmarkEnd w:id="88"/>
    <w:bookmarkStart w:id="100" w:name="discussion"/>
    <w:p>
      <w:pPr>
        <w:pStyle w:val="Heading1"/>
      </w:pPr>
      <w:r>
        <w:t xml:space="preserve">5 Discussion</w:t>
      </w:r>
    </w:p>
    <w:bookmarkStart w:id="89"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89"/>
    <w:bookmarkStart w:id="90"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90"/>
    <w:bookmarkStart w:id="91"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91"/>
    <w:bookmarkStart w:id="92"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2"/>
    <w:bookmarkStart w:id="93"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p>
    <w:bookmarkEnd w:id="93"/>
    <w:bookmarkStart w:id="94"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94"/>
    <w:bookmarkStart w:id="95"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95"/>
    <w:bookmarkStart w:id="98"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96">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Section 4.5.5 documents the pattern across Snapshot and Tally surfaces (PGov, Tane Governance, Arana Digital present on both; 7 additional Tally-side institutional firms surfaced); extension to Solana governance surfaces (Realms, SPL Governance) remains the natural next step, alongside the off-Snapshot off-Tally surfaces (governance forums, off-chain coordination mechanisms) that the current cross-section does not cover.</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7">
        <w:r>
          <w:rPr>
            <w:rStyle w:val="Hyperlink"/>
          </w:rPr>
          <w:t xml:space="preserve">Supplementary File S17</w:t>
        </w:r>
      </w:hyperlink>
      <w:r>
        <w:t xml:space="preserve">.</w:t>
      </w:r>
    </w:p>
    <w:bookmarkEnd w:id="98"/>
    <w:bookmarkStart w:id="99"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99"/>
    <w:bookmarkEnd w:id="100"/>
    <w:bookmarkStart w:id="101"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101"/>
    <w:bookmarkStart w:id="102"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102"/>
    <w:bookmarkStart w:id="103"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3"/>
    <w:bookmarkStart w:id="104"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hyperlink" Id="rId84" Target="https://github.com/Research-Publications-and-Data/Tokenomics-As-Institutional_Design/blob/main/b2/paper/supplements/S10_pca_classification_robustness.md" TargetMode="External" /><Relationship Type="http://schemas.openxmlformats.org/officeDocument/2006/relationships/hyperlink" Id="rId82"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72" Target="https://github.com/Research-Publications-and-Data/Tokenomics-As-Institutional_Design/blob/main/b2/paper/supplements/S16_phase4_minibatch_2026-05-27.md" TargetMode="External" /><Relationship Type="http://schemas.openxmlformats.org/officeDocument/2006/relationships/hyperlink" Id="rId97" Target="https://github.com/Research-Publications-and-Data/Tokenomics-As-Institutional_Design/blob/main/b2/paper/supplements/S17_falsifiable_predictions.md" TargetMode="External" /><Relationship Type="http://schemas.openxmlformats.org/officeDocument/2006/relationships/hyperlink" Id="rId69" Target="https://github.com/Research-Publications-and-Data/Tokenomics-As-Institutional_Design/blob/main/b2/paper/supplements/S19_dot_validator_analysis_addendum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1"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8" Target="https://github.com/Research-Publications-and-Data/Tokenomics-As-Institutional_Design/blob/main/b2/paper/supplements/S8_tt_expansion.md" TargetMode="External" /><Relationship Type="http://schemas.openxmlformats.org/officeDocument/2006/relationships/hyperlink" Id="rId96"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4" Target="https://github.com/Research-Publications-and-Data/Tokenomics-As-Institutional_Design/blob/main/b2/paper/supplements/S10_pca_classification_robustness.md" TargetMode="External" /><Relationship Type="http://schemas.openxmlformats.org/officeDocument/2006/relationships/hyperlink" Id="rId82"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72" Target="https://github.com/Research-Publications-and-Data/Tokenomics-As-Institutional_Design/blob/main/b2/paper/supplements/S16_phase4_minibatch_2026-05-27.md" TargetMode="External" /><Relationship Type="http://schemas.openxmlformats.org/officeDocument/2006/relationships/hyperlink" Id="rId97" Target="https://github.com/Research-Publications-and-Data/Tokenomics-As-Institutional_Design/blob/main/b2/paper/supplements/S17_falsifiable_predictions.md" TargetMode="External" /><Relationship Type="http://schemas.openxmlformats.org/officeDocument/2006/relationships/hyperlink" Id="rId69" Target="https://github.com/Research-Publications-and-Data/Tokenomics-As-Institutional_Design/blob/main/b2/paper/supplements/S19_dot_validator_analysis_addendum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1"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8" Target="https://github.com/Research-Publications-and-Data/Tokenomics-As-Institutional_Design/blob/main/b2/paper/supplements/S8_tt_expansion.md" TargetMode="External" /><Relationship Type="http://schemas.openxmlformats.org/officeDocument/2006/relationships/hyperlink" Id="rId96"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2026-05-27T09:24:39Z</dcterms:created>
  <dcterms:modified xsi:type="dcterms:W3CDTF">2026-05-27T09:24:39Z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