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6.png" ContentType="image/png"/>
  <Override PartName="/word/media/rId51.png" ContentType="image/png"/>
  <Override PartName="/word/media/rId59.png" ContentType="image/png"/>
  <Override PartName="/word/media/rId80.png" ContentType="image/png"/>
  <Override PartName="/word/media/rId76.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Protocol-Address-Corrected Cross-Sectional Audit of 52 DePIN and DeFi Protocols</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May 2026</w:t>
      </w:r>
    </w:p>
    <w:bookmarkStart w:id="9" w:name="abstract"/>
    <w:p>
      <w:pPr>
        <w:pStyle w:val="Heading1"/>
      </w:pPr>
      <w:r>
        <w:t xml:space="preserve">Abstract</w:t>
      </w:r>
    </w:p>
    <w:p>
      <w:pPr>
        <w:pStyle w:val="FirstParagraph"/>
      </w:pPr>
      <w:r>
        <w:t xml:space="preserve">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robust in direction across leave-one-out, permutation, and a powered multivariate specification, with statistical significance conditional on the protocol-controlled-address and exchange-custody exclusion applied symmetrically across sectors, Section 4.6.2); and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p>
    <w:p>
      <w:pPr>
        <w:pStyle w:val="BodyText"/>
      </w:pPr>
      <w:r>
        <w:t xml:space="preserve">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Its votes are not symbolic: they can alter</w:t>
      </w:r>
      <w:r>
        <w:t xml:space="preserve"> </w:t>
      </w:r>
      <w:r>
        <w:t xml:space="preserve">protocol rules, treasury use, emission schedules, fee switches, upgrade</w:t>
      </w:r>
      <w:r>
        <w:t xml:space="preserve"> </w:t>
      </w:r>
      <w:r>
        <w:t xml:space="preserve">paths, and delegate programs. If voting weight is dispersed, token</w:t>
      </w:r>
      <w:r>
        <w:t xml:space="preserve"> </w:t>
      </w:r>
      <w:r>
        <w:t xml:space="preserve">governance can approximate broad participant control. If voting weight</w:t>
      </w:r>
      <w:r>
        <w:t xml:space="preserve"> </w:t>
      </w:r>
      <w:r>
        <w:t xml:space="preserve">concentrates, the same formal apparatus can place shared infrastructure</w:t>
      </w:r>
      <w:r>
        <w:t xml:space="preserve"> </w:t>
      </w:r>
      <w:r>
        <w:t xml:space="preserve">under the discretion of a small holder or delegate class.</w:t>
      </w:r>
    </w:p>
    <w:p>
      <w:pPr>
        <w:pStyle w:val="BodyText"/>
      </w:pPr>
      <w:r>
        <w:t xml:space="preserve">That makes the motivating question concrete: what shapes whether</w:t>
      </w:r>
      <w:r>
        <w:t xml:space="preserve"> </w:t>
      </w:r>
      <w:r>
        <w:t xml:space="preserve">governance power concentrates or distributes after launch? Three</w:t>
      </w:r>
      <w:r>
        <w:t xml:space="preserve"> </w:t>
      </w:r>
      <w:r>
        <w:t xml:space="preserve">candidate explanations dominate practitioner discourse: insider token</w:t>
      </w:r>
      <w:r>
        <w:t xml:space="preserve"> </w:t>
      </w:r>
      <w:r>
        <w:t xml:space="preserve">allocation concentrates power; subsidy dependence (high token emissions</w:t>
      </w:r>
      <w:r>
        <w:t xml:space="preserve"> </w:t>
      </w:r>
      <w:r>
        <w:t xml:space="preserve">relative to revenue) entrenches early holders; and younger protocols have</w:t>
      </w:r>
      <w:r>
        <w:t xml:space="preserve"> </w:t>
      </w:r>
      <w:r>
        <w:t xml:space="preserve">not yet had time to decentralize. This paper tests all three and finds</w:t>
      </w:r>
      <w:r>
        <w:t xml:space="preserve"> </w:t>
      </w:r>
      <w:r>
        <w:t xml:space="preserve">that none is sufficient as a standalone explanation of the</w:t>
      </w:r>
      <w:r>
        <w:t xml:space="preserve"> </w:t>
      </w:r>
      <w:r>
        <w:t xml:space="preserve">cross-sectional variation observed across fifty-two protocols. The deeper</w:t>
      </w:r>
      <w:r>
        <w:t xml:space="preserve"> </w:t>
      </w:r>
      <w:r>
        <w:t xml:space="preserve">problem is that all three explanations, and the decentralization claims</w:t>
      </w:r>
      <w:r>
        <w:t xml:space="preserve"> </w:t>
      </w:r>
      <w:r>
        <w:t xml:space="preserve">practitioners build on them, are routinely read off launch allocation</w:t>
      </w:r>
      <w:r>
        <w:t xml:space="preserve"> </w:t>
      </w:r>
      <w:r>
        <w:t xml:space="preserve">tables and raw holder lists: both are the wrong object for live</w:t>
      </w:r>
      <w:r>
        <w:t xml:space="preserve"> </w:t>
      </w:r>
      <w:r>
        <w:t xml:space="preserve">governance power. Token allocation is a launch document. Governance</w:t>
      </w:r>
      <w:r>
        <w:t xml:space="preserve"> </w:t>
      </w:r>
      <w:r>
        <w:t xml:space="preserve">concentration is a live institutional state. An audit that reasons from</w:t>
      </w:r>
      <w:r>
        <w:t xml:space="preserve"> </w:t>
      </w:r>
      <w:r>
        <w:t xml:space="preserve">initial tokenomics is reasoning from audit metadata, not from governance</w:t>
      </w:r>
      <w:r>
        <w:t xml:space="preserve"> </w:t>
      </w:r>
      <w:r>
        <w:t xml:space="preserve">evidence. The contrast tracks the distinction comparative political</w:t>
      </w:r>
      <w:r>
        <w:t xml:space="preserve"> </w:t>
      </w:r>
      <w:r>
        <w:t xml:space="preserve">economy draws between de jure and de facto power (Acemoglu &amp; Robinson,</w:t>
      </w:r>
      <w:r>
        <w:t xml:space="preserve"> </w:t>
      </w:r>
      <w:r>
        <w:t xml:space="preserve">2008): the formally specified allocation of authority is a different</w:t>
      </w:r>
      <w:r>
        <w:t xml:space="preserve"> </w:t>
      </w:r>
      <w:r>
        <w:t xml:space="preserve">object from the power that groups actually exercise once a system is</w:t>
      </w:r>
      <w:r>
        <w:t xml:space="preserve"> </w:t>
      </w:r>
      <w:r>
        <w:t xml:space="preserve">live.</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0.48x;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eighteen-protocol governance</w:t>
      </w:r>
      <w:r>
        <w:t xml:space="preserve"> </w:t>
      </w:r>
      <w:r>
        <w:t xml:space="preserve">sample studied here, delegation amplifies concentration in thirteen of</w:t>
      </w:r>
      <w:r>
        <w:t xml:space="preserve"> </w:t>
      </w:r>
      <w:r>
        <w:t xml:space="preserve">eighteen protocols (range 2.5x to 25.6x above the holding baseline), with</w:t>
      </w:r>
      <w:r>
        <w:t xml:space="preserve"> </w:t>
      </w:r>
      <w:r>
        <w:t xml:space="preserve">five structural exceptions on the dispersing side (ENS 0.48x, GMX 0.87x,</w:t>
      </w:r>
      <w:r>
        <w:t xml:space="preserve"> </w:t>
      </w:r>
      <w:r>
        <w:t xml:space="preserve">HNT 0.26x to 0.39x, JUP 0.12x, LPT 0.27x; Section 4.5). The cross-protocol</w:t>
      </w:r>
      <w:r>
        <w:t xml:space="preserve"> </w:t>
      </w:r>
      <w:r>
        <w:t xml:space="preserve">variation is associated not with sector membership or governance venue but with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 The</w:t>
      </w:r>
      <w:r>
        <w:t xml:space="preserve"> </w:t>
      </w:r>
      <w:r>
        <w:t xml:space="preserve">allocation result is therefore best read as a practice correction rather</w:t>
      </w:r>
      <w:r>
        <w:t xml:space="preserve"> </w:t>
      </w:r>
      <w:r>
        <w:t xml:space="preserve">than a bare null: it tells auditors that initial tokenomics is metadata</w:t>
      </w:r>
      <w:r>
        <w:t xml:space="preserve"> </w:t>
      </w:r>
      <w:r>
        <w:t xml:space="preserve">about a launch, not evidence about who holds governance power today.</w:t>
      </w:r>
    </w:p>
    <w:p>
      <w:pPr>
        <w:pStyle w:val="BodyText"/>
      </w:pPr>
      <w:r>
        <w:t xml:space="preserve">That concentration is a market outcome rather than a launch artifact</w:t>
      </w:r>
      <w:r>
        <w:t xml:space="preserve"> </w:t>
      </w:r>
      <w:r>
        <w:t xml:space="preserve">matters normatively as well as descriptively. On a republican view of</w:t>
      </w:r>
      <w:r>
        <w:t xml:space="preserve"> </w:t>
      </w:r>
      <w:r>
        <w:t xml:space="preserve">freedom as the absence of subjection to another’s arbitrary power, the</w:t>
      </w:r>
      <w:r>
        <w:t xml:space="preserve"> </w:t>
      </w:r>
      <w:r>
        <w:t xml:space="preserve">relevant question is not whether concentrated holders have in fact</w:t>
      </w:r>
      <w:r>
        <w:t xml:space="preserve"> </w:t>
      </w:r>
      <w:r>
        <w:t xml:space="preserve">interfered but whether they hold the standing capacity to alter the</w:t>
      </w:r>
      <w:r>
        <w:t xml:space="preserve"> </w:t>
      </w:r>
      <w:r>
        <w:t xml:space="preserve">rules unilaterally; concentrated voting weight establishes exactly that</w:t>
      </w:r>
      <w:r>
        <w:t xml:space="preserve"> </w:t>
      </w:r>
      <w:r>
        <w:t xml:space="preserve">capacity. The Neo-Brandeisian tradition associated with Khan (2017) and</w:t>
      </w:r>
      <w:r>
        <w:t xml:space="preserve"> </w:t>
      </w:r>
      <w:r>
        <w:t xml:space="preserve">Wu (2018) treats such structural power over shared infrastructure as a</w:t>
      </w:r>
      <w:r>
        <w:t xml:space="preserve"> </w:t>
      </w:r>
      <w:r>
        <w:t xml:space="preserve">harm worth scrutiny on political-economy terms, independent of whether</w:t>
      </w:r>
      <w:r>
        <w:t xml:space="preserve"> </w:t>
      </w:r>
      <w:r>
        <w:t xml:space="preserve">any single decision has visibly harmed participants. Concentration</w:t>
      </w:r>
      <w:r>
        <w:t xml:space="preserve"> </w:t>
      </w:r>
      <w:r>
        <w:t xml:space="preserve">measured after correction is therefore the object of scrutiny</w:t>
      </w:r>
      <w:r>
        <w:t xml:space="preserve"> </w:t>
      </w:r>
      <w:r>
        <w:t xml:space="preserve">regardless of how the holders have so far chosen to use it.</w:t>
      </w:r>
    </w:p>
    <w:p>
      <w:pPr>
        <w:pStyle w:val="BodyText"/>
      </w:pPr>
      <w:r>
        <w:t xml:space="preserve">The measurement instrument that makes every downstream result credible is</w:t>
      </w:r>
      <w:r>
        <w:t xml:space="preserve"> </w:t>
      </w:r>
      <w:r>
        <w:t xml:space="preserve">the PCA correction: before any covariate can be tested, the holder list</w:t>
      </w:r>
      <w:r>
        <w:t xml:space="preserve"> </w:t>
      </w:r>
      <w:r>
        <w:t xml:space="preserve">has to be cleaned of addresses that hold tokens but structurally cannot</w:t>
      </w:r>
      <w:r>
        <w:t xml:space="preserve"> </w:t>
      </w:r>
      <w:r>
        <w:t xml:space="preserve">vote. We construct a 52-protocol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and they read as a sequence: naive</w:t>
      </w:r>
      <w:r>
        <w:t xml:space="preserve"> </w:t>
      </w:r>
      <w:r>
        <w:t xml:space="preserve">holder lists are contaminated by addresses that cannot vote; once the</w:t>
      </w:r>
      <w:r>
        <w:t xml:space="preserve"> </w:t>
      </w:r>
      <w:r>
        <w:t xml:space="preserve">holder list is corrected, launch allocation turns out to be uninformative</w:t>
      </w:r>
      <w:r>
        <w:t xml:space="preserve"> </w:t>
      </w:r>
      <w:r>
        <w:t xml:space="preserve">about current concentration; and current institutional structure (sector,</w:t>
      </w:r>
      <w:r>
        <w:t xml:space="preserve"> </w:t>
      </w:r>
      <w:r>
        <w:t xml:space="preserve">insider retention, and delegation design) is the more informative</w:t>
      </w:r>
      <w:r>
        <w:t xml:space="preserve"> </w:t>
      </w:r>
      <w:r>
        <w:t xml:space="preserve">correlate.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0.011, Cohen’s d = 1.05),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thirteen of eighteen</w:t>
      </w:r>
      <w:r>
        <w:t xml:space="preserve"> </w:t>
      </w:r>
      <w:r>
        <w:t xml:space="preserve">protocols sampled, with amplification factors of 2.45x (Gnosis), 2.7x (Uniswap), 3.1x</w:t>
      </w:r>
      <w:r>
        <w:t xml:space="preserve"> </w:t>
      </w:r>
      <w:r>
        <w:t xml:space="preserve">(Arbitrum, DRIFT), 3.6x (Optimism), 3.8x (WeatherXM), 4.4x (Aave), 5.55x (Synthetix), 6.3x</w:t>
      </w:r>
      <w:r>
        <w:t xml:space="preserve"> </w:t>
      </w:r>
      <w:r>
        <w:t xml:space="preserve">(Lido), 9.1x (DIMO), 9.63x (Bittensor), 9.9x (Compound), and 25.65x (Polkadot). Five protocols</w:t>
      </w:r>
      <w:r>
        <w:t xml:space="preserve"> </w:t>
      </w:r>
      <w:r>
        <w:t xml:space="preserve">(ENS at 0.48x; GMX at 0.87x; HNT at 0.26x-0.39x; JUP at 0.12x most-extreme dispersion outlier; LPT at 0.27x, the most pronounced DePIN governance disperser) show delegation-mediated dispersion, reflecting</w:t>
      </w:r>
      <w:r>
        <w:t xml:space="preserve"> </w:t>
      </w:r>
      <w:r>
        <w:t xml:space="preserve">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Balancer, and Frax (vote-escrowed governance via veCRV, which is vote-escrowed CRV, veBAL, vote-escrowed BAL, and veFXS, vote-escrowed FXS) show extreme amplification (15x, 21x, and 11.4x)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The sequence carries one practical conclusion: governance audits should</w:t>
      </w:r>
      <w:r>
        <w:t xml:space="preserve"> </w:t>
      </w:r>
      <w:r>
        <w:t xml:space="preserve">measure live power across these four surfaces rather than infer it from</w:t>
      </w:r>
      <w:r>
        <w:t xml:space="preserve"> </w:t>
      </w:r>
      <w:r>
        <w:t xml:space="preserve">inherited launch promises. The same corrected measurements make visible a</w:t>
      </w:r>
      <w:r>
        <w:t xml:space="preserve"> </w:t>
      </w:r>
      <w:r>
        <w:t xml:space="preserve">further, method-enabled extension, a cross-protocol institutional</w:t>
      </w:r>
      <w:r>
        <w:t xml:space="preserve"> </w:t>
      </w:r>
      <w:r>
        <w:t xml:space="preserve">concentration in which a small professional-delegate and exchange-custody</w:t>
      </w:r>
      <w:r>
        <w:t xml:space="preserve"> </w:t>
      </w:r>
      <w:r>
        <w:t xml:space="preserve">class recurs across many protocols at once; this is previewed in</w:t>
      </w:r>
      <w:r>
        <w:t xml:space="preserve"> </w:t>
      </w:r>
      <w:r>
        <w:t xml:space="preserve">Section 4.5.5 (Supplementary File S25) as a descriptive extension of the</w:t>
      </w:r>
      <w:r>
        <w:t xml:space="preserve"> </w:t>
      </w:r>
      <w:r>
        <w:t xml:space="preserve">framework, not as a fifth equal contribution.</w:t>
      </w:r>
    </w:p>
    <w:p>
      <w:pPr>
        <w:pStyle w:val="BodyText"/>
      </w:pPr>
      <w:r>
        <w:t xml:space="preserve">This audit framing responds to a stated field gap: 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fifty-two protocols spanning</w:t>
      </w:r>
      <w:r>
        <w:t xml:space="preserve"> </w:t>
      </w:r>
      <w:r>
        <w:t xml:space="preserve">DePIN and adjacent categories. 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p>
      <w:pPr>
        <w:pStyle w:val="BodyText"/>
      </w:pPr>
      <w:r>
        <w:t xml:space="preserve">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eighteen protocols, PCA classification is weaker on some Solana- and Substrate-native tokens, and the sample is still modest for</w:t>
      </w:r>
      <w:r>
        <w:t xml:space="preserve"> </w:t>
      </w:r>
      <w:r>
        <w:t xml:space="preserve">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structure (Aramonte et al., 2021; Nadler &amp; Schär, 2020).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 Walch (2019) sharpens the point</w:t>
      </w:r>
      <w:r>
        <w:t xml:space="preserve"> </w:t>
      </w:r>
      <w:r>
        <w:t xml:space="preserve">from the legal side: the label</w:t>
      </w:r>
      <w:r>
        <w:t xml:space="preserve"> </w:t>
      </w:r>
      <w:r>
        <w:t xml:space="preserve">“decentralized”</w:t>
      </w:r>
      <w:r>
        <w:t xml:space="preserve"> </w:t>
      </w:r>
      <w:r>
        <w:t xml:space="preserve">can function as a veil</w:t>
      </w:r>
      <w:r>
        <w:t xml:space="preserve"> </w:t>
      </w:r>
      <w:r>
        <w:t xml:space="preserve">that obscures identifiable sites of concentrated power and the</w:t>
      </w:r>
      <w:r>
        <w:t xml:space="preserve"> </w:t>
      </w:r>
      <w:r>
        <w:t xml:space="preserve">responsibility attaching to them, so a corrected concentration</w:t>
      </w:r>
      <w:r>
        <w:t xml:space="preserve"> </w:t>
      </w:r>
      <w:r>
        <w:t xml:space="preserve">measurement is what replaces the label with evidence.</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 et al.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2.5x to 25.6x delegation</w:t>
      </w:r>
      <w:r>
        <w:t xml:space="preserve"> </w:t>
      </w:r>
      <w:r>
        <w:t xml:space="preserve">amplification ratios documented in Section 4.5 are consistent with</w:t>
      </w:r>
      <w:r>
        <w:t xml:space="preserve"> </w:t>
      </w:r>
      <w:r>
        <w:t xml:space="preserve">this clumping pattern. A loose analog appears in corporate governance,</w:t>
      </w:r>
      <w:r>
        <w:t xml:space="preserve"> </w:t>
      </w:r>
      <w:r>
        <w:t xml:space="preserve">where a small number of professional proxy advisors shape voting</w:t>
      </w:r>
      <w:r>
        <w:t xml:space="preserve"> </w:t>
      </w:r>
      <w:r>
        <w:t xml:space="preserve">outcomes across many firms: Malenko and Shen (2016) estimate by</w:t>
      </w:r>
      <w:r>
        <w:t xml:space="preserve"> </w:t>
      </w:r>
      <w:r>
        <w:t xml:space="preserve">regression discontinuity that a negative recommendation from a single</w:t>
      </w:r>
      <w:r>
        <w:t xml:space="preserve"> </w:t>
      </w:r>
      <w:r>
        <w:t xml:space="preserve">advisor can move say-on-pay voting support by roughly twenty-five</w:t>
      </w:r>
      <w:r>
        <w:t xml:space="preserve"> </w:t>
      </w:r>
      <w:r>
        <w:t xml:space="preserve">percentage points. The</w:t>
      </w:r>
      <w:r>
        <w:t xml:space="preserve"> </w:t>
      </w:r>
      <w:r>
        <w:t xml:space="preserve">parallel is imperfect, but it suggests treating delegate programs as</w:t>
      </w:r>
      <w:r>
        <w:t xml:space="preserve"> </w:t>
      </w:r>
      <w:r>
        <w:t xml:space="preserve">instruments that require concentration measurement of their own rather</w:t>
      </w:r>
      <w:r>
        <w:t xml:space="preserve"> </w:t>
      </w:r>
      <w:r>
        <w:t xml:space="preserve">than as a presumed source of dispersion.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0.07,</w:t>
      </w:r>
      <w:r>
        <w:t xml:space="preserve"> </w:t>
      </w:r>
      <w:r>
        <w:t xml:space="preserve">p = 0.68,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 concern sharpened by work asking whether</w:t>
      </w:r>
      <w:r>
        <w:t xml:space="preserve"> </w:t>
      </w:r>
      <w:r>
        <w:t xml:space="preserve">on-chain governance mechanisms operate as genuine accountability</w:t>
      </w:r>
      <w:r>
        <w:t xml:space="preserve"> </w:t>
      </w:r>
      <w:r>
        <w:t xml:space="preserve">protocols or only nominal ones (Nabben &amp; De Filippi, 2024), and (ii)</w:t>
      </w:r>
      <w:r>
        <w:t xml:space="preserve"> </w:t>
      </w:r>
      <w:r>
        <w:t xml:space="preserve">legitimacy depends on measurable concentration constraints and</w:t>
      </w:r>
      <w:r>
        <w:t xml:space="preserve"> </w:t>
      </w:r>
      <w:r>
        <w:t xml:space="preserve">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The clearest contemporary illustration is SporkDAO, the Colorado Limited</w:t>
      </w:r>
      <w:r>
        <w:t xml:space="preserve"> </w:t>
      </w:r>
      <w:r>
        <w:t xml:space="preserve">Cooperative Association behind the ETHDenver conference. SporkDAO</w:t>
      </w:r>
      <w:r>
        <w:t xml:space="preserve"> </w:t>
      </w:r>
      <w:r>
        <w:t xml:space="preserve">tokenizes patronage rather than selling ownership: members earn $SPORK by</w:t>
      </w:r>
      <w:r>
        <w:t xml:space="preserve"> </w:t>
      </w:r>
      <w:r>
        <w:t xml:space="preserve">contributing to the ETHDenver ecosystem, stake it to activate membership,</w:t>
      </w:r>
      <w:r>
        <w:t xml:space="preserve"> </w:t>
      </w:r>
      <w:r>
        <w:t xml:space="preserve">and cast staked balances in quadratically weighted Snapshot elections for</w:t>
      </w:r>
      <w:r>
        <w:t xml:space="preserve"> </w:t>
      </w:r>
      <w:r>
        <w:t xml:space="preserve">a nine-member Board of Stewards that carries the association’s legal and</w:t>
      </w:r>
      <w:r>
        <w:t xml:space="preserve"> </w:t>
      </w:r>
      <w:r>
        <w:t xml:space="preserve">financial responsibility. Elections run on an annual cycle tied to the</w:t>
      </w:r>
      <w:r>
        <w:t xml:space="preserve"> </w:t>
      </w:r>
      <w:r>
        <w:t xml:space="preserve">conference, which serves as the cooperative’s members’ meeting, and the</w:t>
      </w:r>
      <w:r>
        <w:t xml:space="preserve"> </w:t>
      </w:r>
      <w:r>
        <w:t xml:space="preserve">membership is broad, numbering tens of thousands of token holders. The</w:t>
      </w:r>
      <w:r>
        <w:t xml:space="preserve"> </w:t>
      </w:r>
      <w:r>
        <w:t xml:space="preserve">case shows why the cooperative is the nearest institutional ancestor for</w:t>
      </w:r>
      <w:r>
        <w:t xml:space="preserve"> </w:t>
      </w:r>
      <w:r>
        <w:t xml:space="preserve">tokenized protocols, and also why the analogy is incomplete. Legal</w:t>
      </w:r>
      <w:r>
        <w:t xml:space="preserve"> </w:t>
      </w:r>
      <w:r>
        <w:t xml:space="preserve">cooperative form, contribution-based token issuance, and annual member</w:t>
      </w:r>
      <w:r>
        <w:t xml:space="preserve"> </w:t>
      </w:r>
      <w:r>
        <w:t xml:space="preserve">meetings do not by themselves settle the distribution of live governance</w:t>
      </w:r>
      <w:r>
        <w:t xml:space="preserve"> </w:t>
      </w:r>
      <w:r>
        <w:t xml:space="preserve">power; operational custody, board responsibility, staking design, and</w:t>
      </w:r>
      <w:r>
        <w:t xml:space="preserve"> </w:t>
      </w:r>
      <w:r>
        <w:t xml:space="preserve">concentrated multisignature and treasury balances still have to be</w:t>
      </w:r>
      <w:r>
        <w:t xml:space="preserve"> </w:t>
      </w:r>
      <w:r>
        <w:t xml:space="preserve">measured directly. Tokenized protocols do not merely resemble</w:t>
      </w:r>
      <w:r>
        <w:t xml:space="preserve"> </w:t>
      </w:r>
      <w:r>
        <w:t xml:space="preserve">cooperatives; in cases like SporkDAO they can become cooperatives in law.</w:t>
      </w:r>
      <w:r>
        <w:t xml:space="preserve"> </w:t>
      </w:r>
      <w:r>
        <w:t xml:space="preserve">But tokenization reopens the cooperative legitimacy problem at the level</w:t>
      </w:r>
      <w:r>
        <w:t xml:space="preserve"> </w:t>
      </w:r>
      <w:r>
        <w:t xml:space="preserve">of live token custody, staking, and delegated voting power, which is what</w:t>
      </w:r>
      <w:r>
        <w:t xml:space="preserve"> </w:t>
      </w:r>
      <w:r>
        <w:t xml:space="preserve">the empirical results in Section 3 set out to measure.</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Rozas et al.</w:t>
      </w:r>
      <w:r>
        <w:t xml:space="preserve"> </w:t>
      </w:r>
      <w:r>
        <w:t xml:space="preserve">(2021) situate blockchain’s institutional affordances against Ostrom’s</w:t>
      </w:r>
      <w:r>
        <w:t xml:space="preserve"> </w:t>
      </w:r>
      <w:r>
        <w:t xml:space="preserve">design principles directly, arguing the technology can support commons</w:t>
      </w:r>
      <w:r>
        <w:t xml:space="preserve"> </w:t>
      </w:r>
      <w:r>
        <w:t xml:space="preserve">self-governance without collapsing into either techno-determinism or</w:t>
      </w:r>
      <w:r>
        <w:t xml:space="preserve"> </w:t>
      </w:r>
      <w:r>
        <w:t xml:space="preserve">the view that centralization is necessary.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 here. This paper draws on this literature to motivate why governance concentration is worth measuring, not to score legitimacy directly; the optional legitimacy-scoring instruments are retained in the supplements.</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§3 specifies the data and methods, §4 reports the results, and the four contributions stated in §1.1 are developed across them.</w:t>
      </w:r>
    </w:p>
    <w:bookmarkEnd w:id="30"/>
    <w:bookmarkEnd w:id="31"/>
    <w:bookmarkStart w:id="44"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52-protocol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S5</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 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8"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an evidence-based procedure. Classification combines</w:t>
      </w:r>
      <w:r>
        <w:t xml:space="preserve"> </w:t>
      </w:r>
      <w:r>
        <w:t xml:space="preserve">third-party on-chain entity labels (Nansen Address Labels), Blockscout</w:t>
      </w:r>
      <w:r>
        <w:t xml:space="preserve"> </w:t>
      </w:r>
      <w:r>
        <w:t xml:space="preserve">verified-contract labels and Dune exchange tags, vesting-contract bytecode</w:t>
      </w:r>
      <w:r>
        <w:t xml:space="preserve"> </w:t>
      </w:r>
      <w:r>
        <w:t xml:space="preserve">matching, and, for multi-signature wallets (Safe and GnosisSafe treasuries</w:t>
      </w:r>
      <w:r>
        <w:t xml:space="preserve"> </w:t>
      </w:r>
      <w:r>
        <w:t xml:space="preserve">where several authorized parties must each sign a transaction to authorize</w:t>
      </w:r>
      <w:r>
        <w:t xml:space="preserve"> </w:t>
      </w:r>
      <w:r>
        <w:t xml:space="preserve">fund movement), deployer-and-signer tracing. The governing rule for</w:t>
      </w:r>
      <w:r>
        <w:t xml:space="preserve"> </w:t>
      </w:r>
      <w:r>
        <w:t xml:space="preserve">multi-signature wallets is team-confirmation: a Safe counts as insider</w:t>
      </w:r>
      <w:r>
        <w:t xml:space="preserve"> </w:t>
      </w:r>
      <w:r>
        <w:t xml:space="preserve">only when its deployer or signing set resolves to the protocol team,</w:t>
      </w:r>
      <w:r>
        <w:t xml:space="preserve"> </w:t>
      </w:r>
      <w:r>
        <w:t xml:space="preserve">founder, or a named investor, rather than treating any multisig as insider</w:t>
      </w:r>
      <w:r>
        <w:t xml:space="preserve"> </w:t>
      </w:r>
      <w:r>
        <w:t xml:space="preserve">by default. This rule corrects a systematic over-count present in</w:t>
      </w:r>
      <w:r>
        <w:t xml:space="preserve"> </w:t>
      </w:r>
      <w:r>
        <w:t xml:space="preserve">keyword-only classification, in which independent large holders’ Safes</w:t>
      </w:r>
      <w:r>
        <w:t xml:space="preserve"> </w:t>
      </w:r>
      <w:r>
        <w:t xml:space="preserve">were attributed to the team: of seventeen high-share bare Safes traced</w:t>
      </w:r>
      <w:r>
        <w:t xml:space="preserve"> </w:t>
      </w:r>
      <w:r>
        <w:t xml:space="preserve">across the cross-section, six resolve to protocol teams and eleven to</w:t>
      </w:r>
      <w:r>
        <w:t xml:space="preserve"> </w:t>
      </w:r>
      <w:r>
        <w:t xml:space="preserve">independent holders, with three deployer traces documented as worked</w:t>
      </w:r>
      <w:r>
        <w:t xml:space="preserve"> </w:t>
      </w:r>
      <w:r>
        <w:t xml:space="preserve">exemplars in</w:t>
      </w:r>
      <w:r>
        <w:t xml:space="preserve"> </w:t>
      </w:r>
      <w:hyperlink r:id="rId36">
        <w:r>
          <w:rPr>
            <w:rStyle w:val="Hyperlink"/>
          </w:rPr>
          <w:t xml:space="preserve">Supplementary File S22</w:t>
        </w:r>
      </w:hyperlink>
      <w:r>
        <w:t xml:space="preserve"> </w:t>
      </w:r>
      <w:r>
        <w:t xml:space="preserve">(the insider classification of record</w:t>
      </w:r>
      <w:r>
        <w:t xml:space="preserve"> </w:t>
      </w:r>
      <w:r>
        <w:t xml:space="preserve">and the seventeen-Safe verdict table) within the replication package</w:t>
      </w:r>
      <w:r>
        <w:t xml:space="preserve"> </w:t>
      </w:r>
      <w:r>
        <w:t xml:space="preserve">(Section 5.9).</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 were re-classified against the same entity-label</w:t>
      </w:r>
      <w:r>
        <w:t xml:space="preserve"> </w:t>
      </w:r>
      <w:r>
        <w:t xml:space="preserve">and deployer-tracing standard: the ambiguous large holders of the</w:t>
      </w:r>
      <w:r>
        <w:t xml:space="preserve"> </w:t>
      </w:r>
      <w:r>
        <w:t xml:space="preserve">Solana-native tokens resolve to exchange, custody, and retail addresses</w:t>
      </w:r>
      <w:r>
        <w:t xml:space="preserve"> </w:t>
      </w:r>
      <w:r>
        <w:t xml:space="preserve">rather than hidden insiders, so the conservative not-insider coding holds</w:t>
      </w:r>
      <w:r>
        <w:t xml:space="preserve"> </w:t>
      </w:r>
      <w:r>
        <w:t xml:space="preserve">without insider undercounting. The earlier acknowledged labeling gap</w:t>
      </w:r>
      <w:r>
        <w:t xml:space="preserve"> </w:t>
      </w:r>
      <w:r>
        <w:t xml:space="preserve">(io.net classifying as zero of ten insiders for want of Blockscout-style</w:t>
      </w:r>
      <w:r>
        <w:t xml:space="preserve"> </w:t>
      </w:r>
      <w:r>
        <w:t xml:space="preserve">contract labels at the scale available on Ethereum and EVM (Ethereum</w:t>
      </w:r>
      <w:r>
        <w:t xml:space="preserve"> </w:t>
      </w:r>
      <w:r>
        <w:t xml:space="preserve">Virtual Machine; the execution environment for Ethereum-compatible smart</w:t>
      </w:r>
      <w:r>
        <w:t xml:space="preserve"> </w:t>
      </w:r>
      <w:r>
        <w:t xml:space="preserve">contracts) Layer 2 networks) is therefore a coverage rather than a</w:t>
      </w:r>
      <w:r>
        <w:t xml:space="preserve"> </w:t>
      </w:r>
      <w:r>
        <w:t xml:space="preserve">substantive limitation; residual lower-attribution-coverage considerations</w:t>
      </w:r>
      <w:r>
        <w:t xml:space="preserve"> </w:t>
      </w:r>
      <w:r>
        <w:t xml:space="preserve">are discussed 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7">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8"/>
    <w:bookmarkStart w:id="39"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7">
        <w:r>
          <w:rPr>
            <w:rStyle w:val="Hyperlink"/>
          </w:rPr>
          <w:t xml:space="preserve">Supplementary File S1</w:t>
        </w:r>
      </w:hyperlink>
      <w:r>
        <w:t xml:space="preserve">.</w:t>
      </w:r>
    </w:p>
    <w:bookmarkEnd w:id="39"/>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3">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3"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52-protocol sample (the exclusions log contains</w:t>
      </w:r>
      <w:r>
        <w:t xml:space="preserve"> </w:t>
      </w:r>
      <w:r>
        <w:t xml:space="preserve">the address-by-address documentation), but the generalizable typology</w:t>
      </w:r>
      <w:r>
        <w:t xml:space="preserve"> </w:t>
      </w:r>
      <w:r>
        <w:t xml:space="preserve">that future replication and extension work can apply uniformly. The</w:t>
      </w:r>
      <w:r>
        <w:t xml:space="preserve"> </w:t>
      </w:r>
      <w:r>
        <w:t xml:space="preserve">logic has a precedent in corporate-ownership analysis, which warns</w:t>
      </w:r>
      <w:r>
        <w:t xml:space="preserve"> </w:t>
      </w:r>
      <w:r>
        <w:t xml:space="preserve">against treating the registered holder as the effective unit of</w:t>
      </w:r>
      <w:r>
        <w:t xml:space="preserve"> </w:t>
      </w:r>
      <w:r>
        <w:t xml:space="preserve">control: ownership recorded at a single address may sit with</w:t>
      </w:r>
      <w:r>
        <w:t xml:space="preserve"> </w:t>
      </w:r>
      <w:r>
        <w:t xml:space="preserve">custodians, nominees, or aggregation vehicles rather than an</w:t>
      </w:r>
      <w:r>
        <w:t xml:space="preserve"> </w:t>
      </w:r>
      <w:r>
        <w:t xml:space="preserve">independent controller (La Porta, Lopez-de-Silanes, &amp; Shleifer, 1999).</w:t>
      </w:r>
      <w:r>
        <w:t xml:space="preserve"> </w:t>
      </w:r>
      <w:r>
        <w:t xml:space="preserve">PCA exclusion applies that control-identification logic to token holder</w:t>
      </w:r>
      <w:r>
        <w:t xml:space="preserve"> </w:t>
      </w:r>
      <w:r>
        <w:t xml:space="preserve">lists.</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rPr>
          <w:b/>
          <w:bCs/>
        </w:rPr>
        <w:t xml:space="preserve">Class 3 versus Class 5 disambiguation via transaction-pattern signatures.</w:t>
      </w:r>
      <w:r>
        <w:t xml:space="preserve"> </w:t>
      </w:r>
      <w:r>
        <w:t xml:space="preserve">Class 3 (staking-aggregation contracts) and Class 5 (centralized exchange custody) share an underlying behavioral signal of many small transfers, but the directionality and turnover characteristics differentiate them at the transaction-pattern layer. Class 5 CEX hot wallets exhibit a</w:t>
      </w:r>
      <w:r>
        <w:t xml:space="preserve"> </w:t>
      </w:r>
      <w:r>
        <w:rPr>
          <w:i/>
          <w:iCs/>
        </w:rPr>
        <w:t xml:space="preserve">deposit-collection signature</w:t>
      </w:r>
      <w: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w:t>
      </w:r>
      <w:r>
        <w:t xml:space="preserve"> </w:t>
      </w:r>
      <w:r>
        <w:rPr>
          <w:i/>
          <w:iCs/>
        </w:rPr>
        <w:t xml:space="preserve">batch-payout signature</w:t>
      </w:r>
      <w:r>
        <w:t xml:space="preserve"> </w:t>
      </w:r>
      <w:r>
        <w:t xml:space="preserve">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 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 The Polkadot fifth-protocol extension established the canonical worked examples (</w:t>
      </w:r>
      <w:hyperlink r:id="rId42">
        <w:r>
          <w:rPr>
            <w:rStyle w:val="Hyperlink"/>
          </w:rPr>
          <w:t xml:space="preserve">Supplementary File S21</w:t>
        </w:r>
      </w:hyperlink>
      <w:r>
        <w:t xml:space="preserve">): rank-2</w:t>
      </w:r>
      <w:r>
        <w:t xml:space="preserve"> </w:t>
      </w:r>
      <w:r>
        <w:rPr>
          <w:rStyle w:val="VerbatimChar"/>
        </w:rPr>
        <w:t xml:space="preserve">13Z7KjGn...</w:t>
      </w:r>
      <w:r>
        <w:t xml:space="preserve"> </w:t>
      </w:r>
      <w:r>
        <w:t xml:space="preserve">plus rank-5</w:t>
      </w:r>
      <w:r>
        <w:t xml:space="preserve"> </w:t>
      </w:r>
      <w:r>
        <w:rPr>
          <w:rStyle w:val="VerbatimChar"/>
        </w:rPr>
        <w:t xml:space="preserve">12ouvKS...</w:t>
      </w:r>
      <w:r>
        <w:t xml:space="preserve"> </w:t>
      </w:r>
      <w:r>
        <w:t xml:space="preserve">on AssetHub Polkadot classified as LIKELY-CEX via deposit-collection signature (Scenario C-narrow post-PCA-exclusion HHI = 0.0043); ranks 10/11/12 (</w:t>
      </w:r>
      <w:r>
        <w:rPr>
          <w:rStyle w:val="VerbatimChar"/>
        </w:rPr>
        <w:t xml:space="preserve">163egH5d-...</w:t>
      </w:r>
      <w:r>
        <w:t xml:space="preserve"> </w:t>
      </w:r>
      <w:r>
        <w:t xml:space="preserve">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p>
    <w:p>
      <w:pPr>
        <w:pStyle w:val="BodyText"/>
      </w:pPr>
      <w:r>
        <w:t xml:space="preserve">Across the five classes, this paper applies 133 PCA exclusions across</w:t>
      </w:r>
      <w:r>
        <w:t xml:space="preserve"> </w:t>
      </w:r>
      <w:r>
        <w:t xml:space="preserve">38 protocols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3"/>
    <w:bookmarkEnd w:id="44"/>
    <w:bookmarkStart w:id="90" w:name="results"/>
    <w:p>
      <w:pPr>
        <w:pStyle w:val="Heading1"/>
      </w:pPr>
      <w:r>
        <w:t xml:space="preserve">4 Results</w:t>
      </w:r>
    </w:p>
    <w:bookmarkStart w:id="45" w:name="scope-and-claims-boundary"/>
    <w:p>
      <w:pPr>
        <w:pStyle w:val="Heading2"/>
      </w:pPr>
      <w:r>
        <w:t xml:space="preserve">4.1 Scope and Claims Boundary</w:t>
      </w:r>
    </w:p>
    <w:p>
      <w:pPr>
        <w:pStyle w:val="FirstParagraph"/>
      </w:pPr>
      <w:r>
        <w:t xml:space="preserve">The cross-section covers 52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4.6;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5"/>
    <w:bookmarkStart w:id="50"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52-protocol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7666"/>
            <wp:effectExtent b="0" l="0" r="0" t="0"/>
            <wp:docPr descr="" title="" id="47" name="Picture"/>
            <a:graphic>
              <a:graphicData uri="http://schemas.openxmlformats.org/drawingml/2006/picture">
                <pic:pic>
                  <pic:nvPicPr>
                    <pic:cNvPr descr="media/fig3_hhi_bar_40protocols.png" id="48" name="Picture"/>
                    <pic:cNvPicPr>
                      <a:picLocks noChangeArrowheads="1" noChangeAspect="1"/>
                    </pic:cNvPicPr>
                  </pic:nvPicPr>
                  <pic:blipFill>
                    <a:blip r:embed="rId46"/>
                    <a:stretch>
                      <a:fillRect/>
                    </a:stretch>
                  </pic:blipFill>
                  <pic:spPr bwMode="auto">
                    <a:xfrm>
                      <a:off x="0" y="0"/>
                      <a:ext cx="5334000" cy="6137666"/>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 the</w:t>
      </w:r>
      <w:r>
        <w:t xml:space="preserve"> </w:t>
      </w:r>
      <w:hyperlink r:id="rId49">
        <w:r>
          <w:rPr>
            <w:rStyle w:val="Hyperlink"/>
          </w:rPr>
          <w:t xml:space="preserve">exclusions log</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0.020</w:t>
            </w:r>
          </w:p>
        </w:tc>
        <w:tc>
          <w:tcPr/>
          <w:p>
            <w:pPr>
              <w:pStyle w:val="Compact"/>
              <w:jc w:val="left"/>
            </w:pPr>
            <w:r>
              <w:t xml:space="preserve">0.91</w:t>
            </w:r>
          </w:p>
        </w:tc>
        <w:tc>
          <w:tcPr/>
          <w:p>
            <w:pPr>
              <w:pStyle w:val="Compact"/>
              <w:jc w:val="left"/>
            </w:pPr>
            <w:r>
              <w:t xml:space="preserve">5.0%</w:t>
            </w:r>
          </w:p>
        </w:tc>
        <w:tc>
          <w:tcPr/>
          <w:p>
            <w:pPr>
              <w:pStyle w:val="Compact"/>
              <w:jc w:val="left"/>
            </w:pPr>
            <w:r>
              <w:t xml:space="preserve">32.7%</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0.0273</w:t>
            </w:r>
          </w:p>
        </w:tc>
        <w:tc>
          <w:tcPr/>
          <w:p>
            <w:pPr>
              <w:pStyle w:val="Compact"/>
              <w:jc w:val="left"/>
            </w:pPr>
            <w:r>
              <w:t xml:space="preserve">0.88</w:t>
            </w:r>
          </w:p>
        </w:tc>
        <w:tc>
          <w:tcPr/>
          <w:p>
            <w:pPr>
              <w:pStyle w:val="Compact"/>
              <w:jc w:val="left"/>
            </w:pPr>
            <w:r>
              <w:t xml:space="preserve">10.3%</w:t>
            </w:r>
          </w:p>
        </w:tc>
        <w:tc>
          <w:tcPr/>
          <w:p>
            <w:pPr>
              <w:pStyle w:val="Compact"/>
              <w:jc w:val="left"/>
            </w:pPr>
            <w:r>
              <w:t xml:space="preserve">43.3%</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0.0130</w:t>
            </w:r>
          </w:p>
        </w:tc>
        <w:tc>
          <w:tcPr/>
          <w:p>
            <w:pPr>
              <w:pStyle w:val="Compact"/>
              <w:jc w:val="left"/>
            </w:pPr>
            <w:r>
              <w:t xml:space="preserve">0.71</w:t>
            </w:r>
          </w:p>
        </w:tc>
        <w:tc>
          <w:tcPr/>
          <w:p>
            <w:pPr>
              <w:pStyle w:val="Compact"/>
              <w:jc w:val="left"/>
            </w:pPr>
            <w:r>
              <w:t xml:space="preserve">4.9%</w:t>
            </w:r>
          </w:p>
        </w:tc>
        <w:tc>
          <w:tcPr/>
          <w:p>
            <w:pPr>
              <w:pStyle w:val="Compact"/>
              <w:jc w:val="left"/>
            </w:pPr>
            <w:r>
              <w:t xml:space="preserve">30.2%</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0.0988</w:t>
            </w:r>
          </w:p>
        </w:tc>
        <w:tc>
          <w:tcPr/>
          <w:p>
            <w:pPr>
              <w:pStyle w:val="Compact"/>
              <w:jc w:val="left"/>
            </w:pPr>
            <w:r>
              <w:t xml:space="preserve">0.98</w:t>
            </w:r>
          </w:p>
        </w:tc>
        <w:tc>
          <w:tcPr/>
          <w:p>
            <w:pPr>
              <w:pStyle w:val="Compact"/>
              <w:jc w:val="left"/>
            </w:pPr>
            <w:r>
              <w:t xml:space="preserve">22.1%</w:t>
            </w:r>
          </w:p>
        </w:tc>
        <w:tc>
          <w:tcPr/>
          <w:p>
            <w:pPr>
              <w:pStyle w:val="Compact"/>
              <w:jc w:val="left"/>
            </w:pPr>
            <w:r>
              <w:t xml:space="preserve">75.3%</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0.0402</w:t>
            </w:r>
          </w:p>
        </w:tc>
        <w:tc>
          <w:tcPr/>
          <w:p>
            <w:pPr>
              <w:pStyle w:val="Compact"/>
              <w:jc w:val="left"/>
            </w:pPr>
            <w:r>
              <w:t xml:space="preserve">0.94</w:t>
            </w:r>
          </w:p>
        </w:tc>
        <w:tc>
          <w:tcPr/>
          <w:p>
            <w:pPr>
              <w:pStyle w:val="Compact"/>
              <w:jc w:val="left"/>
            </w:pPr>
            <w:r>
              <w:t xml:space="preserve">12.3%</w:t>
            </w:r>
          </w:p>
        </w:tc>
        <w:tc>
          <w:tcPr/>
          <w:p>
            <w:pPr>
              <w:pStyle w:val="Compact"/>
              <w:jc w:val="left"/>
            </w:pPr>
            <w:r>
              <w:t xml:space="preserve">54.1%</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0.1001</w:t>
            </w:r>
          </w:p>
        </w:tc>
        <w:tc>
          <w:tcPr/>
          <w:p>
            <w:pPr>
              <w:pStyle w:val="Compact"/>
              <w:jc w:val="left"/>
            </w:pPr>
            <w:r>
              <w:t xml:space="preserve">0.94</w:t>
            </w:r>
          </w:p>
        </w:tc>
        <w:tc>
          <w:tcPr/>
          <w:p>
            <w:pPr>
              <w:pStyle w:val="Compact"/>
              <w:jc w:val="left"/>
            </w:pPr>
            <w:r>
              <w:t xml:space="preserve">25.4%</w:t>
            </w:r>
          </w:p>
        </w:tc>
        <w:tc>
          <w:tcPr/>
          <w:p>
            <w:pPr>
              <w:pStyle w:val="Compact"/>
              <w:jc w:val="left"/>
            </w:pPr>
            <w:r>
              <w:t xml:space="preserve">60.1%</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3.2%</w:t>
            </w:r>
          </w:p>
        </w:tc>
        <w:tc>
          <w:tcPr/>
          <w:p>
            <w:pPr>
              <w:pStyle w:val="Compact"/>
              <w:jc w:val="left"/>
            </w:pPr>
            <w:r>
              <w:t xml:space="preserve">18.3%</w:t>
            </w:r>
          </w:p>
        </w:tc>
        <w:tc>
          <w:tcPr/>
          <w:p>
            <w:pPr>
              <w:pStyle w:val="Compact"/>
              <w:jc w:val="left"/>
            </w:pPr>
            <w:r>
              <w:t xml:space="preserve">1009</w:t>
            </w:r>
          </w:p>
        </w:tc>
      </w:tr>
      <w:tr>
        <w:tc>
          <w:tcPr/>
          <w:p>
            <w:pPr>
              <w:pStyle w:val="Compact"/>
              <w:jc w:val="left"/>
            </w:pPr>
            <w:r>
              <w:t xml:space="preserve">Synthetix</w:t>
            </w:r>
          </w:p>
        </w:tc>
        <w:tc>
          <w:tcPr/>
          <w:p>
            <w:pPr>
              <w:pStyle w:val="Compact"/>
              <w:jc w:val="left"/>
            </w:pPr>
            <w:r>
              <w:t xml:space="preserve">SNX</w:t>
            </w:r>
          </w:p>
        </w:tc>
        <w:tc>
          <w:tcPr/>
          <w:p>
            <w:pPr>
              <w:pStyle w:val="Compact"/>
              <w:jc w:val="left"/>
            </w:pPr>
            <w:r>
              <w:t xml:space="preserve">DeFi</w:t>
            </w:r>
          </w:p>
        </w:tc>
        <w:tc>
          <w:tcPr/>
          <w:p>
            <w:pPr>
              <w:pStyle w:val="Compact"/>
              <w:jc w:val="left"/>
            </w:pPr>
            <w:r>
              <w:t xml:space="preserve">0.0171</w:t>
            </w:r>
          </w:p>
        </w:tc>
        <w:tc>
          <w:tcPr/>
          <w:p>
            <w:pPr>
              <w:pStyle w:val="Compact"/>
              <w:jc w:val="left"/>
            </w:pPr>
            <w:r>
              <w:t xml:space="preserve">0.90</w:t>
            </w:r>
          </w:p>
        </w:tc>
        <w:tc>
          <w:tcPr/>
          <w:p>
            <w:pPr>
              <w:pStyle w:val="Compact"/>
              <w:jc w:val="left"/>
            </w:pPr>
            <w:r>
              <w:t xml:space="preserve">8.4%</w:t>
            </w:r>
          </w:p>
        </w:tc>
        <w:tc>
          <w:tcPr/>
          <w:p>
            <w:pPr>
              <w:pStyle w:val="Compact"/>
              <w:jc w:val="left"/>
            </w:pPr>
            <w:r>
              <w:t xml:space="preserve">36.5%</w:t>
            </w:r>
          </w:p>
        </w:tc>
        <w:tc>
          <w:tcPr/>
          <w:p>
            <w:pPr>
              <w:pStyle w:val="Compact"/>
              <w:jc w:val="left"/>
            </w:pPr>
            <w:r>
              <w:t xml:space="preserve">1000</w:t>
            </w:r>
          </w:p>
        </w:tc>
      </w:tr>
      <w:tr>
        <w:tc>
          <w:tcPr/>
          <w:p>
            <w:pPr>
              <w:pStyle w:val="Compact"/>
              <w:jc w:val="left"/>
            </w:pPr>
            <w:r>
              <w:t xml:space="preserve">Bonk</w:t>
            </w:r>
          </w:p>
        </w:tc>
        <w:tc>
          <w:tcPr/>
          <w:p>
            <w:pPr>
              <w:pStyle w:val="Compact"/>
              <w:jc w:val="left"/>
            </w:pPr>
            <w:r>
              <w:t xml:space="preserve">BONK</w:t>
            </w:r>
          </w:p>
        </w:tc>
        <w:tc>
          <w:tcPr/>
          <w:p>
            <w:pPr>
              <w:pStyle w:val="Compact"/>
              <w:jc w:val="left"/>
            </w:pPr>
            <w:r>
              <w:t xml:space="preserve">DeFi</w:t>
            </w:r>
          </w:p>
        </w:tc>
        <w:tc>
          <w:tcPr/>
          <w:p>
            <w:pPr>
              <w:pStyle w:val="Compact"/>
              <w:jc w:val="left"/>
            </w:pPr>
            <w:r>
              <w:t xml:space="preserve">0.0226</w:t>
            </w:r>
          </w:p>
        </w:tc>
        <w:tc>
          <w:tcPr/>
          <w:p>
            <w:pPr>
              <w:pStyle w:val="Compact"/>
              <w:jc w:val="left"/>
            </w:pPr>
            <w:r>
              <w:t xml:space="preserve">0.86</w:t>
            </w:r>
          </w:p>
        </w:tc>
        <w:tc>
          <w:tcPr/>
          <w:p>
            <w:pPr>
              <w:pStyle w:val="Compact"/>
              <w:jc w:val="left"/>
            </w:pPr>
            <w:r>
              <w:t xml:space="preserve">7.9%</w:t>
            </w:r>
          </w:p>
        </w:tc>
        <w:tc>
          <w:tcPr/>
          <w:p>
            <w:pPr>
              <w:pStyle w:val="Compact"/>
              <w:jc w:val="left"/>
            </w:pPr>
            <w:r>
              <w:t xml:space="preserve">40.8%</w:t>
            </w:r>
          </w:p>
        </w:tc>
        <w:tc>
          <w:tcPr/>
          <w:p>
            <w:pPr>
              <w:pStyle w:val="Compact"/>
              <w:jc w:val="left"/>
            </w:pPr>
            <w:r>
              <w:t xml:space="preserve">995</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0.0237</w:t>
            </w:r>
          </w:p>
        </w:tc>
        <w:tc>
          <w:tcPr/>
          <w:p>
            <w:pPr>
              <w:pStyle w:val="Compact"/>
              <w:jc w:val="left"/>
            </w:pPr>
            <w:r>
              <w:t xml:space="preserve">0.88</w:t>
            </w:r>
          </w:p>
        </w:tc>
        <w:tc>
          <w:tcPr/>
          <w:p>
            <w:pPr>
              <w:pStyle w:val="Compact"/>
              <w:jc w:val="left"/>
            </w:pPr>
            <w:r>
              <w:t xml:space="preserve">9.2%</w:t>
            </w:r>
          </w:p>
        </w:tc>
        <w:tc>
          <w:tcPr/>
          <w:p>
            <w:pPr>
              <w:pStyle w:val="Compact"/>
              <w:jc w:val="left"/>
            </w:pPr>
            <w:r>
              <w:t xml:space="preserve">39.0%</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0.0086</w:t>
            </w:r>
          </w:p>
        </w:tc>
        <w:tc>
          <w:tcPr/>
          <w:p>
            <w:pPr>
              <w:pStyle w:val="Compact"/>
              <w:jc w:val="left"/>
            </w:pPr>
            <w:r>
              <w:t xml:space="preserve">0.84</w:t>
            </w:r>
          </w:p>
        </w:tc>
        <w:tc>
          <w:tcPr/>
          <w:p>
            <w:pPr>
              <w:pStyle w:val="Compact"/>
              <w:jc w:val="left"/>
            </w:pPr>
            <w:r>
              <w:t xml:space="preserve">3.4%</w:t>
            </w:r>
          </w:p>
        </w:tc>
        <w:tc>
          <w:tcPr/>
          <w:p>
            <w:pPr>
              <w:pStyle w:val="Compact"/>
              <w:jc w:val="left"/>
            </w:pPr>
            <w:r>
              <w:t xml:space="preserve">19.4%</w:t>
            </w:r>
          </w:p>
        </w:tc>
        <w:tc>
          <w:tcPr/>
          <w:p>
            <w:pPr>
              <w:pStyle w:val="Compact"/>
              <w:jc w:val="left"/>
            </w:pPr>
            <w:r>
              <w:t xml:space="preserve">1005</w:t>
            </w:r>
          </w:p>
        </w:tc>
      </w:tr>
      <w:tr>
        <w:tc>
          <w:tcPr/>
          <w:p>
            <w:pPr>
              <w:pStyle w:val="Compact"/>
              <w:jc w:val="left"/>
            </w:pPr>
            <w:r>
              <w:t xml:space="preserve">Jito</w:t>
            </w:r>
          </w:p>
        </w:tc>
        <w:tc>
          <w:tcPr/>
          <w:p>
            <w:pPr>
              <w:pStyle w:val="Compact"/>
              <w:jc w:val="left"/>
            </w:pPr>
            <w:r>
              <w:t xml:space="preserve">JTO</w:t>
            </w:r>
          </w:p>
        </w:tc>
        <w:tc>
          <w:tcPr/>
          <w:p>
            <w:pPr>
              <w:pStyle w:val="Compact"/>
              <w:jc w:val="left"/>
            </w:pPr>
            <w:r>
              <w:t xml:space="preserve">DeFi</w:t>
            </w:r>
          </w:p>
        </w:tc>
        <w:tc>
          <w:tcPr/>
          <w:p>
            <w:pPr>
              <w:pStyle w:val="Compact"/>
              <w:jc w:val="left"/>
            </w:pPr>
            <w:r>
              <w:t xml:space="preserve">0.0266</w:t>
            </w:r>
          </w:p>
        </w:tc>
        <w:tc>
          <w:tcPr/>
          <w:p>
            <w:pPr>
              <w:pStyle w:val="Compact"/>
              <w:jc w:val="left"/>
            </w:pPr>
            <w:r>
              <w:t xml:space="preserve">0.91</w:t>
            </w:r>
          </w:p>
        </w:tc>
        <w:tc>
          <w:tcPr/>
          <w:p>
            <w:pPr>
              <w:pStyle w:val="Compact"/>
              <w:jc w:val="left"/>
            </w:pPr>
            <w:r>
              <w:t xml:space="preserve">9.9%</w:t>
            </w:r>
          </w:p>
        </w:tc>
        <w:tc>
          <w:tcPr/>
          <w:p>
            <w:pPr>
              <w:pStyle w:val="Compact"/>
              <w:jc w:val="left"/>
            </w:pPr>
            <w:r>
              <w:t xml:space="preserve">41.2%</w:t>
            </w:r>
          </w:p>
        </w:tc>
        <w:tc>
          <w:tcPr/>
          <w:p>
            <w:pPr>
              <w:pStyle w:val="Compact"/>
              <w:jc w:val="left"/>
            </w:pPr>
            <w:r>
              <w:t xml:space="preserve">997</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Kamino Finance</w:t>
            </w:r>
          </w:p>
        </w:tc>
        <w:tc>
          <w:tcPr/>
          <w:p>
            <w:pPr>
              <w:pStyle w:val="Compact"/>
              <w:jc w:val="left"/>
            </w:pPr>
            <w:r>
              <w:t xml:space="preserve">KMNO</w:t>
            </w:r>
          </w:p>
        </w:tc>
        <w:tc>
          <w:tcPr/>
          <w:p>
            <w:pPr>
              <w:pStyle w:val="Compact"/>
              <w:jc w:val="left"/>
            </w:pPr>
            <w:r>
              <w:t xml:space="preserve">DeFi</w:t>
            </w:r>
          </w:p>
        </w:tc>
        <w:tc>
          <w:tcPr/>
          <w:p>
            <w:pPr>
              <w:pStyle w:val="Compact"/>
              <w:jc w:val="left"/>
            </w:pPr>
            <w:r>
              <w:t xml:space="preserve">0.0269</w:t>
            </w:r>
          </w:p>
        </w:tc>
        <w:tc>
          <w:tcPr/>
          <w:p>
            <w:pPr>
              <w:pStyle w:val="Compact"/>
              <w:jc w:val="left"/>
            </w:pPr>
            <w:r>
              <w:t xml:space="preserve">0.93</w:t>
            </w:r>
          </w:p>
        </w:tc>
        <w:tc>
          <w:tcPr/>
          <w:p>
            <w:pPr>
              <w:pStyle w:val="Compact"/>
              <w:jc w:val="left"/>
            </w:pPr>
            <w:r>
              <w:t xml:space="preserve">8.0%</w:t>
            </w:r>
          </w:p>
        </w:tc>
        <w:tc>
          <w:tcPr/>
          <w:p>
            <w:pPr>
              <w:pStyle w:val="Compact"/>
              <w:jc w:val="left"/>
            </w:pPr>
            <w:r>
              <w:t xml:space="preserve">44.2%</w:t>
            </w:r>
          </w:p>
        </w:tc>
        <w:tc>
          <w:tcPr/>
          <w:p>
            <w:pPr>
              <w:pStyle w:val="Compact"/>
              <w:jc w:val="left"/>
            </w:pPr>
            <w:r>
              <w:t xml:space="preserve">999</w:t>
            </w:r>
          </w:p>
        </w:tc>
      </w:tr>
      <w:tr>
        <w:tc>
          <w:tcPr/>
          <w:p>
            <w:pPr>
              <w:pStyle w:val="Compact"/>
              <w:jc w:val="left"/>
            </w:pPr>
            <w:r>
              <w:t xml:space="preserve">Frax Finance</w:t>
            </w:r>
          </w:p>
        </w:tc>
        <w:tc>
          <w:tcPr/>
          <w:p>
            <w:pPr>
              <w:pStyle w:val="Compact"/>
              <w:jc w:val="left"/>
            </w:pPr>
            <w:r>
              <w:t xml:space="preserve">FXS</w:t>
            </w:r>
          </w:p>
        </w:tc>
        <w:tc>
          <w:tcPr/>
          <w:p>
            <w:pPr>
              <w:pStyle w:val="Compact"/>
              <w:jc w:val="left"/>
            </w:pPr>
            <w:r>
              <w:t xml:space="preserve">DeFi</w:t>
            </w:r>
          </w:p>
        </w:tc>
        <w:tc>
          <w:tcPr/>
          <w:p>
            <w:pPr>
              <w:pStyle w:val="Compact"/>
              <w:jc w:val="left"/>
            </w:pPr>
            <w:r>
              <w:t xml:space="preserve">0.0324</w:t>
            </w:r>
          </w:p>
        </w:tc>
        <w:tc>
          <w:tcPr/>
          <w:p>
            <w:pPr>
              <w:pStyle w:val="Compact"/>
              <w:jc w:val="left"/>
            </w:pPr>
            <w:r>
              <w:t xml:space="preserve">0.91</w:t>
            </w:r>
          </w:p>
        </w:tc>
        <w:tc>
          <w:tcPr/>
          <w:p>
            <w:pPr>
              <w:pStyle w:val="Compact"/>
              <w:jc w:val="left"/>
            </w:pPr>
            <w:r>
              <w:t xml:space="preserve">11.1%</w:t>
            </w:r>
          </w:p>
        </w:tc>
        <w:tc>
          <w:tcPr/>
          <w:p>
            <w:pPr>
              <w:pStyle w:val="Compact"/>
              <w:jc w:val="left"/>
            </w:pPr>
            <w:r>
              <w:t xml:space="preserve">50.3%</w:t>
            </w:r>
          </w:p>
        </w:tc>
        <w:tc>
          <w:tcPr/>
          <w:p>
            <w:pPr>
              <w:pStyle w:val="Compact"/>
              <w:jc w:val="left"/>
            </w:pPr>
            <w:r>
              <w:t xml:space="preserve">1000</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0.0406</w:t>
            </w:r>
          </w:p>
        </w:tc>
        <w:tc>
          <w:tcPr/>
          <w:p>
            <w:pPr>
              <w:pStyle w:val="Compact"/>
              <w:jc w:val="left"/>
            </w:pPr>
            <w:r>
              <w:t xml:space="preserve">0.87</w:t>
            </w:r>
          </w:p>
        </w:tc>
        <w:tc>
          <w:tcPr/>
          <w:p>
            <w:pPr>
              <w:pStyle w:val="Compact"/>
              <w:jc w:val="left"/>
            </w:pPr>
            <w:r>
              <w:t xml:space="preserve">12.1%</w:t>
            </w:r>
          </w:p>
        </w:tc>
        <w:tc>
          <w:tcPr/>
          <w:p>
            <w:pPr>
              <w:pStyle w:val="Compact"/>
              <w:jc w:val="left"/>
            </w:pPr>
            <w:r>
              <w:t xml:space="preserve">52.6%</w:t>
            </w:r>
          </w:p>
        </w:tc>
        <w:tc>
          <w:tcPr/>
          <w:p>
            <w:pPr>
              <w:pStyle w:val="Compact"/>
              <w:jc w:val="left"/>
            </w:pPr>
            <w:r>
              <w:t xml:space="preserve">1002</w:t>
            </w:r>
          </w:p>
        </w:tc>
      </w:tr>
      <w:tr>
        <w:tc>
          <w:tcPr/>
          <w:p>
            <w:pPr>
              <w:pStyle w:val="Compact"/>
              <w:jc w:val="left"/>
            </w:pPr>
            <w:r>
              <w:t xml:space="preserve">Pump.fun</w:t>
            </w:r>
          </w:p>
        </w:tc>
        <w:tc>
          <w:tcPr/>
          <w:p>
            <w:pPr>
              <w:pStyle w:val="Compact"/>
              <w:jc w:val="left"/>
            </w:pPr>
            <w:r>
              <w:t xml:space="preserve">PUMP</w:t>
            </w:r>
          </w:p>
        </w:tc>
        <w:tc>
          <w:tcPr/>
          <w:p>
            <w:pPr>
              <w:pStyle w:val="Compact"/>
              <w:jc w:val="left"/>
            </w:pPr>
            <w:r>
              <w:t xml:space="preserve">DeFi</w:t>
            </w:r>
          </w:p>
        </w:tc>
        <w:tc>
          <w:tcPr/>
          <w:p>
            <w:pPr>
              <w:pStyle w:val="Compact"/>
              <w:jc w:val="left"/>
            </w:pPr>
            <w:r>
              <w:t xml:space="preserve">0.0316</w:t>
            </w:r>
          </w:p>
        </w:tc>
        <w:tc>
          <w:tcPr/>
          <w:p>
            <w:pPr>
              <w:pStyle w:val="Compact"/>
              <w:jc w:val="left"/>
            </w:pPr>
            <w:r>
              <w:t xml:space="preserve">0.88</w:t>
            </w:r>
          </w:p>
        </w:tc>
        <w:tc>
          <w:tcPr/>
          <w:p>
            <w:pPr>
              <w:pStyle w:val="Compact"/>
              <w:jc w:val="left"/>
            </w:pPr>
            <w:r>
              <w:t xml:space="preserve">9.7%</w:t>
            </w:r>
          </w:p>
        </w:tc>
        <w:tc>
          <w:tcPr/>
          <w:p>
            <w:pPr>
              <w:pStyle w:val="Compact"/>
              <w:jc w:val="left"/>
            </w:pPr>
            <w:r>
              <w:t xml:space="preserve">47.9%</w:t>
            </w:r>
          </w:p>
        </w:tc>
        <w:tc>
          <w:tcPr/>
          <w:p>
            <w:pPr>
              <w:pStyle w:val="Compact"/>
              <w:jc w:val="left"/>
            </w:pPr>
            <w:r>
              <w:t xml:space="preserve">994</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Gnosis</w:t>
            </w:r>
          </w:p>
        </w:tc>
        <w:tc>
          <w:tcPr/>
          <w:p>
            <w:pPr>
              <w:pStyle w:val="Compact"/>
              <w:jc w:val="left"/>
            </w:pPr>
            <w:r>
              <w:t xml:space="preserve">GNO</w:t>
            </w:r>
          </w:p>
        </w:tc>
        <w:tc>
          <w:tcPr/>
          <w:p>
            <w:pPr>
              <w:pStyle w:val="Compact"/>
              <w:jc w:val="left"/>
            </w:pPr>
            <w:r>
              <w:t xml:space="preserve">DeFi</w:t>
            </w:r>
          </w:p>
        </w:tc>
        <w:tc>
          <w:tcPr/>
          <w:p>
            <w:pPr>
              <w:pStyle w:val="Compact"/>
              <w:jc w:val="left"/>
            </w:pPr>
            <w:r>
              <w:t xml:space="preserve">0.0425</w:t>
            </w:r>
          </w:p>
        </w:tc>
        <w:tc>
          <w:tcPr/>
          <w:p>
            <w:pPr>
              <w:pStyle w:val="Compact"/>
              <w:jc w:val="left"/>
            </w:pPr>
            <w:r>
              <w:t xml:space="preserve">0.91</w:t>
            </w:r>
          </w:p>
        </w:tc>
        <w:tc>
          <w:tcPr/>
          <w:p>
            <w:pPr>
              <w:pStyle w:val="Compact"/>
              <w:jc w:val="left"/>
            </w:pPr>
            <w:r>
              <w:t xml:space="preserve">13.8%</w:t>
            </w:r>
          </w:p>
        </w:tc>
        <w:tc>
          <w:tcPr/>
          <w:p>
            <w:pPr>
              <w:pStyle w:val="Compact"/>
              <w:jc w:val="left"/>
            </w:pPr>
            <w:r>
              <w:t xml:space="preserve">51.7%</w:t>
            </w:r>
          </w:p>
        </w:tc>
        <w:tc>
          <w:tcPr/>
          <w:p>
            <w:pPr>
              <w:pStyle w:val="Compact"/>
              <w:jc w:val="left"/>
            </w:pPr>
            <w:r>
              <w:t xml:space="preserve">1000</w:t>
            </w:r>
          </w:p>
        </w:tc>
      </w:tr>
      <w:tr>
        <w:tc>
          <w:tcPr/>
          <w:p>
            <w:pPr>
              <w:pStyle w:val="Compact"/>
              <w:jc w:val="left"/>
            </w:pPr>
            <w:r>
              <w:t xml:space="preserve">Ethena</w:t>
            </w:r>
          </w:p>
        </w:tc>
        <w:tc>
          <w:tcPr/>
          <w:p>
            <w:pPr>
              <w:pStyle w:val="Compact"/>
              <w:jc w:val="left"/>
            </w:pPr>
            <w:r>
              <w:t xml:space="preserve">ENA</w:t>
            </w:r>
          </w:p>
        </w:tc>
        <w:tc>
          <w:tcPr/>
          <w:p>
            <w:pPr>
              <w:pStyle w:val="Compact"/>
              <w:jc w:val="left"/>
            </w:pPr>
            <w:r>
              <w:t xml:space="preserve">DeFi</w:t>
            </w:r>
          </w:p>
        </w:tc>
        <w:tc>
          <w:tcPr/>
          <w:p>
            <w:pPr>
              <w:pStyle w:val="Compact"/>
              <w:jc w:val="left"/>
            </w:pPr>
            <w:r>
              <w:t xml:space="preserve">0.0427</w:t>
            </w:r>
          </w:p>
        </w:tc>
        <w:tc>
          <w:tcPr/>
          <w:p>
            <w:pPr>
              <w:pStyle w:val="Compact"/>
              <w:jc w:val="left"/>
            </w:pPr>
            <w:r>
              <w:t xml:space="preserve">0.89 1</w:t>
            </w:r>
          </w:p>
        </w:tc>
        <w:tc>
          <w:tcPr/>
          <w:p>
            <w:pPr>
              <w:pStyle w:val="Compact"/>
              <w:jc w:val="left"/>
            </w:pPr>
            <w:r>
              <w:t xml:space="preserve">5.8%</w:t>
            </w:r>
          </w:p>
        </w:tc>
        <w:tc>
          <w:tcPr/>
          <w:p>
            <w:pPr>
              <w:pStyle w:val="Compact"/>
              <w:jc w:val="left"/>
            </w:pPr>
            <w:r>
              <w:t xml:space="preserve">47.4%</w:t>
            </w:r>
          </w:p>
        </w:tc>
        <w:tc>
          <w:tcPr/>
          <w:p>
            <w:pPr>
              <w:pStyle w:val="Compact"/>
              <w:jc w:val="left"/>
            </w:pPr>
            <w:r>
              <w:t xml:space="preserve">998</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4.4%</w:t>
            </w:r>
          </w:p>
        </w:tc>
        <w:tc>
          <w:tcPr/>
          <w:p>
            <w:pPr>
              <w:pStyle w:val="Compact"/>
              <w:jc w:val="left"/>
            </w:pPr>
            <w:r>
              <w:t xml:space="preserve">27.5%</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0.0265</w:t>
            </w:r>
          </w:p>
        </w:tc>
        <w:tc>
          <w:tcPr/>
          <w:p>
            <w:pPr>
              <w:pStyle w:val="Compact"/>
              <w:jc w:val="left"/>
            </w:pPr>
            <w:r>
              <w:t xml:space="preserve">0.92</w:t>
            </w:r>
          </w:p>
        </w:tc>
        <w:tc>
          <w:tcPr/>
          <w:p>
            <w:pPr>
              <w:pStyle w:val="Compact"/>
              <w:jc w:val="left"/>
            </w:pPr>
            <w:r>
              <w:t xml:space="preserve">10.8%</w:t>
            </w:r>
          </w:p>
        </w:tc>
        <w:tc>
          <w:tcPr/>
          <w:p>
            <w:pPr>
              <w:pStyle w:val="Compact"/>
              <w:jc w:val="left"/>
            </w:pPr>
            <w:r>
              <w:t xml:space="preserve">37.5%</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0.0450</w:t>
            </w:r>
          </w:p>
        </w:tc>
        <w:tc>
          <w:tcPr/>
          <w:p>
            <w:pPr>
              <w:pStyle w:val="Compact"/>
              <w:jc w:val="left"/>
            </w:pPr>
            <w:r>
              <w:t xml:space="preserve">0.98</w:t>
            </w:r>
          </w:p>
        </w:tc>
        <w:tc>
          <w:tcPr/>
          <w:p>
            <w:pPr>
              <w:pStyle w:val="Compact"/>
              <w:jc w:val="left"/>
            </w:pPr>
            <w:r>
              <w:t xml:space="preserve">12.0%</w:t>
            </w:r>
          </w:p>
        </w:tc>
        <w:tc>
          <w:tcPr/>
          <w:p>
            <w:pPr>
              <w:pStyle w:val="Compact"/>
              <w:jc w:val="left"/>
            </w:pPr>
            <w:r>
              <w:t xml:space="preserve">58.3%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0.0146</w:t>
            </w:r>
          </w:p>
        </w:tc>
        <w:tc>
          <w:tcPr/>
          <w:p>
            <w:pPr>
              <w:pStyle w:val="Compact"/>
              <w:jc w:val="left"/>
            </w:pPr>
            <w:r>
              <w:t xml:space="preserve">0.79</w:t>
            </w:r>
          </w:p>
        </w:tc>
        <w:tc>
          <w:tcPr/>
          <w:p>
            <w:pPr>
              <w:pStyle w:val="Compact"/>
              <w:jc w:val="left"/>
            </w:pPr>
            <w:r>
              <w:t xml:space="preserve">6.7%</w:t>
            </w:r>
          </w:p>
        </w:tc>
        <w:tc>
          <w:tcPr/>
          <w:p>
            <w:pPr>
              <w:pStyle w:val="Compact"/>
              <w:jc w:val="left"/>
            </w:pPr>
            <w:r>
              <w:t xml:space="preserve">31.5%</w:t>
            </w:r>
          </w:p>
        </w:tc>
        <w:tc>
          <w:tcPr/>
          <w:p>
            <w:pPr>
              <w:pStyle w:val="Compact"/>
              <w:jc w:val="left"/>
            </w:pPr>
            <w:r>
              <w:t xml:space="preserve">1010</w:t>
            </w:r>
          </w:p>
        </w:tc>
      </w:tr>
      <w:tr>
        <w:tc>
          <w:tcPr/>
          <w:p>
            <w:pPr>
              <w:pStyle w:val="Compact"/>
              <w:jc w:val="left"/>
            </w:pPr>
            <w:r>
              <w:t xml:space="preserve">World Liberty</w:t>
            </w:r>
          </w:p>
        </w:tc>
        <w:tc>
          <w:tcPr/>
          <w:p>
            <w:pPr>
              <w:pStyle w:val="Compact"/>
              <w:jc w:val="left"/>
            </w:pPr>
            <w:r>
              <w:t xml:space="preserve">WLFI</w:t>
            </w:r>
          </w:p>
        </w:tc>
        <w:tc>
          <w:tcPr/>
          <w:p>
            <w:pPr>
              <w:pStyle w:val="Compact"/>
              <w:jc w:val="left"/>
            </w:pPr>
            <w:r>
              <w:t xml:space="preserve">DeFi</w:t>
            </w:r>
          </w:p>
        </w:tc>
        <w:tc>
          <w:tcPr/>
          <w:p>
            <w:pPr>
              <w:pStyle w:val="Compact"/>
              <w:jc w:val="left"/>
            </w:pPr>
            <w:r>
              <w:t xml:space="preserve">0.0812</w:t>
            </w:r>
          </w:p>
        </w:tc>
        <w:tc>
          <w:tcPr/>
          <w:p>
            <w:pPr>
              <w:pStyle w:val="Compact"/>
              <w:jc w:val="left"/>
            </w:pPr>
            <w:r>
              <w:t xml:space="preserve">0.94</w:t>
            </w:r>
          </w:p>
        </w:tc>
        <w:tc>
          <w:tcPr/>
          <w:p>
            <w:pPr>
              <w:pStyle w:val="Compact"/>
              <w:jc w:val="left"/>
            </w:pPr>
            <w:r>
              <w:t xml:space="preserve">25.9%</w:t>
            </w:r>
          </w:p>
        </w:tc>
        <w:tc>
          <w:tcPr/>
          <w:p>
            <w:pPr>
              <w:pStyle w:val="Compact"/>
              <w:jc w:val="left"/>
            </w:pPr>
            <w:r>
              <w:t xml:space="preserve">54.0%</w:t>
            </w:r>
          </w:p>
        </w:tc>
        <w:tc>
          <w:tcPr/>
          <w:p>
            <w:pPr>
              <w:pStyle w:val="Compact"/>
              <w:jc w:val="left"/>
            </w:pPr>
            <w:r>
              <w:t xml:space="preserve">994</w:t>
            </w:r>
          </w:p>
        </w:tc>
      </w:tr>
      <w:tr>
        <w:tc>
          <w:tcPr/>
          <w:p>
            <w:pPr>
              <w:pStyle w:val="Compact"/>
              <w:jc w:val="left"/>
            </w:pPr>
            <w:r>
              <w:t xml:space="preserve">Bittensor</w:t>
            </w:r>
          </w:p>
        </w:tc>
        <w:tc>
          <w:tcPr/>
          <w:p>
            <w:pPr>
              <w:pStyle w:val="Compact"/>
              <w:jc w:val="left"/>
            </w:pPr>
            <w:r>
              <w:t xml:space="preserve">TAO</w:t>
            </w:r>
          </w:p>
        </w:tc>
        <w:tc>
          <w:tcPr/>
          <w:p>
            <w:pPr>
              <w:pStyle w:val="Compact"/>
              <w:jc w:val="left"/>
            </w:pPr>
            <w:r>
              <w:t xml:space="preserve">L1/L2/Infra</w:t>
            </w:r>
          </w:p>
        </w:tc>
        <w:tc>
          <w:tcPr/>
          <w:p>
            <w:pPr>
              <w:pStyle w:val="Compact"/>
              <w:jc w:val="left"/>
            </w:pPr>
            <w:r>
              <w:t xml:space="preserve">0.0075</w:t>
            </w:r>
          </w:p>
        </w:tc>
        <w:tc>
          <w:tcPr/>
          <w:p>
            <w:pPr>
              <w:pStyle w:val="Compact"/>
              <w:jc w:val="left"/>
            </w:pPr>
            <w:r>
              <w:t xml:space="preserve">0.68</w:t>
            </w:r>
          </w:p>
        </w:tc>
        <w:tc>
          <w:tcPr/>
          <w:p>
            <w:pPr>
              <w:pStyle w:val="Compact"/>
              <w:jc w:val="left"/>
            </w:pPr>
            <w:r>
              <w:t xml:space="preserve">3.6%</w:t>
            </w:r>
          </w:p>
        </w:tc>
        <w:tc>
          <w:tcPr/>
          <w:p>
            <w:pPr>
              <w:pStyle w:val="Compact"/>
              <w:jc w:val="left"/>
            </w:pPr>
            <w:r>
              <w:t xml:space="preserve">25.9%</w:t>
            </w:r>
          </w:p>
        </w:tc>
        <w:tc>
          <w:tcPr/>
          <w:p>
            <w:pPr>
              <w:pStyle w:val="Compact"/>
              <w:jc w:val="left"/>
            </w:pPr>
            <w:r>
              <w:t xml:space="preserve">1000</w:t>
            </w:r>
          </w:p>
        </w:tc>
      </w:tr>
      <w:tr>
        <w:tc>
          <w:tcPr/>
          <w:p>
            <w:pPr>
              <w:pStyle w:val="Compact"/>
              <w:jc w:val="left"/>
            </w:pPr>
            <w:r>
              <w:t xml:space="preserve">Polkadot</w:t>
            </w:r>
          </w:p>
        </w:tc>
        <w:tc>
          <w:tcPr/>
          <w:p>
            <w:pPr>
              <w:pStyle w:val="Compact"/>
              <w:jc w:val="left"/>
            </w:pPr>
            <w:r>
              <w:t xml:space="preserve">DOT</w:t>
            </w:r>
          </w:p>
        </w:tc>
        <w:tc>
          <w:tcPr/>
          <w:p>
            <w:pPr>
              <w:pStyle w:val="Compact"/>
              <w:jc w:val="left"/>
            </w:pPr>
            <w:r>
              <w:t xml:space="preserve">L1/L2/Infra</w:t>
            </w:r>
          </w:p>
        </w:tc>
        <w:tc>
          <w:tcPr/>
          <w:p>
            <w:pPr>
              <w:pStyle w:val="Compact"/>
              <w:jc w:val="left"/>
            </w:pPr>
            <w:r>
              <w:t xml:space="preserve">0.0052</w:t>
            </w:r>
          </w:p>
        </w:tc>
        <w:tc>
          <w:tcPr/>
          <w:p>
            <w:pPr>
              <w:pStyle w:val="Compact"/>
              <w:jc w:val="left"/>
            </w:pPr>
            <w:r>
              <w:t xml:space="preserve">0.68</w:t>
            </w:r>
          </w:p>
        </w:tc>
        <w:tc>
          <w:tcPr/>
          <w:p>
            <w:pPr>
              <w:pStyle w:val="Compact"/>
              <w:jc w:val="left"/>
            </w:pPr>
            <w:r>
              <w:t xml:space="preserve">3.1%</w:t>
            </w:r>
          </w:p>
        </w:tc>
        <w:tc>
          <w:tcPr/>
          <w:p>
            <w:pPr>
              <w:pStyle w:val="Compact"/>
              <w:jc w:val="left"/>
            </w:pPr>
            <w:r>
              <w:t xml:space="preserve">21.0%</w:t>
            </w:r>
          </w:p>
        </w:tc>
        <w:tc>
          <w:tcPr/>
          <w:p>
            <w:pPr>
              <w:pStyle w:val="Compact"/>
              <w:jc w:val="left"/>
            </w:pPr>
            <w:r>
              <w:t xml:space="preserve">1000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0.0231</w:t>
            </w:r>
          </w:p>
        </w:tc>
        <w:tc>
          <w:tcPr/>
          <w:p>
            <w:pPr>
              <w:pStyle w:val="Compact"/>
              <w:jc w:val="left"/>
            </w:pPr>
            <w:r>
              <w:t xml:space="preserve">0.85</w:t>
            </w:r>
          </w:p>
        </w:tc>
        <w:tc>
          <w:tcPr/>
          <w:p>
            <w:pPr>
              <w:pStyle w:val="Compact"/>
              <w:jc w:val="left"/>
            </w:pPr>
            <w:r>
              <w:t xml:space="preserve">8.7%</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0.86</w:t>
            </w:r>
          </w:p>
        </w:tc>
        <w:tc>
          <w:tcPr/>
          <w:p>
            <w:pPr>
              <w:pStyle w:val="Compact"/>
              <w:jc w:val="left"/>
            </w:pPr>
            <w:r>
              <w:t xml:space="preserve">7.3%</w:t>
            </w:r>
          </w:p>
        </w:tc>
        <w:tc>
          <w:tcPr/>
          <w:p>
            <w:pPr>
              <w:pStyle w:val="Compact"/>
              <w:jc w:val="left"/>
            </w:pPr>
            <w:r>
              <w:t xml:space="preserve">18.5%</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0.0358</w:t>
            </w:r>
          </w:p>
        </w:tc>
        <w:tc>
          <w:tcPr/>
          <w:p>
            <w:pPr>
              <w:pStyle w:val="Compact"/>
              <w:jc w:val="left"/>
            </w:pPr>
            <w:r>
              <w:t xml:space="preserve">0.92</w:t>
            </w:r>
          </w:p>
        </w:tc>
        <w:tc>
          <w:tcPr/>
          <w:p>
            <w:pPr>
              <w:pStyle w:val="Compact"/>
              <w:jc w:val="left"/>
            </w:pPr>
            <w:r>
              <w:t xml:space="preserve">12.7%</w:t>
            </w:r>
          </w:p>
        </w:tc>
        <w:tc>
          <w:tcPr/>
          <w:p>
            <w:pPr>
              <w:pStyle w:val="Compact"/>
              <w:jc w:val="left"/>
            </w:pPr>
            <w:r>
              <w:t xml:space="preserve">49.4%</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0.0122</w:t>
            </w:r>
          </w:p>
        </w:tc>
        <w:tc>
          <w:tcPr/>
          <w:p>
            <w:pPr>
              <w:pStyle w:val="Compact"/>
              <w:jc w:val="left"/>
            </w:pPr>
            <w:r>
              <w:t xml:space="preserve">0.73</w:t>
            </w:r>
          </w:p>
        </w:tc>
        <w:tc>
          <w:tcPr/>
          <w:p>
            <w:pPr>
              <w:pStyle w:val="Compact"/>
              <w:jc w:val="left"/>
            </w:pPr>
            <w:r>
              <w:t xml:space="preserve">8.9%</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0.0214</w:t>
            </w:r>
          </w:p>
        </w:tc>
        <w:tc>
          <w:tcPr/>
          <w:p>
            <w:pPr>
              <w:pStyle w:val="Compact"/>
              <w:jc w:val="left"/>
            </w:pPr>
            <w:r>
              <w:t xml:space="preserve">0.92</w:t>
            </w:r>
          </w:p>
        </w:tc>
        <w:tc>
          <w:tcPr/>
          <w:p>
            <w:pPr>
              <w:pStyle w:val="Compact"/>
              <w:jc w:val="left"/>
            </w:pPr>
            <w:r>
              <w:t xml:space="preserve">10.7%</w:t>
            </w:r>
          </w:p>
        </w:tc>
        <w:tc>
          <w:tcPr/>
          <w:p>
            <w:pPr>
              <w:pStyle w:val="Compact"/>
              <w:jc w:val="left"/>
            </w:pPr>
            <w:r>
              <w:t xml:space="preserve">32.9%</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0.0094</w:t>
            </w:r>
          </w:p>
        </w:tc>
        <w:tc>
          <w:tcPr/>
          <w:p>
            <w:pPr>
              <w:pStyle w:val="Compact"/>
              <w:jc w:val="left"/>
            </w:pPr>
            <w:r>
              <w:t xml:space="preserve">0.77</w:t>
            </w:r>
          </w:p>
        </w:tc>
        <w:tc>
          <w:tcPr/>
          <w:p>
            <w:pPr>
              <w:pStyle w:val="Compact"/>
              <w:jc w:val="left"/>
            </w:pPr>
            <w:r>
              <w:t xml:space="preserve">5.8%</w:t>
            </w:r>
          </w:p>
        </w:tc>
        <w:tc>
          <w:tcPr/>
          <w:p>
            <w:pPr>
              <w:pStyle w:val="Compact"/>
              <w:jc w:val="left"/>
            </w:pPr>
            <w:r>
              <w:t xml:space="preserve">21.1%</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0.0463</w:t>
            </w:r>
          </w:p>
        </w:tc>
        <w:tc>
          <w:tcPr/>
          <w:p>
            <w:pPr>
              <w:pStyle w:val="Compact"/>
              <w:jc w:val="left"/>
            </w:pPr>
            <w:r>
              <w:t xml:space="preserve">0.86</w:t>
            </w:r>
          </w:p>
        </w:tc>
        <w:tc>
          <w:tcPr/>
          <w:p>
            <w:pPr>
              <w:pStyle w:val="Compact"/>
              <w:jc w:val="left"/>
            </w:pPr>
            <w:r>
              <w:t xml:space="preserve">19.6%</w:t>
            </w:r>
          </w:p>
        </w:tc>
        <w:tc>
          <w:tcPr/>
          <w:p>
            <w:pPr>
              <w:pStyle w:val="Compact"/>
              <w:jc w:val="left"/>
            </w:pPr>
            <w:r>
              <w:t xml:space="preserve">38.6%</w:t>
            </w:r>
          </w:p>
        </w:tc>
        <w:tc>
          <w:tcPr/>
          <w:p>
            <w:pPr>
              <w:pStyle w:val="Compact"/>
              <w:jc w:val="left"/>
            </w:pPr>
            <w:r>
              <w:t xml:space="preserve">1004</w:t>
            </w:r>
          </w:p>
        </w:tc>
      </w:tr>
      <w:tr>
        <w:tc>
          <w:tcPr/>
          <w:p>
            <w:pPr>
              <w:pStyle w:val="Compact"/>
              <w:jc w:val="left"/>
            </w:pPr>
            <w:r>
              <w:t xml:space="preserve">Algorand</w:t>
            </w:r>
          </w:p>
        </w:tc>
        <w:tc>
          <w:tcPr/>
          <w:p>
            <w:pPr>
              <w:pStyle w:val="Compact"/>
              <w:jc w:val="left"/>
            </w:pPr>
            <w:r>
              <w:t xml:space="preserve">ALGO</w:t>
            </w:r>
          </w:p>
        </w:tc>
        <w:tc>
          <w:tcPr/>
          <w:p>
            <w:pPr>
              <w:pStyle w:val="Compact"/>
              <w:jc w:val="left"/>
            </w:pPr>
            <w:r>
              <w:t xml:space="preserve">L1/L2/Infra</w:t>
            </w:r>
          </w:p>
        </w:tc>
        <w:tc>
          <w:tcPr/>
          <w:p>
            <w:pPr>
              <w:pStyle w:val="Compact"/>
              <w:jc w:val="left"/>
            </w:pPr>
            <w:r>
              <w:t xml:space="preserve">0.0591</w:t>
            </w:r>
          </w:p>
        </w:tc>
        <w:tc>
          <w:tcPr/>
          <w:p>
            <w:pPr>
              <w:pStyle w:val="Compact"/>
              <w:jc w:val="left"/>
            </w:pPr>
            <w:r>
              <w:t xml:space="preserve">0.87</w:t>
            </w:r>
          </w:p>
        </w:tc>
        <w:tc>
          <w:tcPr/>
          <w:p>
            <w:pPr>
              <w:pStyle w:val="Compact"/>
              <w:jc w:val="left"/>
            </w:pPr>
            <w:r>
              <w:t xml:space="preserve">19.9%</w:t>
            </w:r>
          </w:p>
        </w:tc>
        <w:tc>
          <w:tcPr/>
          <w:p>
            <w:pPr>
              <w:pStyle w:val="Compact"/>
              <w:jc w:val="left"/>
            </w:pPr>
            <w:r>
              <w:t xml:space="preserve">54.6%</w:t>
            </w:r>
          </w:p>
        </w:tc>
        <w:tc>
          <w:tcPr/>
          <w:p>
            <w:pPr>
              <w:pStyle w:val="Compact"/>
              <w:jc w:val="left"/>
            </w:pPr>
            <w:r>
              <w:t xml:space="preserve">1000</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0.065 (GMX).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0.020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3.8),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0.026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 (Section 3.8; the</w:t>
      </w:r>
      <w:r>
        <w:t xml:space="preserve"> </w:t>
      </w:r>
      <w:r>
        <w:t xml:space="preserve">address-by-address</w:t>
      </w:r>
      <w:r>
        <w:t xml:space="preserve"> </w:t>
      </w:r>
      <w:hyperlink r:id="rId49">
        <w:r>
          <w:rPr>
            <w:rStyle w:val="Hyperlink"/>
          </w:rPr>
          <w:t xml:space="preserve">exclusions log</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50"/>
    <w:bookmarkStart w:id="58" w:name="depin-vs.-defi-contrast"/>
    <w:p>
      <w:pPr>
        <w:pStyle w:val="Heading2"/>
      </w:pPr>
      <w:r>
        <w:t xml:space="preserve">4.3 DePIN vs. DeFi Contrast</w:t>
      </w:r>
    </w:p>
    <w:p>
      <w:pPr>
        <w:pStyle w:val="FirstParagraph"/>
      </w:pPr>
      <w:r>
        <w:t xml:space="preserve">DePIN protocols have approximately 2.6 times the governance</w:t>
      </w:r>
      <w:r>
        <w:t xml:space="preserve"> </w:t>
      </w:r>
      <w:r>
        <w:t xml:space="preserve">concentration of DeFi protocols (mean HHI 0.067 vs. 0.026, a ratio of 2.6; Mann-Whitney</w:t>
      </w:r>
      <w:r>
        <w:t xml:space="preserve"> </w:t>
      </w:r>
      <w:r>
        <w:t xml:space="preserve">p = 0.011, Cohen’s d = 1.05,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result holds under leave-one-out, permutation, and bootstrap resampling (full battery in Section 4.6).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2" name="Picture"/>
            <a:graphic>
              <a:graphicData uri="http://schemas.openxmlformats.org/drawingml/2006/picture">
                <pic:pic>
                  <pic:nvPicPr>
                    <pic:cNvPr descr="media/fig4_sector_boxplot.png" id="53" name="Picture"/>
                    <pic:cNvPicPr>
                      <a:picLocks noChangeArrowheads="1" noChangeAspect="1"/>
                    </pic:cNvPicPr>
                  </pic:nvPicPr>
                  <pic:blipFill>
                    <a:blip r:embed="rId51"/>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(0.067) exceeds DeFi mean (0.026), with distributions overlapping</w:t>
      </w:r>
      <w:r>
        <w:rPr>
          <w:i/>
          <w:iCs/>
        </w:rPr>
        <w:t xml:space="preserve"> </w:t>
      </w:r>
      <w:r>
        <w:rPr>
          <w:i/>
          <w:iCs/>
        </w:rPr>
        <w:t xml:space="preserve">substantially: 9 of 15 DePIN protocols fall within the DeFi range. The</w:t>
      </w:r>
      <w:r>
        <w:rPr>
          <w:i/>
          <w:iCs/>
        </w:rPr>
        <w:t xml:space="preserve"> </w:t>
      </w:r>
      <w:r>
        <w:rPr>
          <w:i/>
          <w:iCs/>
        </w:rPr>
        <w:t xml:space="preserve">Mann-Whitney test (p = 0.011, d = 1.05)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p>
    <w:p>
      <w:pPr>
        <w:pStyle w:val="BodyText"/>
      </w:pPr>
      <w:r>
        <w:t xml:space="preserve">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 Revenue intensity, protocol maturity, and initial insider allocation are each uninformative, extending the launch-design null sweep to economic-activity intensity. 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 The specification reported here substitutes protocol maturity for insider retention so that it reproduces over the full covariate-complete sample, and serves as the reproducible robustness anchor. With the insider-retention vector now re-derived and persisted under the evidence-traced classification of record (Section 3.4), the alternative specification that enters insider retention in place of maturity also reproduces a significant DePIN sector coefficient, with the insider-retention regressor itself not significant at the full sample (the cohort difference noted above); the sector result holds across six independent insider-classification schemes (Section 4.6.4). Both specifications are documented in the replication package described in Section 5.9.</w:t>
      </w:r>
    </w:p>
    <w:p>
      <w:pPr>
        <w:pStyle w:val="BodyText"/>
      </w:pPr>
      <w:r>
        <w:drawing>
          <wp:inline>
            <wp:extent cx="5334000" cy="4843586"/>
            <wp:effectExtent b="0" l="0" r="0" t="0"/>
            <wp:docPr descr="" title="" id="55" name="Picture"/>
            <a:graphic>
              <a:graphicData uri="http://schemas.openxmlformats.org/drawingml/2006/picture">
                <pic:pic>
                  <pic:nvPicPr>
                    <pic:cNvPr descr="media/fig_sector_3class_n52.png" id="56" name="Picture"/>
                    <pic:cNvPicPr>
                      <a:picLocks noChangeArrowheads="1" noChangeAspect="1"/>
                    </pic:cNvPicPr>
                  </pic:nvPicPr>
                  <pic:blipFill>
                    <a:blip r:embed="rId54"/>
                    <a:stretch>
                      <a:fillRect/>
                    </a:stretch>
                  </pic:blipFill>
                  <pic:spPr bwMode="auto">
                    <a:xfrm>
                      <a:off x="0" y="0"/>
                      <a:ext cx="5334000" cy="4843586"/>
                    </a:xfrm>
                    <a:prstGeom prst="rect">
                      <a:avLst/>
                    </a:prstGeom>
                    <a:noFill/>
                    <a:ln w="9525">
                      <a:noFill/>
                      <a:headEnd/>
                      <a:tailEnd/>
                    </a:ln>
                  </pic:spPr>
                </pic:pic>
              </a:graphicData>
            </a:graphic>
          </wp:inline>
        </w:drawing>
      </w:r>
    </w:p>
    <w:p>
      <w:pPr>
        <w:pStyle w:val="BodyText"/>
      </w:pPr>
      <w:r>
        <w:rPr>
          <w:b/>
          <w:bCs/>
          <w:i/>
          <w:iCs/>
        </w:rPr>
        <w:t xml:space="preserve">Figure 2b.</w:t>
      </w:r>
      <w:r>
        <w:rPr>
          <w:i/>
          <w:iCs/>
        </w:rPr>
        <w:t xml:space="preserve"> </w:t>
      </w:r>
      <w:r>
        <w:rPr>
          <w:i/>
          <w:iCs/>
        </w:rPr>
        <w:t xml:space="preserve">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 2026; Blockworks, 2026b),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Start w:id="57" w:name="Xa1c6c2e23e53c08150559ff37dc169fb6813ba8"/>
    <w:p>
      <w:pPr>
        <w:pStyle w:val="Heading3"/>
      </w:pPr>
      <w:r>
        <w:t xml:space="preserve">4.3.1 Sector and chain-architecture decomposition</w:t>
      </w:r>
    </w:p>
    <w:p>
      <w:pPr>
        <w:pStyle w:val="FirstParagraph"/>
      </w:pPr>
      <w:r>
        <w:t xml:space="preserve">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primary sample, the cell-level magnitudes are not directly comparable to the headline effect size, and the question of interest is whether the sector ordering survives the split rather than the size of the gap.</w:t>
      </w:r>
    </w:p>
    <w:p>
      <w:pPr>
        <w:pStyle w:val="BodyText"/>
      </w:pPr>
      <w:r>
        <w:rPr>
          <w:b/>
          <w:bCs/>
          <w:i/>
          <w:iCs/>
        </w:rPr>
        <w:t xml:space="preserve">Table 3.5.</w:t>
      </w:r>
      <w:r>
        <w:rPr>
          <w:i/>
          <w:iCs/>
        </w:rPr>
        <w:t xml:space="preserve"> </w:t>
      </w:r>
      <w:r>
        <w:rPr>
          <w:i/>
          <w:iCs/>
        </w:rPr>
        <w:t xml:space="preserve">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Cross-section N</w:t>
            </w:r>
          </w:p>
        </w:tc>
        <w:tc>
          <w:tcPr/>
          <w:p>
            <w:pPr>
              <w:pStyle w:val="Compact"/>
            </w:pPr>
            <w:r>
              <w:t xml:space="preserve">Mean HHI</w:t>
            </w:r>
          </w:p>
        </w:tc>
        <w:tc>
          <w:tcPr/>
          <w:p>
            <w:pPr>
              <w:pStyle w:val="Compact"/>
            </w:pPr>
            <w:r>
              <w:t xml:space="preserve">Median HHI</w:t>
            </w:r>
          </w:p>
        </w:tc>
        <w:tc>
          <w:tcPr/>
          <w:p>
            <w:pPr>
              <w:pStyle w:val="Compact"/>
            </w:pPr>
            <w:r>
              <w:t xml:space="preserve">Panel N</w:t>
            </w:r>
          </w:p>
        </w:tc>
        <w:tc>
          <w:tcPr/>
          <w:p>
            <w:pPr>
              <w:pStyle w:val="Compact"/>
            </w:pPr>
            <w:r>
              <w:t xml:space="preserve">Net-decline share</w:t>
            </w:r>
          </w:p>
        </w:tc>
      </w:tr>
      <w:tr>
        <w:tc>
          <w:tcPr/>
          <w:p>
            <w:pPr>
              <w:pStyle w:val="Compact"/>
            </w:pPr>
            <w:r>
              <w:t xml:space="preserve">EVM DeFi</w:t>
            </w:r>
          </w:p>
        </w:tc>
        <w:tc>
          <w:tcPr/>
          <w:p>
            <w:pPr>
              <w:pStyle w:val="Compact"/>
            </w:pPr>
            <w:r>
              <w:t xml:space="preserve">12</w:t>
            </w:r>
          </w:p>
        </w:tc>
        <w:tc>
          <w:tcPr/>
          <w:p>
            <w:pPr>
              <w:pStyle w:val="Compact"/>
            </w:pPr>
            <w:r>
              <w:t xml:space="preserve">0.025</w:t>
            </w:r>
          </w:p>
        </w:tc>
        <w:tc>
          <w:tcPr/>
          <w:p>
            <w:pPr>
              <w:pStyle w:val="Compact"/>
            </w:pPr>
            <w:r>
              <w:t xml:space="preserve">0.019</w:t>
            </w:r>
          </w:p>
        </w:tc>
        <w:tc>
          <w:tcPr/>
          <w:p>
            <w:pPr>
              <w:pStyle w:val="Compact"/>
            </w:pPr>
            <w:r>
              <w:t xml:space="preserve">11</w:t>
            </w:r>
          </w:p>
        </w:tc>
        <w:tc>
          <w:tcPr/>
          <w:p>
            <w:pPr>
              <w:pStyle w:val="Compact"/>
            </w:pPr>
            <w:r>
              <w:t xml:space="preserve">9 of 11 (82%)</w:t>
            </w:r>
          </w:p>
        </w:tc>
      </w:tr>
      <w:tr>
        <w:tc>
          <w:tcPr/>
          <w:p>
            <w:pPr>
              <w:pStyle w:val="Compact"/>
            </w:pPr>
            <w:r>
              <w:t xml:space="preserve">EVM DePIN</w:t>
            </w:r>
          </w:p>
        </w:tc>
        <w:tc>
          <w:tcPr/>
          <w:p>
            <w:pPr>
              <w:pStyle w:val="Compact"/>
            </w:pPr>
            <w:r>
              <w:t xml:space="preserve">8</w:t>
            </w:r>
          </w:p>
        </w:tc>
        <w:tc>
          <w:tcPr/>
          <w:p>
            <w:pPr>
              <w:pStyle w:val="Compact"/>
            </w:pPr>
            <w:r>
              <w:t xml:space="preserve">0.084</w:t>
            </w:r>
          </w:p>
        </w:tc>
        <w:tc>
          <w:tcPr/>
          <w:p>
            <w:pPr>
              <w:pStyle w:val="Compact"/>
            </w:pPr>
            <w:r>
              <w:t xml:space="preserve">0.071</w:t>
            </w:r>
          </w:p>
        </w:tc>
        <w:tc>
          <w:tcPr/>
          <w:p>
            <w:pPr>
              <w:pStyle w:val="Compact"/>
            </w:pPr>
            <w:r>
              <w:t xml:space="preserve">8</w:t>
            </w:r>
          </w:p>
        </w:tc>
        <w:tc>
          <w:tcPr/>
          <w:p>
            <w:pPr>
              <w:pStyle w:val="Compact"/>
            </w:pPr>
            <w:r>
              <w:t xml:space="preserve">5 of 8 (63%)</w:t>
            </w:r>
          </w:p>
        </w:tc>
      </w:tr>
      <w:tr>
        <w:tc>
          <w:tcPr/>
          <w:p>
            <w:pPr>
              <w:pStyle w:val="Compact"/>
            </w:pPr>
            <w:r>
              <w:t xml:space="preserve">Solana DeFi</w:t>
            </w:r>
          </w:p>
        </w:tc>
        <w:tc>
          <w:tcPr/>
          <w:p>
            <w:pPr>
              <w:pStyle w:val="Compact"/>
            </w:pPr>
            <w:r>
              <w:t xml:space="preserve">7</w:t>
            </w:r>
          </w:p>
        </w:tc>
        <w:tc>
          <w:tcPr/>
          <w:p>
            <w:pPr>
              <w:pStyle w:val="Compact"/>
            </w:pPr>
            <w:r>
              <w:t xml:space="preserve">0.028</w:t>
            </w:r>
          </w:p>
        </w:tc>
        <w:tc>
          <w:tcPr/>
          <w:p>
            <w:pPr>
              <w:pStyle w:val="Compact"/>
            </w:pPr>
            <w:r>
              <w:t xml:space="preserve">0.027</w:t>
            </w:r>
          </w:p>
        </w:tc>
        <w:tc>
          <w:tcPr/>
          <w:p>
            <w:pPr>
              <w:pStyle w:val="Compact"/>
            </w:pPr>
            <w:r>
              <w:t xml:space="preserve">7</w:t>
            </w:r>
          </w:p>
        </w:tc>
        <w:tc>
          <w:tcPr/>
          <w:p>
            <w:pPr>
              <w:pStyle w:val="Compact"/>
            </w:pPr>
            <w:r>
              <w:t xml:space="preserve">4 of 7 (57%)</w:t>
            </w:r>
          </w:p>
        </w:tc>
      </w:tr>
      <w:tr>
        <w:tc>
          <w:tcPr/>
          <w:p>
            <w:pPr>
              <w:pStyle w:val="Compact"/>
            </w:pPr>
            <w:r>
              <w:t xml:space="preserve">Solana DePIN</w:t>
            </w:r>
          </w:p>
        </w:tc>
        <w:tc>
          <w:tcPr/>
          <w:p>
            <w:pPr>
              <w:pStyle w:val="Compact"/>
            </w:pPr>
            <w:r>
              <w:t xml:space="preserve">5</w:t>
            </w:r>
          </w:p>
        </w:tc>
        <w:tc>
          <w:tcPr/>
          <w:p>
            <w:pPr>
              <w:pStyle w:val="Compact"/>
            </w:pPr>
            <w:r>
              <w:t xml:space="preserve">0.044</w:t>
            </w:r>
          </w:p>
        </w:tc>
        <w:tc>
          <w:tcPr/>
          <w:p>
            <w:pPr>
              <w:pStyle w:val="Compact"/>
            </w:pPr>
            <w:r>
              <w:t xml:space="preserve">0.035</w:t>
            </w:r>
          </w:p>
        </w:tc>
        <w:tc>
          <w:tcPr/>
          <w:p>
            <w:pPr>
              <w:pStyle w:val="Compact"/>
            </w:pPr>
            <w:r>
              <w:t xml:space="preserve">4</w:t>
            </w:r>
          </w:p>
        </w:tc>
        <w:tc>
          <w:tcPr/>
          <w:p>
            <w:pPr>
              <w:pStyle w:val="Compact"/>
            </w:pPr>
            <w:r>
              <w:t xml:space="preserve">1 of 4 (25%)</w:t>
            </w:r>
          </w:p>
        </w:tc>
      </w:tr>
    </w:tbl>
    <w:p>
      <w:pPr>
        <w:pStyle w:val="BodyText"/>
      </w:pPr>
      <w:r>
        <w:t xml:space="preserve">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p>
    <w:p>
      <w:pPr>
        <w:pStyle w:val="BodyText"/>
      </w:pPr>
      <w:r>
        <w:t xml:space="preserve">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p>
    <w:p>
      <w:pPr>
        <w:pStyle w:val="BodyText"/>
      </w:pPr>
      <w:r>
        <w:t xml:space="preserve">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p>
    <w:bookmarkEnd w:id="57"/>
    <w:bookmarkEnd w:id="58"/>
    <w:bookmarkStart w:id="62"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0.07, p = 0.68, N = 37; Spearman rho</w:t>
      </w:r>
      <w:r>
        <w:t xml:space="preserve"> </w:t>
      </w:r>
      <w:r>
        <w:t xml:space="preserve">= 0.05, p = 0.76). At N = 37 this test has roughly 80 percent power to detect a population correlation of about |r| = 0.45 (two-sided, alpha = 0.05),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so the reported AAVE holding HHI of 0.013 understates effective</w:t>
      </w:r>
      <w:r>
        <w:t xml:space="preserve"> </w:t>
      </w:r>
      <w:r>
        <w:t xml:space="preserve">insider control. Attributing the staked balance back to the underlying</w:t>
      </w:r>
      <w:r>
        <w:t xml:space="preserve"> </w:t>
      </w:r>
      <w:r>
        <w:t xml:space="preserve">stakers resolves what the wholesale exclusion hides: stkAAVE holds 21.67</w:t>
      </w:r>
      <w:r>
        <w:t xml:space="preserve"> </w:t>
      </w:r>
      <w:r>
        <w:t xml:space="preserve">percent of AAVE supply, of which roughly 4.4 to 6.3 percent of total supply</w:t>
      </w:r>
      <w:r>
        <w:t xml:space="preserve"> </w:t>
      </w:r>
      <w:r>
        <w:t xml:space="preserve">is insider AAVE (Aave team multi-signature wallets plus the founder)</w:t>
      </w:r>
      <w:r>
        <w:t xml:space="preserve"> </w:t>
      </w:r>
      <w:r>
        <w:t xml:space="preserve">invisible to the top-1000 holder snapshot. At the address level this</w:t>
      </w:r>
      <w:r>
        <w:t xml:space="preserve"> </w:t>
      </w:r>
      <w:r>
        <w:t xml:space="preserve">attribution leaves the holding HHI essentially unchanged, and if anything</w:t>
      </w:r>
      <w:r>
        <w:t xml:space="preserve"> </w:t>
      </w:r>
      <w:r>
        <w:t xml:space="preserve">marginally lower: the recovered insider stake re-enters as several distinct</w:t>
      </w:r>
      <w:r>
        <w:t xml:space="preserve"> </w:t>
      </w:r>
      <w:r>
        <w:t xml:space="preserve">staker addresses rather than as a single block, so it enlarges the</w:t>
      </w:r>
      <w:r>
        <w:t xml:space="preserve"> </w:t>
      </w:r>
      <w:r>
        <w:t xml:space="preserve">post-exclusion holder denominator more than it concentrates the</w:t>
      </w:r>
      <w:r>
        <w:t xml:space="preserve"> </w:t>
      </w:r>
      <w:r>
        <w:t xml:space="preserve">squared-share sum, which lowers the HHI slightly rather than raising it.</w:t>
      </w:r>
      <w:r>
        <w:t xml:space="preserve"> </w:t>
      </w:r>
      <w:r>
        <w:t xml:space="preserve">The substantive result is therefore the recovered insider share, not a</w:t>
      </w:r>
      <w:r>
        <w:t xml:space="preserve"> </w:t>
      </w:r>
      <w:r>
        <w:t xml:space="preserve">movement in the holding HHI. This reinforces the reading that the holding measure</w:t>
      </w:r>
      <w:r>
        <w:t xml:space="preserve"> </w:t>
      </w:r>
      <w:r>
        <w:t xml:space="preserve">understates insider control: the concentration the holding HHI does not</w:t>
      </w:r>
      <w:r>
        <w:t xml:space="preserve"> </w:t>
      </w:r>
      <w:r>
        <w:t xml:space="preserve">register surfaces instead in the insider share and in delegated voting</w:t>
      </w:r>
      <w:r>
        <w:t xml:space="preserve"> </w:t>
      </w:r>
      <w:r>
        <w:t xml:space="preserve">power, the latter captured by the companion Tally-sourced AAVE delegation</w:t>
      </w:r>
      <w:r>
        <w:t xml:space="preserve"> </w:t>
      </w:r>
      <w:r>
        <w:t xml:space="preserve">HHI of 0.058 in Table 6.</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0.68</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0.62</w:t>
            </w:r>
          </w:p>
        </w:tc>
        <w:tc>
          <w:tcPr/>
          <w:p>
            <w:pPr>
              <w:pStyle w:val="Compact"/>
              <w:jc w:val="left"/>
            </w:pPr>
            <w:r>
              <w:t xml:space="preserve">0.002</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0.76</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U=174</w:t>
            </w:r>
          </w:p>
        </w:tc>
        <w:tc>
          <w:tcPr/>
          <w:p>
            <w:pPr>
              <w:pStyle w:val="Compact"/>
              <w:jc w:val="left"/>
            </w:pPr>
            <w:r>
              <w:t xml:space="preserve">0.011</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0.58</w:t>
            </w:r>
          </w:p>
        </w:tc>
        <w:tc>
          <w:tcPr/>
          <w:p>
            <w:pPr>
              <w:pStyle w:val="Compact"/>
              <w:jc w:val="left"/>
            </w:pPr>
            <w:r>
              <w:t xml:space="preserve">&lt;0.001</w:t>
            </w:r>
          </w:p>
        </w:tc>
        <w:tc>
          <w:tcPr/>
          <w:p>
            <w:pPr>
              <w:pStyle w:val="Compact"/>
              <w:jc w:val="left"/>
            </w:pPr>
            <w:r>
              <w:t xml:space="preserve">44</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 N is the number of protocols in each test’s covariate-complete subsample (varying with per-covariate data availability).</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60" name="Picture"/>
            <a:graphic>
              <a:graphicData uri="http://schemas.openxmlformats.org/drawingml/2006/picture">
                <pic:pic>
                  <pic:nvPicPr>
                    <pic:cNvPr descr="media/fig5_allocation_scatter.png" id="61" name="Picture"/>
                    <pic:cNvPicPr>
                      <a:picLocks noChangeArrowheads="1" noChangeAspect="1"/>
                    </pic:cNvPicPr>
                  </pic:nvPicPr>
                  <pic:blipFill>
                    <a:blip r:embed="rId59"/>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Initial insider allocation (%) vs. post-exclusion holding HHI for 37</w:t>
      </w:r>
      <w:r>
        <w:rPr>
          <w:i/>
          <w:iCs/>
        </w:rPr>
        <w:t xml:space="preserve"> </w:t>
      </w:r>
      <w:r>
        <w:rPr>
          <w:i/>
          <w:iCs/>
        </w:rPr>
        <w:t xml:space="preserve">regression-ready protocols. The null relationship (r = 0.07, p = 0.68)</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initial insider allocation drove 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0.07, p = 0.68,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 of 0.100, 0.013, and 0.040 respectively. All three are revenue-dominant;</w:t>
      </w:r>
      <w:r>
        <w:t xml:space="preserve"> </w:t>
      </w:r>
      <w:r>
        <w:t xml:space="preserve">their concentration spans much of the 52-protocol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0.043, p = 0.045,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 that sector membership accounts for more cross-sectional variation than protocol age, valuation, or allocation structure. Models 1 through 3 carry between 35 and 38 observations across five to seven predictors, the observations-per-predictor range that limits how reliably they isolate independent effects.</w:t>
      </w:r>
    </w:p>
    <w:p>
      <w:pPr>
        <w:pStyle w:val="BodyText"/>
      </w:pPr>
      <w:r>
        <w:t xml:space="preserve">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hyperlink r:id="rId33">
        <w:r>
          <w:rPr>
            <w:rStyle w:val="Hyperlink"/>
          </w:rPr>
          <w:t xml:space="preserve">Supplementary File S5</w:t>
        </w:r>
      </w:hyperlink>
      <w:r>
        <w:t xml:space="preserve">) documents the replication infrastructure.</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jc w:val="left"/>
            </w:pPr>
            <w:r>
              <w:t xml:space="preserve">n/a</w:t>
            </w: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jc w:val="left"/>
            </w:pPr>
            <w:r>
              <w:t xml:space="preserve">n/a</w:t>
            </w: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cells marked n/a indicate a covariate not entered in that model. Successive models lose</w:t>
      </w:r>
      <w:r>
        <w:rPr>
          <w:i/>
          <w:iCs/>
        </w:rPr>
        <w:t xml:space="preserve"> </w:t>
      </w:r>
      <w:r>
        <w:rPr>
          <w:i/>
          <w:iCs/>
        </w:rPr>
        <w:t xml:space="preserve">observations as covariate availability declines (N = 38 to 36 to 35 protocols).</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 The powered Model 4 specification (covariate-complete sample, N = 50) is reported in the panel below.</w:t>
      </w:r>
    </w:p>
    <w:tbl>
      <w:tblPr>
        <w:tblStyle w:val="Table"/>
        <w:tblW w:type="pct" w:w="4865"/>
        <w:tblLayout w:type="fixed"/>
        <w:tblLook w:firstRow="1" w:lastRow="0" w:firstColumn="0" w:lastColumn="0" w:noHBand="0" w:noVBand="0" w:val="0020"/>
      </w:tblPr>
      <w:tblGrid>
        <w:gridCol w:w="3638"/>
        <w:gridCol w:w="1498"/>
        <w:gridCol w:w="1284"/>
        <w:gridCol w:w="1284"/>
      </w:tblGrid>
      <w:tr>
        <w:trPr>
          <w:tblHeader w:val="on"/>
        </w:trPr>
        <w:tc>
          <w:tcPr/>
          <w:p>
            <w:pPr>
              <w:pStyle w:val="Compact"/>
              <w:jc w:val="left"/>
            </w:pPr>
            <w:r>
              <w:t xml:space="preserve">Predictor (DV = log HHI)</w:t>
            </w:r>
          </w:p>
        </w:tc>
        <w:tc>
          <w:tcPr/>
          <w:p>
            <w:pPr>
              <w:pStyle w:val="Compact"/>
              <w:jc w:val="left"/>
            </w:pPr>
            <w:r>
              <w:t xml:space="preserve">Coefficient</w:t>
            </w:r>
          </w:p>
        </w:tc>
        <w:tc>
          <w:tcPr/>
          <w:p>
            <w:pPr>
              <w:pStyle w:val="Compact"/>
              <w:jc w:val="left"/>
            </w:pPr>
            <w:r>
              <w:t xml:space="preserve">Robust SE</w:t>
            </w:r>
          </w:p>
        </w:tc>
        <w:tc>
          <w:tcPr/>
          <w:p>
            <w:pPr>
              <w:pStyle w:val="Compact"/>
              <w:jc w:val="left"/>
            </w:pPr>
            <w:r>
              <w:t xml:space="preserve">p</w:t>
            </w:r>
          </w:p>
        </w:tc>
      </w:tr>
      <w:tr>
        <w:tc>
          <w:tcPr/>
          <w:p>
            <w:pPr>
              <w:pStyle w:val="Compact"/>
              <w:jc w:val="left"/>
            </w:pPr>
            <w:r>
              <w:t xml:space="preserve">DePIN (vs DeFi)</w:t>
            </w:r>
            <w:r>
              <w:t xml:space="preserve"> </w:t>
            </w:r>
            <w:r>
              <w:t xml:space="preserve">L1/L2/Infra (vs DeFi)</w:t>
            </w:r>
            <w:r>
              <w:t xml:space="preserve"> </w:t>
            </w:r>
            <w:r>
              <w:t xml:space="preserve">Log revenue-intensity</w:t>
            </w:r>
            <w:r>
              <w:t xml:space="preserve"> </w:t>
            </w:r>
            <w:r>
              <w:t xml:space="preserve">Protocol maturity (years)</w:t>
            </w:r>
            <w:r>
              <w:t xml:space="preserve"> </w:t>
            </w:r>
            <w:r>
              <w:t xml:space="preserve">Constant</w:t>
            </w:r>
          </w:p>
        </w:tc>
        <w:tc>
          <w:tcPr/>
          <w:p>
            <w:pPr>
              <w:pStyle w:val="Compact"/>
              <w:jc w:val="left"/>
            </w:pPr>
            <w:r>
              <w:t xml:space="preserve">+0.733</w:t>
            </w:r>
            <w:r>
              <w:t xml:space="preserve"> </w:t>
            </w:r>
            <w:r>
              <w:t xml:space="preserve">-0.353</w:t>
            </w:r>
            <w:r>
              <w:t xml:space="preserve"> </w:t>
            </w:r>
            <w:r>
              <w:t xml:space="preserve">-0.010</w:t>
            </w:r>
            <w:r>
              <w:t xml:space="preserve"> </w:t>
            </w:r>
            <w:r>
              <w:t xml:space="preserve">+0.026</w:t>
            </w:r>
            <w:r>
              <w:t xml:space="preserve"> </w:t>
            </w:r>
            <w:r>
              <w:t xml:space="preserve">-3.866</w:t>
            </w:r>
          </w:p>
        </w:tc>
        <w:tc>
          <w:tcPr/>
          <w:p>
            <w:pPr>
              <w:pStyle w:val="Compact"/>
              <w:jc w:val="left"/>
            </w:pPr>
            <w:r>
              <w:t xml:space="preserve">0.275</w:t>
            </w:r>
            <w:r>
              <w:t xml:space="preserve"> </w:t>
            </w:r>
            <w:r>
              <w:t xml:space="preserve">0.307</w:t>
            </w:r>
            <w:r>
              <w:t xml:space="preserve"> </w:t>
            </w:r>
            <w:r>
              <w:t xml:space="preserve">0.077</w:t>
            </w:r>
            <w:r>
              <w:t xml:space="preserve"> </w:t>
            </w:r>
            <w:r>
              <w:t xml:space="preserve">0.050</w:t>
            </w:r>
            <w:r>
              <w:t xml:space="preserve"> </w:t>
            </w:r>
            <w:r>
              <w:t xml:space="preserve">0.304</w:t>
            </w:r>
          </w:p>
        </w:tc>
        <w:tc>
          <w:tcPr/>
          <w:p>
            <w:pPr>
              <w:pStyle w:val="Compact"/>
              <w:jc w:val="left"/>
            </w:pPr>
            <w:r>
              <w:t xml:space="preserve">0.011</w:t>
            </w:r>
            <w:r>
              <w:t xml:space="preserve"> </w:t>
            </w:r>
            <w:r>
              <w:t xml:space="preserve">0.256</w:t>
            </w:r>
            <w:r>
              <w:t xml:space="preserve"> </w:t>
            </w:r>
            <w:r>
              <w:t xml:space="preserve">0.894</w:t>
            </w:r>
            <w:r>
              <w:t xml:space="preserve"> </w:t>
            </w:r>
            <w:r>
              <w:t xml:space="preserve">0.601</w:t>
            </w:r>
            <w:r>
              <w:t xml:space="preserve"> </w:t>
            </w:r>
            <w:r>
              <w:t xml:space="preserve">&lt; 0.001</w:t>
            </w:r>
          </w:p>
        </w:tc>
      </w:tr>
    </w:tbl>
    <w:p>
      <w:pPr>
        <w:pStyle w:val="BodyText"/>
      </w:pPr>
      <w:r>
        <w:t xml:space="preserve">N = 50 protocols; observations per predictor = 12.5; adjusted R-squared = 0.18. The sector-only baseline DePIN coefficient is +0.74, so the controlled estimate is essentially unattenuated.</w:t>
      </w:r>
    </w:p>
    <w:p>
      <w:pPr>
        <w:pStyle w:val="BodyText"/>
      </w:pPr>
      <w:r>
        <w:rPr>
          <w:b/>
          <w:bCs/>
          <w:i/>
          <w:iCs/>
        </w:rPr>
        <w:t xml:space="preserve">Table 5, Model 4 (powered specification).</w:t>
      </w:r>
      <w:r>
        <w:rPr>
          <w:i/>
          <w:iCs/>
        </w:rPr>
        <w:t xml:space="preserve"> </w:t>
      </w:r>
      <w:r>
        <w:rPr>
          <w:i/>
          <w:iCs/>
        </w:rPr>
        <w:t xml:space="preserve">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0.07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 Model 4 corroborates this reading directly: with the collinear insider-allocation control replaced by revenue intensity and maturity and the sample enlarged to 50, the DePIN coefficient is both unattenuated and significant.</w:t>
      </w:r>
    </w:p>
    <w:bookmarkEnd w:id="62"/>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eighteen protocols. Thirteen</w:t>
      </w:r>
      <w:r>
        <w:t xml:space="preserve"> </w:t>
      </w:r>
      <w:r>
        <w:t xml:space="preserve">protocols amplify, with ratios from 2.5x (Gnosis) to 25.6x (Polkadot) and</w:t>
      </w:r>
      <w:r>
        <w:t xml:space="preserve"> </w:t>
      </w:r>
      <w:r>
        <w:t xml:space="preserve">a mean of approximately 6.8x (median 4.4x). Five protocols disperse voting power below</w:t>
      </w:r>
      <w:r>
        <w:t xml:space="preserve"> </w:t>
      </w:r>
      <w:r>
        <w:t xml:space="preserve">the holding baseline: ENS (0.48x), GMX (0.87x), HNT (0.26x to 0.39x),</w:t>
      </w:r>
      <w:r>
        <w:t xml:space="preserve"> </w:t>
      </w:r>
      <w:r>
        <w:t xml:space="preserve">JUP (0.12x), and Livepeer (0.27x, the most pronounced DePIN governance disperser).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p>
    <w:p>
      <w:pPr>
        <w:pStyle w:val="BodyText"/>
      </w:pPr>
      <w:r>
        <w:t xml:space="preserve">Amplification varies by sector composition rather than by sector</w:t>
      </w:r>
      <w:r>
        <w:t xml:space="preserve"> </w:t>
      </w:r>
      <w:r>
        <w:t xml:space="preserve">membership. Within DeFi, the range spans 2.5x (Gnosis) to 9.9x (Compound);</w:t>
      </w:r>
      <w:r>
        <w:t xml:space="preserve"> </w:t>
      </w:r>
      <w:r>
        <w:t xml:space="preserve">DePIN spans 3.8x (WeatherXM) to 9.1x (DIMO); infrastructure spans 3.1x</w:t>
      </w:r>
      <w:r>
        <w:t xml:space="preserve"> </w:t>
      </w:r>
      <w:r>
        <w:t xml:space="preserve">(Arbitrum) to 25.6x (Polkadot). The five dispersion exceptions are</w:t>
      </w:r>
      <w:r>
        <w:t xml:space="preserve"> </w:t>
      </w:r>
      <w:r>
        <w:t xml:space="preserve">discussed individually in §4.5.1 (ENS), §4.5.1.1 (GMX), §4.5.4</w:t>
      </w:r>
      <w:r>
        <w:t xml:space="preserve"> </w:t>
      </w:r>
      <w:r>
        <w:t xml:space="preserve">(HNT and JUP under within-Solana heterogeneity), and the Livepeer orchestrator</w:t>
      </w:r>
      <w:r>
        <w:t xml:space="preserve"> </w:t>
      </w:r>
      <w:r>
        <w:t xml:space="preserve">bonded-stake result later in this section (LPT at 0.27x).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0.026</w:t>
            </w:r>
          </w:p>
        </w:tc>
        <w:tc>
          <w:tcPr/>
          <w:p>
            <w:pPr>
              <w:pStyle w:val="Compact"/>
              <w:jc w:val="right"/>
            </w:pPr>
            <w:r>
              <w:t xml:space="preserve">0.083</w:t>
            </w:r>
          </w:p>
        </w:tc>
        <w:tc>
          <w:tcPr/>
          <w:p>
            <w:pPr>
              <w:pStyle w:val="Compact"/>
              <w:jc w:val="right"/>
            </w:pPr>
            <w:r>
              <w:t xml:space="preserve">3.1x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0.099</w:t>
            </w:r>
          </w:p>
        </w:tc>
        <w:tc>
          <w:tcPr/>
          <w:p>
            <w:pPr>
              <w:pStyle w:val="Compact"/>
              <w:jc w:val="right"/>
            </w:pPr>
            <w:r>
              <w:t xml:space="preserve">0.026-0.039</w:t>
            </w:r>
          </w:p>
        </w:tc>
        <w:tc>
          <w:tcPr/>
          <w:p>
            <w:pPr>
              <w:pStyle w:val="Compact"/>
              <w:jc w:val="right"/>
            </w:pPr>
            <w:r>
              <w:t xml:space="preserve">0.26x-0.39x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0.046</w:t>
            </w:r>
          </w:p>
        </w:tc>
        <w:tc>
          <w:tcPr/>
          <w:p>
            <w:pPr>
              <w:pStyle w:val="Compact"/>
              <w:jc w:val="right"/>
            </w:pPr>
            <w:r>
              <w:t xml:space="preserve">0.022</w:t>
            </w:r>
          </w:p>
        </w:tc>
        <w:tc>
          <w:tcPr/>
          <w:p>
            <w:pPr>
              <w:pStyle w:val="Compact"/>
              <w:jc w:val="right"/>
            </w:pPr>
            <w:r>
              <w:t xml:space="preserve">0.48x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0.045</w:t>
            </w:r>
          </w:p>
        </w:tc>
        <w:tc>
          <w:tcPr/>
          <w:p>
            <w:pPr>
              <w:pStyle w:val="Compact"/>
              <w:jc w:val="right"/>
            </w:pPr>
            <w:r>
              <w:t xml:space="preserve">0.0055</w:t>
            </w:r>
          </w:p>
        </w:tc>
        <w:tc>
          <w:tcPr/>
          <w:p>
            <w:pPr>
              <w:pStyle w:val="Compact"/>
              <w:jc w:val="right"/>
            </w:pPr>
            <w:r>
              <w:t xml:space="preserve">0.12x</w:t>
            </w:r>
          </w:p>
        </w:tc>
        <w:tc>
          <w:tcPr/>
          <w:p>
            <w:pPr>
              <w:pStyle w:val="Compact"/>
            </w:pPr>
            <w:r>
              <w:t xml:space="preserve">Solana del-vote</w:t>
            </w:r>
          </w:p>
        </w:tc>
        <w:tc>
          <w:tcPr/>
          <w:p>
            <w:pPr>
              <w:pStyle w:val="Compact"/>
              <w:jc w:val="right"/>
            </w:pPr>
            <w:r>
              <w:t xml:space="preserve">128,476¶</w:t>
            </w:r>
          </w:p>
        </w:tc>
      </w:tr>
      <w:tr>
        <w:tc>
          <w:tcPr/>
          <w:p>
            <w:pPr>
              <w:pStyle w:val="Compact"/>
            </w:pPr>
            <w:r>
              <w:t xml:space="preserve">Gnosis</w:t>
            </w:r>
          </w:p>
        </w:tc>
        <w:tc>
          <w:tcPr/>
          <w:p>
            <w:pPr>
              <w:pStyle w:val="Compact"/>
              <w:jc w:val="right"/>
            </w:pPr>
            <w:r>
              <w:t xml:space="preserve">0.042</w:t>
            </w:r>
          </w:p>
        </w:tc>
        <w:tc>
          <w:tcPr/>
          <w:p>
            <w:pPr>
              <w:pStyle w:val="Compact"/>
              <w:jc w:val="right"/>
            </w:pPr>
            <w:r>
              <w:t xml:space="preserve">0.104</w:t>
            </w:r>
          </w:p>
        </w:tc>
        <w:tc>
          <w:tcPr/>
          <w:p>
            <w:pPr>
              <w:pStyle w:val="Compact"/>
              <w:jc w:val="right"/>
            </w:pPr>
            <w:r>
              <w:t xml:space="preserve">2.5x</w:t>
            </w:r>
          </w:p>
        </w:tc>
        <w:tc>
          <w:tcPr/>
          <w:p>
            <w:pPr>
              <w:pStyle w:val="Compact"/>
            </w:pPr>
            <w:r>
              <w:t xml:space="preserve">Snapshot</w:t>
            </w:r>
          </w:p>
        </w:tc>
        <w:tc>
          <w:tcPr/>
          <w:p>
            <w:pPr>
              <w:pStyle w:val="Compact"/>
              <w:jc w:val="right"/>
            </w:pPr>
            <w:r>
              <w:t xml:space="preserve">481</w:t>
            </w:r>
          </w:p>
        </w:tc>
      </w:tr>
      <w:tr>
        <w:tc>
          <w:tcPr/>
          <w:p>
            <w:pPr>
              <w:pStyle w:val="Compact"/>
            </w:pPr>
            <w:r>
              <w:t xml:space="preserve">Synthetix</w:t>
            </w:r>
          </w:p>
        </w:tc>
        <w:tc>
          <w:tcPr/>
          <w:p>
            <w:pPr>
              <w:pStyle w:val="Compact"/>
              <w:jc w:val="right"/>
            </w:pPr>
            <w:r>
              <w:t xml:space="preserve">0.017</w:t>
            </w:r>
          </w:p>
        </w:tc>
        <w:tc>
          <w:tcPr/>
          <w:p>
            <w:pPr>
              <w:pStyle w:val="Compact"/>
              <w:jc w:val="right"/>
            </w:pPr>
            <w:r>
              <w:t xml:space="preserve">0.095</w:t>
            </w:r>
          </w:p>
        </w:tc>
        <w:tc>
          <w:tcPr/>
          <w:p>
            <w:pPr>
              <w:pStyle w:val="Compact"/>
              <w:jc w:val="right"/>
            </w:pPr>
            <w:r>
              <w:t xml:space="preserve">5.6x</w:t>
            </w:r>
          </w:p>
        </w:tc>
        <w:tc>
          <w:tcPr/>
          <w:p>
            <w:pPr>
              <w:pStyle w:val="Compact"/>
            </w:pPr>
            <w:r>
              <w:t xml:space="preserve">Snapshot</w:t>
            </w:r>
          </w:p>
        </w:tc>
        <w:tc>
          <w:tcPr/>
          <w:p>
            <w:pPr>
              <w:pStyle w:val="Compact"/>
              <w:jc w:val="right"/>
            </w:pPr>
            <w:r>
              <w:t xml:space="preserve">30</w:t>
            </w:r>
          </w:p>
        </w:tc>
      </w:tr>
      <w:tr>
        <w:tc>
          <w:tcPr/>
          <w:p>
            <w:pPr>
              <w:pStyle w:val="Compact"/>
            </w:pPr>
            <w:r>
              <w:t xml:space="preserve">Bittensor</w:t>
            </w:r>
          </w:p>
        </w:tc>
        <w:tc>
          <w:tcPr/>
          <w:p>
            <w:pPr>
              <w:pStyle w:val="Compact"/>
              <w:jc w:val="right"/>
            </w:pPr>
            <w:r>
              <w:t xml:space="preserve">0.007</w:t>
            </w:r>
          </w:p>
        </w:tc>
        <w:tc>
          <w:tcPr/>
          <w:p>
            <w:pPr>
              <w:pStyle w:val="Compact"/>
              <w:jc w:val="right"/>
            </w:pPr>
            <w:r>
              <w:t xml:space="preserve">0.072</w:t>
            </w:r>
          </w:p>
        </w:tc>
        <w:tc>
          <w:tcPr/>
          <w:p>
            <w:pPr>
              <w:pStyle w:val="Compact"/>
              <w:jc w:val="right"/>
            </w:pPr>
            <w:r>
              <w:t xml:space="preserve">9.6x</w:t>
            </w:r>
          </w:p>
        </w:tc>
        <w:tc>
          <w:tcPr/>
          <w:p>
            <w:pPr>
              <w:pStyle w:val="Compact"/>
            </w:pPr>
            <w:r>
              <w:t xml:space="preserve">Taostats</w:t>
            </w:r>
          </w:p>
        </w:tc>
        <w:tc>
          <w:tcPr/>
          <w:p>
            <w:pPr>
              <w:pStyle w:val="Compact"/>
              <w:jc w:val="right"/>
            </w:pPr>
            <w:r>
              <w:t xml:space="preserve">75</w:t>
            </w:r>
          </w:p>
        </w:tc>
      </w:tr>
      <w:tr>
        <w:tc>
          <w:tcPr/>
          <w:p>
            <w:pPr>
              <w:pStyle w:val="Compact"/>
            </w:pPr>
            <w:r>
              <w:t xml:space="preserve">Polkadot</w:t>
            </w:r>
          </w:p>
        </w:tc>
        <w:tc>
          <w:tcPr/>
          <w:p>
            <w:pPr>
              <w:pStyle w:val="Compact"/>
              <w:jc w:val="right"/>
            </w:pPr>
            <w:r>
              <w:t xml:space="preserve">0.005</w:t>
            </w:r>
          </w:p>
        </w:tc>
        <w:tc>
          <w:tcPr/>
          <w:p>
            <w:pPr>
              <w:pStyle w:val="Compact"/>
              <w:jc w:val="right"/>
            </w:pPr>
            <w:r>
              <w:t xml:space="preserve">0.133</w:t>
            </w:r>
          </w:p>
        </w:tc>
        <w:tc>
          <w:tcPr/>
          <w:p>
            <w:pPr>
              <w:pStyle w:val="Compact"/>
              <w:jc w:val="right"/>
            </w:pPr>
            <w:r>
              <w:t xml:space="preserve">25.6x</w:t>
            </w:r>
          </w:p>
        </w:tc>
        <w:tc>
          <w:tcPr/>
          <w:p>
            <w:pPr>
              <w:pStyle w:val="Compact"/>
            </w:pPr>
            <w:r>
              <w:t xml:space="preserve">Subscan</w:t>
            </w:r>
          </w:p>
        </w:tc>
        <w:tc>
          <w:tcPr/>
          <w:p>
            <w:pPr>
              <w:pStyle w:val="Compact"/>
              <w:jc w:val="right"/>
            </w:pPr>
            <w:r>
              <w:t xml:space="preserve">239</w:t>
            </w:r>
          </w:p>
        </w:tc>
      </w:tr>
      <w:tr>
        <w:tc>
          <w:tcPr/>
          <w:p>
            <w:pPr>
              <w:pStyle w:val="Compact"/>
            </w:pPr>
            <w:r>
              <w:t xml:space="preserve">Livepeer</w:t>
            </w:r>
          </w:p>
        </w:tc>
        <w:tc>
          <w:tcPr/>
          <w:p>
            <w:pPr>
              <w:pStyle w:val="Compact"/>
              <w:jc w:val="right"/>
            </w:pPr>
            <w:r>
              <w:t xml:space="preserve">0.199</w:t>
            </w:r>
          </w:p>
        </w:tc>
        <w:tc>
          <w:tcPr/>
          <w:p>
            <w:pPr>
              <w:pStyle w:val="Compact"/>
              <w:jc w:val="right"/>
            </w:pPr>
            <w:r>
              <w:t xml:space="preserve">0.054</w:t>
            </w:r>
          </w:p>
        </w:tc>
        <w:tc>
          <w:tcPr/>
          <w:p>
            <w:pPr>
              <w:pStyle w:val="Compact"/>
              <w:jc w:val="right"/>
            </w:pPr>
            <w:r>
              <w:t xml:space="preserve">0.27x</w:t>
            </w:r>
          </w:p>
        </w:tc>
        <w:tc>
          <w:tcPr/>
          <w:p>
            <w:pPr>
              <w:pStyle w:val="Compact"/>
            </w:pPr>
            <w:r>
              <w:t xml:space="preserve">Livepeer orch‖</w:t>
            </w:r>
          </w:p>
        </w:tc>
        <w:tc>
          <w:tcPr/>
          <w:p>
            <w:pPr>
              <w:pStyle w:val="Compact"/>
              <w:jc w:val="right"/>
            </w:pPr>
            <w:r>
              <w:t xml:space="preserve">100</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0.12x ratio is the most-extreme</w:t>
      </w:r>
      <w:r>
        <w:t xml:space="preserve"> </w:t>
      </w:r>
      <w:r>
        <w:t xml:space="preserve">dispersion outlier in the cross-section.</w:t>
      </w:r>
    </w:p>
    <w:p>
      <w:pPr>
        <w:pStyle w:val="BodyText"/>
      </w:pPr>
      <w:r>
        <w:drawing>
          <wp:inline>
            <wp:extent cx="5334000" cy="3008353"/>
            <wp:effectExtent b="0" l="0" r="0" t="0"/>
            <wp:docPr descr="" title="" id="64" name="Picture"/>
            <a:graphic>
              <a:graphicData uri="http://schemas.openxmlformats.org/drawingml/2006/picture">
                <pic:pic>
                  <pic:nvPicPr>
                    <pic:cNvPr descr="media/exhibit_delegation_adjusted.png" id="65" name="Picture"/>
                    <pic:cNvPicPr>
                      <a:picLocks noChangeArrowheads="1" noChangeAspect="1"/>
                    </pic:cNvPicPr>
                  </pic:nvPicPr>
                  <pic:blipFill>
                    <a:blip r:embed="rId63"/>
                    <a:stretch>
                      <a:fillRect/>
                    </a:stretch>
                  </pic:blipFill>
                  <pic:spPr bwMode="auto">
                    <a:xfrm>
                      <a:off x="0" y="0"/>
                      <a:ext cx="5334000" cy="3008353"/>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the eighteen protocols with sufficient</w:t>
      </w:r>
      <w:r>
        <w:rPr>
          <w:i/>
          <w:iCs/>
        </w:rPr>
        <w:t xml:space="preserve"> </w:t>
      </w:r>
      <w:r>
        <w:rPr>
          <w:i/>
          <w:iCs/>
        </w:rPr>
        <w:t xml:space="preserve">governance activity, grouped by category (DeFi, DePIN, infrastructure), then by amplification ratio within category. Reading the figure:</w:t>
      </w:r>
      <w:r>
        <w:rPr>
          <w:i/>
          <w:iCs/>
        </w:rPr>
        <w:t xml:space="preserve"> </w:t>
      </w:r>
      <w:r>
        <w:rPr>
          <w:i/>
          <w:iCs/>
        </w:rPr>
        <w:t xml:space="preserve">the ratio label at the right of each pair gives voting HHI divided by</w:t>
      </w:r>
      <w:r>
        <w:rPr>
          <w:i/>
          <w:iCs/>
        </w:rPr>
        <w:t xml:space="preserve"> </w:t>
      </w:r>
      <w:r>
        <w:rPr>
          <w:i/>
          <w:iCs/>
        </w:rPr>
        <w:t xml:space="preserve">holding HHI; ratios above 1.0 indicate delegation amplifies concentration</w:t>
      </w:r>
      <w:r>
        <w:rPr>
          <w:i/>
          <w:iCs/>
        </w:rPr>
        <w:t xml:space="preserve"> </w:t>
      </w:r>
      <w:r>
        <w:rPr>
          <w:i/>
          <w:iCs/>
        </w:rPr>
        <w:t xml:space="preserve">(the upper bar is longer than the lower bar; green annotation), ratios</w:t>
      </w:r>
      <w:r>
        <w:rPr>
          <w:i/>
          <w:iCs/>
        </w:rPr>
        <w:t xml:space="preserve"> </w:t>
      </w:r>
      <w:r>
        <w:rPr>
          <w:i/>
          <w:iCs/>
        </w:rPr>
        <w:t xml:space="preserve">below 1.0 indicate delegation distributes it (red annotation). Thirteen</w:t>
      </w:r>
      <w:r>
        <w:rPr>
          <w:i/>
          <w:iCs/>
        </w:rPr>
        <w:t xml:space="preserve"> </w:t>
      </w:r>
      <w:r>
        <w:rPr>
          <w:i/>
          <w:iCs/>
        </w:rPr>
        <w:t xml:space="preserve">of eighteen protocols amplify, with ratios ranging from 2.5x (Gnosis) to</w:t>
      </w:r>
      <w:r>
        <w:rPr>
          <w:i/>
          <w:iCs/>
        </w:rPr>
        <w:t xml:space="preserve"> </w:t>
      </w:r>
      <w:r>
        <w:rPr>
          <w:i/>
          <w:iCs/>
        </w:rPr>
        <w:t xml:space="preserve">25.6x (Polkadot); five protocols show dispersion: ENS (0.48x), GMX</w:t>
      </w:r>
      <w:r>
        <w:rPr>
          <w:i/>
          <w:iCs/>
        </w:rPr>
        <w:t xml:space="preserve"> </w:t>
      </w:r>
      <w:r>
        <w:rPr>
          <w:i/>
          <w:iCs/>
        </w:rPr>
        <w:t xml:space="preserve">(0.87x), HNT (0.26x to 0.39x), JUP (0.12x, the most-extreme dispersion</w:t>
      </w:r>
      <w:r>
        <w:rPr>
          <w:i/>
          <w:iCs/>
        </w:rPr>
        <w:t xml:space="preserve"> </w:t>
      </w:r>
      <w:r>
        <w:rPr>
          <w:i/>
          <w:iCs/>
        </w:rPr>
        <w:t xml:space="preserve">outlier), and Livepeer (0.27x, the most pronounced DePIN governance</w:t>
      </w:r>
      <w:r>
        <w:rPr>
          <w:i/>
          <w:iCs/>
        </w:rPr>
        <w:t xml:space="preserve"> </w:t>
      </w:r>
      <w:r>
        <w:rPr>
          <w:i/>
          <w:iCs/>
        </w:rPr>
        <w:t xml:space="preserve">disperser). Per-protocol values and source notes are in Table 6 and</w:t>
      </w:r>
      <w:r>
        <w:rPr>
          <w:i/>
          <w:iCs/>
        </w:rPr>
        <w:t xml:space="preserve"> </w:t>
      </w:r>
      <w:r>
        <w:rPr>
          <w:i/>
          <w:iCs/>
        </w:rPr>
        <w:t xml:space="preserve">Supplement S15. Snapshot rows aggregate unique voters across all</w:t>
      </w:r>
      <w:r>
        <w:rPr>
          <w:i/>
          <w:iCs/>
        </w:rPr>
        <w:t xml:space="preserve"> </w:t>
      </w:r>
      <w:r>
        <w:rPr>
          <w:i/>
          <w:iCs/>
        </w:rPr>
        <w:t xml:space="preserve">proposals in a 12-month rolling window; Tally rows reflect top-1000</w:t>
      </w:r>
      <w:r>
        <w:rPr>
          <w:i/>
          <w:iCs/>
        </w:rPr>
        <w:t xml:space="preserve"> </w:t>
      </w:r>
      <w:r>
        <w:rPr>
          <w:i/>
          <w:iCs/>
        </w:rPr>
        <w:t xml:space="preserve">delegate samples per protocol.</w:t>
      </w:r>
    </w:p>
    <w:p>
      <w:pPr>
        <w:pStyle w:val="BodyText"/>
      </w:pPr>
      <w:r>
        <w:t xml:space="preserve">Seven DeFi protocols sampled show varying delegation outcomes: JUP</w:t>
      </w:r>
      <w:r>
        <w:t xml:space="preserve"> </w:t>
      </w:r>
      <w:r>
        <w:t xml:space="preserve">(0.12x,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(3.1x, amplifier; Solana VSR-lockup-weighted per</w:t>
      </w:r>
      <w:r>
        <w:t xml:space="preserve"> </w:t>
      </w:r>
      <w:r>
        <w:t xml:space="preserve">Section 4.5.4), Uniswap (2.7x), Aave (4.4x), Lido</w:t>
      </w:r>
      <w:r>
        <w:t xml:space="preserve"> </w:t>
      </w:r>
      <w:r>
        <w:t xml:space="preserve">(6.3x), and Compound (9.9x; the highest among the protocols drawn in this figure).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predominant direction</w:t>
      </w:r>
      <w:r>
        <w:t xml:space="preserve"> </w:t>
      </w:r>
      <w:r>
        <w:t xml:space="preserve">of effect (amplification in thirteen of eighteen protocols).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 3.8; Bybit and Binance custody addresses excluded as Class 5 CEX</w:t>
      </w:r>
      <w:r>
        <w:t xml:space="preserve"> </w:t>
      </w:r>
      <w:r>
        <w:t xml:space="preserve">custody), Lido’s amplification ratio (6.3x) is substantial, and the direction (concentration above stake) is consistent</w:t>
      </w:r>
      <w:r>
        <w:t xml:space="preserve"> </w:t>
      </w:r>
      <w:r>
        <w:t xml:space="preserve">with the predominant-amplification pattern documented across thirteen of eighteen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eighteen protocols across DeFi (Compound,</w:t>
      </w:r>
      <w:r>
        <w:t xml:space="preserve"> </w:t>
      </w:r>
      <w:r>
        <w:t xml:space="preserve">Aave, Uniswap, GMX, Lido, Synthetix, Gnosis), DePIN (DIMO, WeatherXM, Livepeer), and infrastructure</w:t>
      </w:r>
      <w:r>
        <w:t xml:space="preserve"> </w:t>
      </w:r>
      <w:r>
        <w:t xml:space="preserve">(Optimism, Arbitrum, ENS, Bittensor, Polkadot). Amplification factors range from 2.5x (Gnosis)</w:t>
      </w:r>
      <w:r>
        <w:t xml:space="preserve"> </w:t>
      </w:r>
      <w:r>
        <w:t xml:space="preserve">to 25.6x (Polkadot) across the thirteen amplifying protocols; ENS at 0.48x; GMX at 0.87x; HNT at 0.26x-0.39x; JUP at 0.12x; and LPT at 0.27x are</w:t>
      </w:r>
      <w:r>
        <w:t xml:space="preserve"> </w:t>
      </w:r>
      <w:r>
        <w:t xml:space="preserve">the five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the most-extreme dispersion outlier in the cross-section; LPT: Livepeer orchestrator bonded-stake delegation across roughly 100 orchestrators, the most pronounced DePIN governance disperser, with holdings concentration unchanged at the cross-section maximum). Within the</w:t>
      </w:r>
      <w:r>
        <w:t xml:space="preserve"> </w:t>
      </w:r>
      <w:r>
        <w:t xml:space="preserve">sample, the 2.5x to 25.6x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are associated with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hardware deployed for one network is a co-specialized</w:t>
      </w:r>
      <w:r>
        <w:t xml:space="preserve"> </w:t>
      </w:r>
      <w:r>
        <w:t xml:space="preserve">asset that cannot be redeployed to a competing protocol the way</w:t>
      </w:r>
      <w:r>
        <w:t xml:space="preserve"> </w:t>
      </w:r>
      <w:r>
        <w:t xml:space="preserve">liquidity can move between DeFi pools, a form of asset specificity</w:t>
      </w:r>
      <w:r>
        <w:t xml:space="preserve"> </w:t>
      </w:r>
      <w:r>
        <w:t xml:space="preserve">that raises exit costs (Williamson, 1979).</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6">
        <w:r>
          <w:rPr>
            <w:rStyle w:val="Hyperlink"/>
          </w:rPr>
          <w:t xml:space="preserve">Supplementary File S14</w:t>
        </w:r>
      </w:hyperlink>
      <w:r>
        <w:t xml:space="preserve">.</w:t>
      </w:r>
    </w:p>
    <w:bookmarkStart w:id="67" w:name="X5aa57646c4396d747e0131ec008a4e3f93d4422"/>
    <w:p>
      <w:pPr>
        <w:pStyle w:val="Heading3"/>
      </w:pPr>
      <w:r>
        <w:t xml:space="preserve">4.5.1 ENS as institutional-design counterexample</w:t>
      </w:r>
    </w:p>
    <w:p>
      <w:pPr>
        <w:pStyle w:val="FirstParagraph"/>
      </w:pPr>
      <w:r>
        <w:t xml:space="preserve">ENS is one of five protocols in the cross-section where delegation</w:t>
      </w:r>
      <w:r>
        <w:t xml:space="preserve"> </w:t>
      </w:r>
      <w:r>
        <w:t xml:space="preserve">empirically disperses voting power below the holding-HHI baseline</w:t>
      </w:r>
      <w:r>
        <w:t xml:space="preserve"> </w:t>
      </w:r>
      <w:r>
        <w:t xml:space="preserve">(ratio 0.48x; voting HHI 0.022 vs holding HHI 0.046,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thirteen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eighteen-protocol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7"/>
    <w:bookmarkStart w:id="68" w:name="X9fcf0ef5ce105e5e185fef53023ce34bfa2fb8a"/>
    <w:p>
      <w:pPr>
        <w:pStyle w:val="Heading3"/>
      </w:pPr>
      <w:r>
        <w:t xml:space="preserve">4.5.1.1 GMX as a structural-exception counterexample</w:t>
      </w:r>
    </w:p>
    <w:p>
      <w:pPr>
        <w:pStyle w:val="FirstParagraph"/>
      </w:pPr>
      <w:r>
        <w:t xml:space="preserve">GMX is another of the five protocols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five structural-exception cases</w:t>
      </w:r>
      <w:r>
        <w:t xml:space="preserve"> </w:t>
      </w:r>
      <w:r>
        <w:t xml:space="preserve">(ENS at 0.48x; GMX at 0.87x; HNT at 0.26x-0.39x; JUP at 0.12x; LPT at 0.27x) together preserve the dispersion pattern</w:t>
      </w:r>
      <w:r>
        <w:t xml:space="preserve"> </w:t>
      </w:r>
      <w:r>
        <w:t xml:space="preserve">as informative counterexamples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8"/>
    <w:bookmarkStart w:id="69" w:name="X8d1154e760574033fc3a8977858a046cb4bc3d4"/>
    <w:p>
      <w:pPr>
        <w:pStyle w:val="Heading3"/>
      </w:pPr>
      <w:r>
        <w:t xml:space="preserve">4.5.2 Secondary extension: vote-escrowed governance</w:t>
      </w:r>
    </w:p>
    <w:p>
      <w:pPr>
        <w:pStyle w:val="FirstParagraph"/>
      </w:pPr>
      <w:r>
        <w:t xml:space="preserve">Three protocols using vote-escrowed governance (Curve veCRV; Balancer</w:t>
      </w:r>
      <w:r>
        <w:t xml:space="preserve"> </w:t>
      </w:r>
      <w:r>
        <w:t xml:space="preserve">veBAL; Frax veFXS)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(11.4x to 21x versus the 2.7x to 9.9x range observed in delegate-program-based amplification).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9"/>
    <w:bookmarkStart w:id="70" w:name="Xfa73bc062c432381afdcb5f5da2b521607734ad"/>
    <w:p>
      <w:pPr>
        <w:pStyle w:val="Heading3"/>
      </w:pPr>
      <w:r>
        <w:t xml:space="preserve">4.5.3 Foundation and aggregation-contract top-delegate pattern</w:t>
      </w:r>
    </w:p>
    <w:p>
      <w:pPr>
        <w:pStyle w:val="FirstParagraph"/>
      </w:pPr>
      <w:r>
        <w:t xml:space="preserve">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70"/>
    <w:bookmarkStart w:id="71"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71"/>
    <w:bookmarkStart w:id="72"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72"/>
    <w:bookmarkStart w:id="74" w:name="X62e7451cb2988f0fd7b0fa0d85568417c3cfa57"/>
    <w:p>
      <w:pPr>
        <w:pStyle w:val="Heading3"/>
      </w:pPr>
      <w:r>
        <w:t xml:space="preserve">4.5.5 Secondary extension: cross-protocol institutional concentration (fifth axis; future work)</w:t>
      </w:r>
    </w:p>
    <w:p>
      <w:pPr>
        <w:pStyle w:val="FirstParagraph"/>
      </w:pPr>
      <w: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w:t>
      </w:r>
      <w:r>
        <w:t xml:space="preserve"> </w:t>
      </w:r>
      <w:hyperlink r:id="rId73">
        <w:r>
          <w:rPr>
            <w:rStyle w:val="Hyperlink"/>
          </w:rPr>
          <w:t xml:space="preserve">Supplementary File S25</w:t>
        </w:r>
      </w:hyperlink>
      <w:r>
        <w:t xml:space="preserve">.</w:t>
      </w:r>
    </w:p>
    <w:bookmarkEnd w:id="74"/>
    <w:bookmarkEnd w:id="75"/>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0.011, Cohen’s d = 1.05) is robust to sample composition. The test remains significant</w:t>
      </w:r>
      <w:r>
        <w:t xml:space="preserve"> </w:t>
      </w:r>
      <w:r>
        <w:t xml:space="preserve">in all 30 of 30 leave-one-out iterations (per-iteration p range: 0.006</w:t>
      </w:r>
      <w:r>
        <w:t xml:space="preserve"> </w:t>
      </w:r>
      <w:r>
        <w:t xml:space="preserve">to 0.020; Cohen’s d range: 0.97 to 1.17; per-iteration LOO data (see Supplementary Figure S5b in Supplementary File S5 for the LOO forest plot) covers the per-</w:t>
      </w:r>
      <w:r>
        <w:t xml:space="preserve"> </w:t>
      </w:r>
      <w:r>
        <w:t xml:space="preserve">iteration forest plot with bootstrap 95% CI on the headline d). No single dropped</w:t>
      </w:r>
      <w:r>
        <w:t xml:space="preserve"> </w:t>
      </w:r>
      <w:r>
        <w:t xml:space="preserve">protocol pushes the per-iteration p-value above 0.020, and no single</w:t>
      </w:r>
      <w:r>
        <w:t xml:space="preserve"> </w:t>
      </w:r>
      <w:r>
        <w:t xml:space="preserve">protocol uniquely drives the result. A two-sided permutation</w:t>
      </w:r>
      <w:r>
        <w:t xml:space="preserve"> </w:t>
      </w:r>
      <w:r>
        <w:t xml:space="preserve">test (100,000 random reassignments of sector labels) yields p = 0.004,</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[+0.016,</w:t>
      </w:r>
      <w:r>
        <w:t xml:space="preserve"> </w:t>
      </w:r>
      <w:r>
        <w:t xml:space="preserve">+0.070] HHI points, strictly excluding zero; the Cohen’s d 95%</w:t>
      </w:r>
      <w:r>
        <w:t xml:space="preserve"> </w:t>
      </w:r>
      <w:r>
        <w:t xml:space="preserve">percentile interval is [0.56, 1.72], strictly above the small-effect</w:t>
      </w:r>
      <w:r>
        <w:t xml:space="preserve"> </w:t>
      </w:r>
      <w:r>
        <w:t xml:space="preserve">threshold and including the conventional large-effect threshold (d = 0.8; Cohen, 1988)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0.62, p = 0.002, N = 23) is driven primarily by a single protocol. Livepeer’s subsidy ratio of 88.5x</w:t>
      </w:r>
      <w:r>
        <w:t xml:space="preserve"> </w:t>
      </w:r>
      <w:r>
        <w:t xml:space="preserve">is a 3.5-sigma outlier on the subsidy axis, and its HHI (0.20) is the</w:t>
      </w:r>
      <w:r>
        <w:t xml:space="preserve"> </w:t>
      </w:r>
      <w:r>
        <w:t xml:space="preserve">highest in the subsidy subsample. Excluding Livepeer alone</w:t>
      </w:r>
      <w:r>
        <w:t xml:space="preserve"> </w:t>
      </w:r>
      <w:r>
        <w:t xml:space="preserve">reduces the correlation to a clean null at r = 0.07 (p = 0.76).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0.26, p = 0.23),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0.62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0.030) while subsidy</w:t>
      </w:r>
      <w:r>
        <w:t xml:space="preserve"> </w:t>
      </w:r>
      <w:r>
        <w:t xml:space="preserve">is not (p = 0.36; Adj R-squared = 0.49); excluding Livepeer, the</w:t>
      </w:r>
      <w:r>
        <w:t xml:space="preserve"> </w:t>
      </w:r>
      <w:r>
        <w:t xml:space="preserve">subsidy coefficient is strongly non-significant (p = 0.93) while the</w:t>
      </w:r>
      <w:r>
        <w:t xml:space="preserve"> </w:t>
      </w:r>
      <w:r>
        <w:t xml:space="preserve">DePIN sector indicator is significant (p = 0.004),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p>
    <w:bookmarkEnd w:id="87"/>
    <w:bookmarkStart w:id="88" w:name="insider-classification-robustness"/>
    <w:p>
      <w:pPr>
        <w:pStyle w:val="Heading3"/>
      </w:pPr>
      <w:r>
        <w:t xml:space="preserve">4.6.4 Insider-classification robustness</w:t>
      </w:r>
    </w:p>
    <w:p>
      <w:pPr>
        <w:pStyle w:val="FirstParagraph"/>
      </w:pPr>
      <w: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spanning a keyword-floor lower bound (any treasury- or multisig-keyword holder counted as insider) through reliability-gated and adversarially reviewed variants to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w:t>
      </w:r>
      <w:r>
        <w:t xml:space="preserve"> </w:t>
      </w:r>
      <w:hyperlink r:id="rId36">
        <w:r>
          <w:rPr>
            <w:rStyle w:val="Hyperlink"/>
          </w:rPr>
          <w:t xml:space="preserve">Supplementary File S22</w:t>
        </w:r>
      </w:hyperlink>
      <w:r>
        <w:t xml:space="preserve">, and the re-estimation harness is in the replication package (Section 5.9).</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3"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p>
    <w:p>
      <w:pPr>
        <w:pStyle w:val="BodyText"/>
      </w:pPr>
      <w:r>
        <w:t xml:space="preserve">Three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DePIN shows higher concentration in this corrected</w:t>
      </w:r>
      <w:r>
        <w:t xml:space="preserve"> </w:t>
      </w:r>
      <w:r>
        <w:t xml:space="preserve">cross-section, but the low-concentration DePIN counterexamples make the</w:t>
      </w:r>
      <w:r>
        <w:t xml:space="preserve"> </w:t>
      </w:r>
      <w:r>
        <w:t xml:space="preserve">pattern design-tractable rather than sector destiny: Anyone Protocol and</w:t>
      </w:r>
      <w:r>
        <w:t xml:space="preserve"> </w:t>
      </w:r>
      <w:r>
        <w:t xml:space="preserve">Hivemapper show that low DePIN holding concentration is achievable</w:t>
      </w:r>
      <w:r>
        <w:t xml:space="preserve"> </w:t>
      </w:r>
      <w:r>
        <w:t xml:space="preserve">despite the sector-level pattern. The same point holds on the voting</w:t>
      </w:r>
      <w:r>
        <w:t xml:space="preserve"> </w:t>
      </w:r>
      <w:r>
        <w:t xml:space="preserve">surface. ENS, GMX, HNT, JUP, and LPT show that delegation can disperse</w:t>
      </w:r>
      <w:r>
        <w:t xml:space="preserve"> </w:t>
      </w:r>
      <w:r>
        <w:t xml:space="preserve">voting power at or below the holding baseline under different delegate-program,</w:t>
      </w:r>
      <w:r>
        <w:t xml:space="preserve"> </w:t>
      </w:r>
      <w:r>
        <w:t xml:space="preserve">voting-mechanism, or bonded-stake-delegation designs, while</w:t>
      </w:r>
      <w:r>
        <w:t xml:space="preserve"> </w:t>
      </w:r>
      <w:r>
        <w:t xml:space="preserve">Curve and Balancer show that vote-escrowed governance can amplify voting</w:t>
      </w:r>
      <w:r>
        <w:t xml:space="preserve"> </w:t>
      </w:r>
      <w:r>
        <w:t xml:space="preserve">concentration far above raw token holdings. The practical design hook is</w:t>
      </w:r>
      <w:r>
        <w:t xml:space="preserve"> </w:t>
      </w:r>
      <w:r>
        <w:t xml:space="preserve">delegation itself: a delegate program is a governance instrument that</w:t>
      </w:r>
      <w:r>
        <w:t xml:space="preserve"> </w:t>
      </w:r>
      <w:r>
        <w:t xml:space="preserve">concentrates or disperses voting power by design, so delegate programs</w:t>
      </w:r>
      <w:r>
        <w:t xml:space="preserve"> </w:t>
      </w:r>
      <w:r>
        <w:t xml:space="preserve">need concentration audits of their own rather than a presumption that</w:t>
      </w:r>
      <w:r>
        <w:t xml:space="preserve"> </w:t>
      </w:r>
      <w:r>
        <w:t xml:space="preserve">delegation deconcentrates.</w:t>
      </w:r>
    </w:p>
    <w:p>
      <w:pPr>
        <w:pStyle w:val="BodyText"/>
      </w:pPr>
      <w:r>
        <w:t xml:space="preserve">For practitioners, the immediate design lesson is to measure current</w:t>
      </w:r>
      <w:r>
        <w:t xml:space="preserve"> </w:t>
      </w:r>
      <w:r>
        <w:t xml:space="preserve">governance power rather than infer it from launch documents. Token</w:t>
      </w:r>
      <w:r>
        <w:t xml:space="preserve"> </w:t>
      </w:r>
      <w:r>
        <w:t xml:space="preserve">allocation is a launch document; governance concentration is a live</w:t>
      </w:r>
      <w:r>
        <w:t xml:space="preserve"> </w:t>
      </w:r>
      <w:r>
        <w:t xml:space="preserve">institutional state.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p>
      <w:pPr>
        <w:pStyle w:val="BodyText"/>
      </w:pPr>
      <w:r>
        <w:t xml:space="preserve">The design levers identified here map onto the principles Ostrom (1990)</w:t>
      </w:r>
      <w:r>
        <w:t xml:space="preserve"> </w:t>
      </w:r>
      <w:r>
        <w:t xml:space="preserve">found in long-enduring commons institutions, among them collective-choice</w:t>
      </w:r>
      <w:r>
        <w:t xml:space="preserve"> </w:t>
      </w:r>
      <w:r>
        <w:t xml:space="preserve">arrangements in which most of those affected by the rules can participate</w:t>
      </w:r>
      <w:r>
        <w:t xml:space="preserve"> </w:t>
      </w:r>
      <w:r>
        <w:t xml:space="preserve">in modifying them, accountable monitoring, and graduated sanctions.</w:t>
      </w:r>
      <w:r>
        <w:t xml:space="preserve"> </w:t>
      </w:r>
      <w:r>
        <w:t xml:space="preserve">Protocol governance is presented to users as a working instance of that</w:t>
      </w:r>
      <w:r>
        <w:t xml:space="preserve"> </w:t>
      </w:r>
      <w:r>
        <w:t xml:space="preserve">polycentric commons ideal; the concentration documented here is</w:t>
      </w:r>
      <w:r>
        <w:t xml:space="preserve"> </w:t>
      </w:r>
      <w:r>
        <w:t xml:space="preserve">inconsistent with it, because where a small number of holders command</w:t>
      </w:r>
      <w:r>
        <w:t xml:space="preserve"> </w:t>
      </w:r>
      <w:r>
        <w:t xml:space="preserve">decisive voting weight the collective-choice principle does not hold and</w:t>
      </w:r>
      <w:r>
        <w:t xml:space="preserve"> </w:t>
      </w:r>
      <w:r>
        <w:t xml:space="preserve">rule modification proceeds without the broad participation the commons</w:t>
      </w:r>
      <w:r>
        <w:t xml:space="preserve"> </w:t>
      </w:r>
      <w:r>
        <w:t xml:space="preserve">model presumes. What decentralization rhetoric invokes as commons</w:t>
      </w:r>
      <w:r>
        <w:t xml:space="preserve"> </w:t>
      </w:r>
      <w:r>
        <w:t xml:space="preserve">self-governance the data describes as concentrated control, the</w:t>
      </w:r>
      <w:r>
        <w:t xml:space="preserve"> </w:t>
      </w:r>
      <w:r>
        <w:t xml:space="preserve">decentralization illusion these findings make measurable. The companion</w:t>
      </w:r>
      <w:r>
        <w:t xml:space="preserve"> </w:t>
      </w:r>
      <w:r>
        <w:t xml:space="preserve">normative paper develops the standard by which a given distribution</w:t>
      </w:r>
      <w:r>
        <w:t xml:space="preserve"> </w:t>
      </w:r>
      <w:r>
        <w:t xml:space="preserve">counts as legitimate self-governance rather than domination (Zukowski,</w:t>
      </w:r>
      <w:r>
        <w:t xml:space="preserve"> </w:t>
      </w:r>
      <w:r>
        <w:t xml:space="preserve">2026f).</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p>
    <w:p>
      <w:pPr>
        <w:pStyle w:val="BodyText"/>
      </w:pPr>
      <w:r>
        <w:t xml:space="preserve">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This paper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p>
    <w:bookmarkEnd w:id="95"/>
    <w:bookmarkStart w:id="96" w:name="contributions"/>
    <w:p>
      <w:pPr>
        <w:pStyle w:val="Heading2"/>
      </w:pPr>
      <w:r>
        <w:t xml:space="preserve">5.6 Contributions</w:t>
      </w:r>
    </w:p>
    <w:p>
      <w:pPr>
        <w:pStyle w:val="FirstParagraph"/>
      </w:pPr>
      <w:r>
        <w:t xml:space="preserve">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p>
    <w:p>
      <w:pPr>
        <w:pStyle w:val="BodyText"/>
      </w:pPr>
      <w:r>
        <w:rPr>
          <w:b/>
          <w:bCs/>
        </w:rPr>
        <w:t xml:space="preserve">Fourth, delegation-amplification measurement</w:t>
      </w:r>
      <w:r>
        <w:t xml:space="preserve"> </w:t>
      </w:r>
      <w:r>
        <w:t xml:space="preserve">(Section 4.5). Voting-HHI exceeds post-exclusion holding HHI in thirteen of eighteen protocols with sufficient governance data, while ENS, GMX, HNT, JUP, and LPT show that dispersion is possible under different delegate-program, voting-mechanism, or bonded-stake-delegation designs. Curve, Balancer, and Frax form a separate vote-escrow class with much larger amplification.</w:t>
      </w:r>
    </w:p>
    <w:bookmarkEnd w:id="96"/>
    <w:bookmarkStart w:id="97" w:name="limitations"/>
    <w:p>
      <w:pPr>
        <w:pStyle w:val="Heading2"/>
      </w:pPr>
      <w:r>
        <w:t xml:space="preserve">5.7 Limitations</w:t>
      </w:r>
    </w:p>
    <w:p>
      <w:pPr>
        <w:pStyle w:val="FirstParagraph"/>
      </w:pPr>
      <w:r>
        <w:t xml:space="preserve">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 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 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 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 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 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1" w:name="future-research"/>
    <w:p>
      <w:pPr>
        <w:pStyle w:val="Heading2"/>
      </w:pPr>
      <w:r>
        <w:t xml:space="preserve">5.8 Future Research</w:t>
      </w:r>
    </w:p>
    <w:p>
      <w:pPr>
        <w:pStyle w:val="FirstParagraph"/>
      </w:pPr>
      <w:r>
        <w:t xml:space="preserve">Six research directions have highest priority. First, longitudinal governance tracking: monthly snapshots of HHI and Gini across the full 52-protocol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8">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9">
        <w:r>
          <w:rPr>
            <w:rStyle w:val="Hyperlink"/>
          </w:rPr>
          <w:t xml:space="preserve">Supplementary File S23</w:t>
        </w:r>
      </w:hyperlink>
      <w:r>
        <w:t xml:space="preserve">) returns 85.7 percent monotonic-decay; both are consistent with the cross-sectional allocation null reported in Section 4.4. Full 52-protocol monthly extraction is the natural extension.</w:t>
      </w:r>
    </w:p>
    <w:p>
      <w:pPr>
        <w:pStyle w:val="BodyText"/>
      </w:pPr>
      <w:r>
        <w:t xml:space="preserve">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p>
    <w:p>
      <w:pPr>
        <w:pStyle w:val="BodyText"/>
      </w:pPr>
      <w:r>
        <w:t xml:space="preserve">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p>
    <w:p>
      <w:pPr>
        <w:pStyle w:val="BodyText"/>
      </w:pPr>
      <w:r>
        <w:t xml:space="preserve">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p>
    <w:p>
      <w:pPr>
        <w:pStyle w:val="BodyText"/>
      </w:pPr>
      <w:r>
        <w:t xml:space="preserve">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five</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Compact"/>
        <w:numPr>
          <w:ilvl w:val="0"/>
          <w:numId w:val="1002"/>
        </w:numPr>
      </w:pPr>
      <w:r>
        <w:rPr>
          <w:b/>
          <w:bCs/>
        </w:rPr>
        <w:t xml:space="preserve">Chain-architecture as trajectory moderator</w:t>
      </w:r>
      <w:r>
        <w:t xml:space="preserve">: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p>
    <w:p>
      <w:pPr>
        <w:pStyle w:val="FirstParagraph"/>
      </w:pPr>
      <w: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100">
        <w:r>
          <w:rPr>
            <w:rStyle w:val="Hyperlink"/>
          </w:rPr>
          <w:t xml:space="preserve">Supplementary File S17</w:t>
        </w:r>
      </w:hyperlink>
      <w:r>
        <w:t xml:space="preserve">.</w:t>
      </w:r>
    </w:p>
    <w:bookmarkEnd w:id="101"/>
    <w:bookmarkStart w:id="102" w:name="reproducibility-and-data-availability"/>
    <w:p>
      <w:pPr>
        <w:pStyle w:val="Heading2"/>
      </w:pPr>
      <w:r>
        <w:t xml:space="preserve">5.9 Reproducibility and Data Availability</w:t>
      </w:r>
    </w:p>
    <w:p>
      <w:pPr>
        <w:pStyle w:val="FirstParagraph"/>
      </w:pPr>
      <w:r>
        <w:t xml:space="preserve">The 52-protocol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the exclusions log</w:t>
      </w:r>
      <w:r>
        <w:t xml:space="preserve"> </w:t>
      </w:r>
      <w:r>
        <w:t xml:space="preserve">(</w:t>
      </w:r>
      <w:r>
        <w:rPr>
          <w:rStyle w:val="VerbatimChar"/>
        </w:rPr>
        <w:t xml:space="preserve">data/processed/exclusions_log.csv</w:t>
      </w:r>
      <w:r>
        <w:t xml:space="preserve">).</w:t>
      </w:r>
    </w:p>
    <w:p>
      <w:pPr>
        <w:pStyle w:val="BodyText"/>
      </w:pPr>
      <w:r>
        <w:t xml:space="preserve">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p>
    <w:bookmarkEnd w:id="102"/>
    <w:bookmarkEnd w:id="103"/>
    <w:bookmarkStart w:id="10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p>
    <w:p>
      <w:pPr>
        <w:pStyle w:val="BodyText"/>
      </w:pPr>
      <w:r>
        <w:t xml:space="preserve">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and only the live state can be audited. ENS and Anyone Protocol show that lower concentration and delegation-mediated dispersion are achievable through deliberate institutional design.</w:t>
      </w:r>
    </w:p>
    <w:p>
      <w:pPr>
        <w:pStyle w:val="BodyText"/>
      </w:pPr>
      <w:r>
        <w:t xml:space="preserve">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Longitudinal panel analysis and pre-registered falsifiable predictions are specified in Section 5.8 and Supplementary File S17.</w:t>
      </w:r>
    </w:p>
    <w:bookmarkEnd w:id="104"/>
    <w:bookmarkStart w:id="10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and raw holder-data</w:t>
      </w:r>
      <w:r>
        <w:t xml:space="preserve"> </w:t>
      </w:r>
      <w:r>
        <w:t xml:space="preserve">workflow.</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S13: Solana PCA exclusion audit, including cross-protocol candidate-address verification via the Sim API.</w:t>
      </w:r>
    </w:p>
    <w:p>
      <w:pPr>
        <w:pStyle w:val="BodyText"/>
      </w:pPr>
      <w:r>
        <w:t xml:space="preserve">S14: Shapley-Shubik and Banzhaf power-index full closure across the N=16 cross-source voting-HHI sample (three-class amplification typology; quorum-sensitivity profile).</w:t>
      </w:r>
    </w:p>
    <w:p>
      <w:pPr>
        <w:pStyle w:val="BodyText"/>
      </w:pPr>
      <w:r>
        <w:t xml:space="preserve">S15: Voting-HHI extension across the N=52 cross-section (FXS, SNX, GNO, TAO, DOT additions).</w:t>
      </w:r>
    </w:p>
    <w:p>
      <w:pPr>
        <w:pStyle w:val="BodyText"/>
      </w:pPr>
      <w:r>
        <w:t xml:space="preserve">S16a: Aethir, IoTeX, and ENS sensitivity analyses.</w:t>
      </w:r>
    </w:p>
    <w:p>
      <w:pPr>
        <w:pStyle w:val="BodyText"/>
      </w:pPr>
      <w:r>
        <w:t xml:space="preserve">S16b: Sample-expansion batch (FXS, SNX, GNO, TAO; pre-exclusion holder-HHI baseline; 4 of 5 N=45 expansion protocols via Sim API EVM + TAOSTATS Substrate).</w:t>
      </w:r>
    </w:p>
    <w:p>
      <w:pPr>
        <w:pStyle w:val="BodyText"/>
      </w:pPr>
      <w:r>
        <w:t xml:space="preserve">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p>
    <w:p>
      <w:pPr>
        <w:pStyle w:val="BodyText"/>
      </w:pPr>
      <w:r>
        <w:t xml:space="preserve">S17: Falsifiable predictions and pre-registration specification.</w:t>
      </w:r>
    </w:p>
    <w:p>
      <w:pPr>
        <w:pStyle w:val="BodyText"/>
      </w:pPr>
      <w:r>
        <w:t xml:space="preserve">S18: EVM sample-expansion PCA classification with two-layer audit (FXS, SNX, GNO post-exclusion HHI = 0.032/0.017/0.042 via Etherscan public-name-tag + Nansen Address Labels API verification; 5 new CEX hot wallets surfaced as universal-sweep candidates).</w:t>
      </w:r>
    </w:p>
    <w:p>
      <w:pPr>
        <w:pStyle w:val="BodyText"/>
      </w:pPr>
      <w:r>
        <w:t xml:space="preserve">S19: Polkadot validator-set five-axis attribution methodology (Subscan Identity Pallet + Polkawatch DDP API + Web3 Foundation TVP + L2 funding-source + display-name; 53 percent attribution coverage from 16 percent on-chain baseline).</w:t>
      </w:r>
    </w:p>
    <w:p>
      <w:pPr>
        <w:pStyle w:val="BodyText"/>
      </w:pPr>
      <w:r>
        <w:t xml:space="preserve">S20: Polkadot Subscan refresh finding (methodology validation; empirical-instability case for unauthenticated Subscan endpoints).</w:t>
      </w:r>
    </w:p>
    <w:p>
      <w:pPr>
        <w:pStyle w:val="BodyText"/>
      </w:pPr>
      <w:r>
        <w:t xml:space="preserve">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p>
    <w:p>
      <w:pPr>
        <w:pStyle w:val="BodyText"/>
      </w:pPr>
      <w:r>
        <w:t xml:space="preserve">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p>
    <w:p>
      <w:pPr>
        <w:pStyle w:val="BodyText"/>
      </w:pPr>
      <w:r>
        <w:t xml:space="preserve">S23: Q1-to-Q8 governance-HHI trajectory analysis on the 14-protocol panel (85.7 percent monotonic decay; consistent with the cross-sectional findings).</w:t>
      </w:r>
    </w:p>
    <w:p>
      <w:pPr>
        <w:pStyle w:val="BodyText"/>
      </w:pPr>
      <w:r>
        <w:t xml:space="preserve">S24: Optimism worked example retained as a supplementary case.</w:t>
      </w:r>
    </w:p>
    <w:p>
      <w:pPr>
        <w:pStyle w:val="BodyText"/>
      </w:pPr>
      <w:r>
        <w:t xml:space="preserve">S25: Cross-protocol institutional concentration (fifth-axis evidence): named professional-delegate firms (PGov, Tane Governance, Arana Digital) and cross-protocol centralized-exchange overlap documented across Snapshot, Tally, and Polkadot validator surfaces.</w:t>
      </w:r>
    </w:p>
    <w:p>
      <w:pPr>
        <w:pStyle w:val="BodyText"/>
      </w:pPr>
      <w:r>
        <w:t xml:space="preserve">Replication data:</w:t>
      </w:r>
      <w:r>
        <w:t xml:space="preserve"> </w:t>
      </w:r>
      <w:r>
        <w:t xml:space="preserve">https://github.com/Research-Publications-and-Data/Tokenomics-As-Institutional_Design</w:t>
      </w:r>
    </w:p>
    <w:bookmarkEnd w:id="105"/>
    <w:bookmarkStart w:id="10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6"/>
    <w:bookmarkStart w:id="10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Acemoglu, D., &amp; Robinson, J. A. (2008). Persistence of power, elites,</w:t>
      </w:r>
      <w:r>
        <w:t xml:space="preserve"> </w:t>
      </w:r>
      <w:r>
        <w:t xml:space="preserve">and institutions. American Economic Review, 98(1), 267-293.</w:t>
      </w:r>
      <w:r>
        <w:t xml:space="preserve"> </w:t>
      </w:r>
      <w:r>
        <w:t xml:space="preserve">https://doi.org/10.1257/aer.98.1.267</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Berle, A. A., &amp; Means, G. C. (1932). The modern corporation and private</w:t>
      </w:r>
      <w:r>
        <w:t xml:space="preserve"> </w:t>
      </w:r>
      <w:r>
        <w:t xml:space="preserve">property. Macmillan.</w:t>
      </w:r>
    </w:p>
    <w:p>
      <w:pPr>
        <w:pStyle w:val="BodyText"/>
      </w:pPr>
      <w:r>
        <w:t xml:space="preserve">Blockworks. (2026a). GEODNET analytics dashboard. Retrieved April 2026,</w:t>
      </w:r>
      <w:r>
        <w:t xml:space="preserve"> </w:t>
      </w:r>
      <w:r>
        <w:t xml:space="preserve">from https://blockworks.com/analytics/geodnet</w:t>
      </w:r>
    </w:p>
    <w:p>
      <w:pPr>
        <w:pStyle w:val="BodyText"/>
      </w:pPr>
      <w:r>
        <w:t xml:space="preserve">Blockworks. (2026b).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Felsenthal, D. S., &amp; Machover, M. (1998). The measurement of voting</w:t>
      </w:r>
      <w:r>
        <w:t xml:space="preserve"> </w:t>
      </w:r>
      <w:r>
        <w:t xml:space="preserve">power: Theory and practice, problems and paradoxes. Edward Elgar.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Jensen, M. C., &amp; Meckling, W. H. (1976). Theory of the firm: Managerial</w:t>
      </w:r>
      <w:r>
        <w:t xml:space="preserve"> </w:t>
      </w:r>
      <w:r>
        <w:t xml:space="preserve">behavior, agency costs and ownership structure. Journal of Financial</w:t>
      </w:r>
      <w:r>
        <w:t xml:space="preserve"> </w:t>
      </w:r>
      <w:r>
        <w:t xml:space="preserve">Economics, 3(4), 305-360. https://doi.org/10.1016/0304-405X(76)90026-X</w:t>
      </w:r>
    </w:p>
    <w:p>
      <w:pPr>
        <w:pStyle w:val="BodyText"/>
      </w:pPr>
      <w:r>
        <w:t xml:space="preserve">Khan, L. M. (2017). Amazon’s antitrust paradox. The Yale Law Journal,</w:t>
      </w:r>
      <w:r>
        <w:t xml:space="preserve"> </w:t>
      </w:r>
      <w:r>
        <w:t xml:space="preserve">126(3), 710-805.</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La Porta, R., Lopez-de-Silanes, F., &amp; Shleifer, A. (1999). Corporate</w:t>
      </w:r>
      <w:r>
        <w:t xml:space="preserve"> </w:t>
      </w:r>
      <w:r>
        <w:t xml:space="preserve">ownership around the world. Journal of Finance, 54(2), 471-517.</w:t>
      </w:r>
      <w:r>
        <w:t xml:space="preserve"> </w:t>
      </w:r>
      <w:r>
        <w:t xml:space="preserve">https://doi.org/10.1111/0022-1082.00115</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Malenko, N., &amp; Shen, Y. (2016). The role of proxy advisory firms:</w:t>
      </w:r>
      <w:r>
        <w:t xml:space="preserve"> </w:t>
      </w:r>
      <w:r>
        <w:t xml:space="preserve">Evidence from a regression-discontinuity design. Review of Financial</w:t>
      </w:r>
      <w:r>
        <w:t xml:space="preserve"> </w:t>
      </w:r>
      <w:r>
        <w:t xml:space="preserve">Studies, 29(12), 3394-3427. https://doi.org/10.1093/rfs/hhw070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&amp; De Filippi, P. (2024). Accountability protocols? On-chain</w:t>
      </w:r>
      <w:r>
        <w:t xml:space="preserve"> </w:t>
      </w:r>
      <w:r>
        <w:t xml:space="preserve">dynamics in blockchain governance. Internet Policy Review, 13(4).</w:t>
      </w:r>
      <w:r>
        <w:t xml:space="preserve"> </w:t>
      </w:r>
      <w:r>
        <w:t xml:space="preserve">https://doi.org/10.14763/2024.4.1807</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Penrose, L. S. (1946). The elementary statistics of majority voting.</w:t>
      </w:r>
      <w:r>
        <w:t xml:space="preserve"> </w:t>
      </w:r>
      <w:r>
        <w:t xml:space="preserve">Journal of the Royal Statistical Society, 109(1), 53-57.</w:t>
      </w:r>
      <w:r>
        <w:t xml:space="preserve"> </w:t>
      </w:r>
      <w:r>
        <w:t xml:space="preserve">https://doi.org/10.1111/j.2397-2335.1946.tb04638.x</w:t>
      </w:r>
    </w:p>
    <w:p>
      <w:pPr>
        <w:pStyle w:val="BodyText"/>
      </w:pPr>
      <w:r>
        <w:t xml:space="preserve">Pettit, P. (1997). Republicanism: A theory of freedom and government.</w:t>
      </w:r>
      <w:r>
        <w:t xml:space="preserve"> </w:t>
      </w:r>
      <w:r>
        <w:t xml:space="preserve">Oxford University Press.</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Rozas, D., Tenorio-Fornés, A., Díaz-Molina, S., &amp; Hassan, S. (2021).</w:t>
      </w:r>
      <w:r>
        <w:t xml:space="preserve"> </w:t>
      </w:r>
      <w:r>
        <w:t xml:space="preserve">When Ostrom meets blockchain: Exploring the potentials of blockchain</w:t>
      </w:r>
      <w:r>
        <w:t xml:space="preserve"> </w:t>
      </w:r>
      <w:r>
        <w:t xml:space="preserve">for commons governance. SAGE Open, 11(1), 1-14.</w:t>
      </w:r>
      <w:r>
        <w:t xml:space="preserve"> </w:t>
      </w:r>
      <w:r>
        <w:t xml:space="preserve">https://doi.org/10.1177/21582440211002526</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Shleifer, A., &amp; Vishny, R. W. (1997). A survey of corporate governance.</w:t>
      </w:r>
      <w:r>
        <w:t xml:space="preserve"> </w:t>
      </w:r>
      <w:r>
        <w:t xml:space="preserve">Journal of Finance, 52(2), 737-783.</w:t>
      </w:r>
      <w:r>
        <w:t xml:space="preserve"> </w:t>
      </w:r>
      <w:r>
        <w:t xml:space="preserve">https://doi.org/10.1111/j.1540-6261.1997.tb04820.x</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Walch, A. (2019). Deconstructing</w:t>
      </w:r>
      <w:r>
        <w:t xml:space="preserve"> </w:t>
      </w:r>
      <w:r>
        <w:t xml:space="preserve">“decentralization”</w:t>
      </w:r>
      <w:r>
        <w:t xml:space="preserve">: Exploring the</w:t>
      </w:r>
      <w:r>
        <w:t xml:space="preserve"> </w:t>
      </w:r>
      <w:r>
        <w:t xml:space="preserve">core claim of crypto systems. In C. Brummer (Ed.), Cryptoassets: Legal,</w:t>
      </w:r>
      <w:r>
        <w:t xml:space="preserve"> </w:t>
      </w:r>
      <w:r>
        <w:t xml:space="preserve">regulatory, and monetary perspectives (pp. 140-166). Oxford University</w:t>
      </w:r>
      <w:r>
        <w:t xml:space="preserve"> </w:t>
      </w:r>
      <w:r>
        <w:t xml:space="preserve">Press.</w:t>
      </w:r>
    </w:p>
    <w:p>
      <w:pPr>
        <w:pStyle w:val="BodyText"/>
      </w:pPr>
      <w:r>
        <w:t xml:space="preserve">Wasserstein, R. L., &amp; Lazar, N. A. (2016). The ASA’s statement on</w:t>
      </w:r>
      <w:r>
        <w:t xml:space="preserve"> </w:t>
      </w:r>
      <w:r>
        <w:t xml:space="preserve">p-values: Context, process, and purpose. The American Statistician,</w:t>
      </w:r>
      <w:r>
        <w:t xml:space="preserve"> </w:t>
      </w:r>
      <w:r>
        <w:t xml:space="preserve">70(2), 129-133. https://doi.org/10.1080/00031305.2016.1154108</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(1979). Transaction-cost economics: The governance</w:t>
      </w:r>
      <w:r>
        <w:t xml:space="preserve"> </w:t>
      </w:r>
      <w:r>
        <w:t xml:space="preserve">of contractual relations. Journal of Law and Economics, 22(2),</w:t>
      </w:r>
      <w:r>
        <w:t xml:space="preserve"> </w:t>
      </w:r>
      <w:r>
        <w:t xml:space="preserve">233–261.</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Wu, T. (2018). The curse of bigness: Antitrust in the new gilded age.</w:t>
      </w:r>
      <w:r>
        <w:t xml:space="preserve"> </w:t>
      </w:r>
      <w:r>
        <w:t xml:space="preserve">Columbia Global Reports.</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p>
      <w:pPr>
        <w:pStyle w:val="BodyText"/>
      </w:pPr>
      <w:r>
        <w:t xml:space="preserve">Zukowski, Z. (2026f). Non-domination by design: A republican-commons</w:t>
      </w:r>
      <w:r>
        <w:t xml:space="preserve"> </w:t>
      </w:r>
      <w:r>
        <w:t xml:space="preserve">standard for legitimate token governance. Working manuscript.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6" Target="https://github.com/Research-Publications-and-Data/Tokenomics-As-Institutional_Design/blob/main/b2/paper/supplements/S14_power_indices_full_closure_2026-05-27.md" TargetMode="External" /><Relationship Type="http://schemas.openxmlformats.org/officeDocument/2006/relationships/hyperlink" Id="rId100" Target="https://github.com/Research-Publications-and-Data/Tokenomics-As-Institutional_Design/blob/main/b2/paper/supplements/S17_falsifiable_predictions.md" TargetMode="External" /><Relationship Type="http://schemas.openxmlformats.org/officeDocument/2006/relationships/hyperlink" Id="rId37" Target="https://github.com/Research-Publications-and-Data/Tokenomics-As-Institutional_Design/blob/main/b2/paper/supplements/S1_metric_definitions.md" TargetMode="External" /><Relationship Type="http://schemas.openxmlformats.org/officeDocument/2006/relationships/hyperlink" Id="rId42" Target="https://github.com/Research-Publications-and-Data/Tokenomics-As-Institutional_Design/blob/main/b2/paper/supplements/S21_class_3_vs_5_signature_methodology_2026-05-27.md" TargetMode="External" /><Relationship Type="http://schemas.openxmlformats.org/officeDocument/2006/relationships/hyperlink" Id="rId36" Target="https://github.com/Research-Publications-and-Data/Tokenomics-As-Institutional_Design/blob/main/b2/paper/supplements/S22_insider_classification_of_record_and_staking_audit.md" TargetMode="External" /><Relationship Type="http://schemas.openxmlformats.org/officeDocument/2006/relationships/hyperlink" Id="rId99" Target="https://github.com/Research-Publications-and-Data/Tokenomics-As-Institutional_Design/blob/main/b2/paper/supplements/S23_trajectory_analysis_2026-05-27.md" TargetMode="External" /><Relationship Type="http://schemas.openxmlformats.org/officeDocument/2006/relationships/hyperlink" Id="rId73" Target="https://github.com/Research-Publications-and-Data/Tokenomics-As-Institutional_Design/blob/main/b2/paper/supplements/S25_cross_protocol_institutional_concentration_2026-05-31.md" TargetMode="External" /><Relationship Type="http://schemas.openxmlformats.org/officeDocument/2006/relationships/hyperlink" Id="rId33" Target="https://github.com/Research-Publications-and-Data/Tokenomics-As-Institutional_Design/blob/main/b2/paper/supplements/S5_pipeline_specific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49" Target="https://github.com/Research-Publications-and-Data/Tokenomics-As-Institutional_Design/blob/main/data/processed/exclusions_log.csv"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Protocol-Address-Corrected Cross-Sectional Audit of 52 DePIN and DeFi Protocols</dc:title>
  <dc:creator/>
  <cp:keywords/>
  <dcterms:created xsi:type="dcterms:W3CDTF">2026-06-01T03:49:28Z</dcterms:created>
  <dcterms:modified xsi:type="dcterms:W3CDTF">2026-06-01T03:49:28Z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