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0.58, p = 0.008, N = 20) but entirely through Livepeer (88.5x subsidy): excluding Livepeer, the correlation is not significant (r = 0.12, p = 0.63).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0.44, p = 0.005),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0.58</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0.171,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robust to most but not all exclusions. The subsidy correlation is entirely driven by Livepeer. Details follow.</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0.58, p = 0.008, N = 20) is driven by a single protocol. Livepeer’s subsidy ratio of 88.5x is a 3.5-sigma outlier on the subsidy axis, and its HHI (0.20) is the second-highest in the subsidy subsample. Excluding Livepeer alone reduces the correlation to r = 0.12 (p = 0.63).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0.12 (dashed line, excluding Livepeer) to r = 0.58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0.014, Cohen’s d = 1.03;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