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across leave-one-out, permutation, and a powered multivariate specification);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p>
    <w:p>
      <w:pPr>
        <w:pStyle w:val="BodyText"/>
      </w:pPr>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establishes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cleaned of addresses that hold tokens but structurally cannot</w:t>
      </w:r>
      <w:r>
        <w:t xml:space="preserve"> </w:t>
      </w:r>
      <w:r>
        <w:t xml:space="preserve">vote. We construct a 52-protocol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and current institutional structure (sector,</w:t>
      </w:r>
      <w:r>
        <w:t xml:space="preserve"> </w:t>
      </w:r>
      <w:r>
        <w:t xml:space="preserve">insider retention, and delegation design) is the more informative</w:t>
      </w:r>
      <w:r>
        <w:t xml:space="preserve"> </w:t>
      </w:r>
      <w:r>
        <w:t xml:space="preserve">correlate.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0.011, Cohen’s d = 1.05),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eighteen protocols, PCA classification is weaker on some Solana- and Substrate-native tokens, and the sample is still modest for</w:t>
      </w:r>
      <w:r>
        <w:t xml:space="preserve"> </w:t>
      </w:r>
      <w:r>
        <w:t xml:space="preserve">fully specified multivariate models. These limitations are developed in Sections 5.3 and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3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§3 specifies the data and methods, §4 reports the results, and the four contributions stated in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52-protocol sample (the exclusions log contains</w:t>
      </w:r>
      <w:r>
        <w:t xml:space="preserve"> </w:t>
      </w:r>
      <w:r>
        <w:t xml:space="preserve">the address-by-address documentation), but the generalizable typology</w:t>
      </w:r>
      <w:r>
        <w:t xml:space="preserve"> </w:t>
      </w:r>
      <w:r>
        <w:t xml:space="preserve">that future replication and extension work can apply uniformly.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w:t>
      </w:r>
      <w:r>
        <w:t xml:space="preserve"> </w:t>
      </w:r>
      <w:r>
        <w:t xml:space="preserve">38 protocols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3.8),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 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 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p>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pct" w:w="4865"/>
        <w:tblLayout w:type="fixed"/>
        <w:tblLook w:firstRow="1" w:lastRow="0" w:firstColumn="0" w:lastColumn="0" w:noHBand="0" w:noVBand="0" w:val="0020"/>
      </w:tblPr>
      <w:tblGrid>
        <w:gridCol w:w="3638"/>
        <w:gridCol w:w="1498"/>
        <w:gridCol w:w="1284"/>
        <w:gridCol w:w="1284"/>
      </w:tblGrid>
      <w:tr>
        <w:trPr>
          <w:tblHeader w:val="on"/>
        </w:trPr>
        <w:tc>
          <w:tcPr/>
          <w:p>
            <w:pPr>
              <w:pStyle w:val="Compact"/>
              <w:jc w:val="left"/>
            </w:pPr>
            <w:r>
              <w:t xml:space="preserve">Predictor (DV = log HHI)</w:t>
            </w:r>
          </w:p>
        </w:tc>
        <w:tc>
          <w:tcPr/>
          <w:p>
            <w:pPr>
              <w:pStyle w:val="Compact"/>
              <w:jc w:val="left"/>
            </w:pPr>
            <w:r>
              <w:t xml:space="preserve">Coefficient</w:t>
            </w:r>
          </w:p>
        </w:tc>
        <w:tc>
          <w:tcPr/>
          <w:p>
            <w:pPr>
              <w:pStyle w:val="Compact"/>
              <w:jc w:val="left"/>
            </w:pPr>
            <w:r>
              <w:t xml:space="preserve">Robust SE</w:t>
            </w:r>
          </w:p>
        </w:tc>
        <w:tc>
          <w:tcPr/>
          <w:p>
            <w:pPr>
              <w:pStyle w:val="Compact"/>
              <w:jc w:val="left"/>
            </w:pPr>
            <w:r>
              <w:t xml:space="preserve">p</w:t>
            </w:r>
          </w:p>
        </w:tc>
      </w:tr>
      <w:tr>
        <w:tc>
          <w:tcPr/>
          <w:p>
            <w:pPr>
              <w:pStyle w:val="Compact"/>
              <w:jc w:val="left"/>
            </w:pPr>
            <w:r>
              <w:t xml:space="preserve">DePIN (vs DeFi)</w:t>
            </w:r>
            <w:r>
              <w:t xml:space="preserve"> </w:t>
            </w:r>
            <w:r>
              <w:t xml:space="preserve">L1/L2/Infra (vs DeFi)</w:t>
            </w:r>
            <w:r>
              <w:t xml:space="preserve"> </w:t>
            </w:r>
            <w:r>
              <w:t xml:space="preserve">Log revenue-intensity</w:t>
            </w:r>
            <w:r>
              <w:t xml:space="preserve"> </w:t>
            </w:r>
            <w:r>
              <w:t xml:space="preserve">Protocol maturity (years)</w:t>
            </w:r>
            <w:r>
              <w:t xml:space="preserve"> </w:t>
            </w:r>
            <w:r>
              <w:t xml:space="preserve">Constant</w:t>
            </w:r>
          </w:p>
        </w:tc>
        <w:tc>
          <w:tcPr/>
          <w:p>
            <w:pPr>
              <w:pStyle w:val="Compact"/>
              <w:jc w:val="left"/>
            </w:pPr>
            <w:r>
              <w:t xml:space="preserve">+0.733</w:t>
            </w:r>
            <w:r>
              <w:t xml:space="preserve"> </w:t>
            </w:r>
            <w:r>
              <w:t xml:space="preserve">-0.353</w:t>
            </w:r>
            <w:r>
              <w:t xml:space="preserve"> </w:t>
            </w:r>
            <w:r>
              <w:t xml:space="preserve">-0.010</w:t>
            </w:r>
            <w:r>
              <w:t xml:space="preserve"> </w:t>
            </w:r>
            <w:r>
              <w:t xml:space="preserve">+0.026</w:t>
            </w:r>
            <w:r>
              <w:t xml:space="preserve"> </w:t>
            </w:r>
            <w:r>
              <w:t xml:space="preserve">-3.866</w:t>
            </w:r>
          </w:p>
        </w:tc>
        <w:tc>
          <w:tcPr/>
          <w:p>
            <w:pPr>
              <w:pStyle w:val="Compact"/>
              <w:jc w:val="left"/>
            </w:pPr>
            <w:r>
              <w:t xml:space="preserve">0.275</w:t>
            </w:r>
            <w:r>
              <w:t xml:space="preserve"> </w:t>
            </w:r>
            <w:r>
              <w:t xml:space="preserve">0.307</w:t>
            </w:r>
            <w:r>
              <w:t xml:space="preserve"> </w:t>
            </w:r>
            <w:r>
              <w:t xml:space="preserve">0.077</w:t>
            </w:r>
            <w:r>
              <w:t xml:space="preserve"> </w:t>
            </w:r>
            <w:r>
              <w:t xml:space="preserve">0.050</w:t>
            </w:r>
            <w:r>
              <w:t xml:space="preserve"> </w:t>
            </w:r>
            <w:r>
              <w:t xml:space="preserve">0.304</w:t>
            </w:r>
          </w:p>
        </w:tc>
        <w:tc>
          <w:tcPr/>
          <w:p>
            <w:pPr>
              <w:pStyle w:val="Compact"/>
              <w:jc w:val="left"/>
            </w:pPr>
            <w:r>
              <w:t xml:space="preserve">0.011</w:t>
            </w:r>
            <w:r>
              <w:t xml:space="preserve"> </w:t>
            </w:r>
            <w:r>
              <w:t xml:space="preserve">0.256</w:t>
            </w:r>
            <w:r>
              <w:t xml:space="preserve"> </w:t>
            </w:r>
            <w:r>
              <w:t xml:space="preserve">0.894</w:t>
            </w:r>
            <w:r>
              <w:t xml:space="preserve"> </w:t>
            </w:r>
            <w:r>
              <w:t xml:space="preserve">0.601</w:t>
            </w:r>
            <w:r>
              <w:t xml:space="preserve"> </w:t>
            </w: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0.07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w:t>
      </w:r>
    </w:p>
    <w:bookmarkEnd w:id="62"/>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ENS (0.48x), GMX</w:t>
      </w:r>
      <w:r>
        <w:rPr>
          <w:i/>
          <w:iCs/>
        </w:rPr>
        <w:t xml:space="preserve"> </w:t>
      </w:r>
      <w:r>
        <w:rPr>
          <w:i/>
          <w:iCs/>
        </w:rPr>
        <w:t xml:space="preserve">(0.87x), HNT (0.26x to 0.39x), JUP (0.12x, the most-extreme dispersion</w:t>
      </w:r>
      <w:r>
        <w:rPr>
          <w:i/>
          <w:iCs/>
        </w:rPr>
        <w:t xml:space="preserve"> </w:t>
      </w:r>
      <w:r>
        <w:rPr>
          <w:i/>
          <w:iCs/>
        </w:rPr>
        <w:t xml:space="preserve">outlier), and Livepeer (0.27x, the most pronounced DePIN governance</w:t>
      </w:r>
      <w:r>
        <w:rPr>
          <w:i/>
          <w:iCs/>
        </w:rPr>
        <w:t xml:space="preserve"> </w:t>
      </w:r>
      <w:r>
        <w:rPr>
          <w:i/>
          <w:iCs/>
        </w:rPr>
        <w:t xml:space="preserve">disperser).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at 0.48x; GMX at 0.87x; HNT at 0.26x-0.39x; JUP at 0.12x; and LPT at 0.27x are</w:t>
      </w:r>
      <w:r>
        <w:t xml:space="preserve"> </w:t>
      </w:r>
      <w:r>
        <w:t xml:space="preserve">the five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r>
        <w:t xml:space="preserve"> </w:t>
      </w:r>
      <w:r>
        <w:t xml:space="preserve">sample, the 2.5x to 25.6x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(ENS at 0.48x; GMX at 0.87x; HNT at 0.26x-0.39x; JUP at 0.12x; LPT at 0.27x)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4"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3">
        <w:r>
          <w:rPr>
            <w:rStyle w:val="Hyperlink"/>
          </w:rPr>
          <w:t xml:space="preserve">Supplementary File S25</w:t>
        </w:r>
      </w:hyperlink>
      <w:r>
        <w:t xml:space="preserve">.</w:t>
      </w:r>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0.011, Cohen’s d = 1.05) is robust to sample composition. The test remains significant</w:t>
      </w:r>
      <w:r>
        <w:t xml:space="preserve"> </w:t>
      </w:r>
      <w:r>
        <w:t xml:space="preserve">in all 30 of 30 leave-one-out iterations (per-iteration p range: 0.006</w:t>
      </w:r>
      <w:r>
        <w:t xml:space="preserve"> </w:t>
      </w:r>
      <w:r>
        <w:t xml:space="preserve">to 0.020; Cohen’s d range: 0.97 to 1.17; per-iteration LOO data (see Supplementary Figure S5b in Supplementary File S5 for the LOO forest plot) covers the per-</w:t>
      </w:r>
      <w:r>
        <w:t xml:space="preserve"> </w:t>
      </w:r>
      <w:r>
        <w:t xml:space="preserve">iteration forest plot with bootstrap 95% CI on the headline d). No single dropped</w:t>
      </w:r>
      <w:r>
        <w:t xml:space="preserve"> </w:t>
      </w:r>
      <w:r>
        <w:t xml:space="preserve">protocol pushes the per-iteration p-value above 0.020, and no single</w:t>
      </w:r>
      <w:r>
        <w:t xml:space="preserve"> </w:t>
      </w:r>
      <w:r>
        <w:t xml:space="preserve">protocol uniquely drives the result. A two-sided permutation</w:t>
      </w:r>
      <w:r>
        <w:t xml:space="preserve"> </w:t>
      </w:r>
      <w:r>
        <w:t xml:space="preserve">test (100,000 random reassignments of sector labels) yields p = 0.004,</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[+0.016,</w:t>
      </w:r>
      <w:r>
        <w:t xml:space="preserve"> </w:t>
      </w:r>
      <w:r>
        <w:t xml:space="preserve">+0.070] HHI points, strictly excluding zero; the Cohen’s d 95%</w:t>
      </w:r>
      <w:r>
        <w:t xml:space="preserve"> </w:t>
      </w:r>
      <w:r>
        <w:t xml:space="preserve">percentile interval is [0.56, 1.72], strictly above the small-effect</w:t>
      </w:r>
      <w:r>
        <w:t xml:space="preserve"> </w:t>
      </w:r>
      <w:r>
        <w:t xml:space="preserve">threshold and including the conventional large-effect threshold (d = 0.8; Cohen, 1988)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87"/>
    <w:bookmarkStart w:id="88"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p>
    <w:p>
      <w:pPr>
        <w:pStyle w:val="BodyText"/>
      </w:pPr>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1"/>
    <w:bookmarkStart w:id="92"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2"/>
    <w:bookmarkStart w:id="93"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93"/>
    <w:bookmarkStart w:id="94"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4"/>
    <w:bookmarkStart w:id="95"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95"/>
    <w:bookmarkStart w:id="96" w:name="contributions"/>
    <w:p>
      <w:pPr>
        <w:pStyle w:val="Heading2"/>
      </w:pPr>
      <w:r>
        <w:t xml:space="preserve">5.6 Contributions</w:t>
      </w:r>
    </w:p>
    <w:p>
      <w:pPr>
        <w:pStyle w:val="FirstParagraph"/>
      </w:pPr>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p>
    <w:bookmarkEnd w:id="96"/>
    <w:bookmarkStart w:id="97" w:name="limitations"/>
    <w:p>
      <w:pPr>
        <w:pStyle w:val="Heading2"/>
      </w:pPr>
      <w:r>
        <w:t xml:space="preserve">5.7 Limitations</w:t>
      </w:r>
    </w:p>
    <w:p>
      <w:pPr>
        <w:pStyle w:val="FirstParagraph"/>
      </w:pPr>
      <w:r>
        <w:t xml:space="preserve">The evidence reported here carries three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Second,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Third,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p>
    <w:p>
      <w:pPr>
        <w:pStyle w:val="BodyText"/>
      </w:pPr>
      <w:r>
        <w:t xml:space="preserve">Measurement extensions that would refine these findings without changing</w:t>
      </w:r>
      <w:r>
        <w:t xml:space="preserve"> </w:t>
      </w:r>
      <w:r>
        <w:t xml:space="preserve">the core claim are enumerated in Section 5.8.</w:t>
      </w:r>
    </w:p>
    <w:bookmarkEnd w:id="97"/>
    <w:bookmarkStart w:id="101" w:name="future-research"/>
    <w:p>
      <w:pPr>
        <w:pStyle w:val="Heading2"/>
      </w:pPr>
      <w:r>
        <w:t xml:space="preserve">5.8 Future Research</w:t>
      </w:r>
    </w:p>
    <w:p>
      <w:pPr>
        <w:pStyle w:val="FirstParagraph"/>
      </w:pPr>
      <w:r>
        <w:t xml:space="preserve">Four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for the remaining protocols in the 52-protocol cross-section, and extending toward N = 60 and beyond, would widen the covariate-complete sample and strengthen the panel and event-study analyses currently specified as replication-ready designs.</w:t>
      </w:r>
    </w:p>
    <w:p>
      <w:pPr>
        <w:pStyle w:val="BodyText"/>
      </w:pPr>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The forward empirical agenda is to convert the current cross-section into panel evidence, complete the sample expansion to N = 50-60 with multivariate regression on the extended sample, extend cross-protocol delegate overlap to Solana governance surfaces, and evaluate operator-infrastructure as candidate sixth axis. Recent game-theoretic results (Kiayias et al., 2025) indicate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0">
        <w:r>
          <w:rPr>
            <w:rStyle w:val="Hyperlink"/>
          </w:rPr>
          <w:t xml:space="preserve">Supplementary File S17</w:t>
        </w:r>
      </w:hyperlink>
      <w:r>
        <w:t xml:space="preserve">.</w:t>
      </w:r>
    </w:p>
    <w:bookmarkEnd w:id="101"/>
    <w:bookmarkStart w:id="102"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2"/>
    <w:bookmarkEnd w:id="103"/>
    <w:bookmarkStart w:id="10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p>
    <w:p>
      <w:pPr>
        <w:pStyle w:val="BodyText"/>
      </w:pPr>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2026-06-01T03:20:12Z</dcterms:created>
  <dcterms:modified xsi:type="dcterms:W3CDTF">2026-06-01T03:20:12Z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