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 xml:space="preserve">www.Tokenization.Systems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became the first GeoDePIN protocol where paid usage fully offsets token emissions, with its Subsidy-to-Revenue ratio (S2R) rising from 0.013 under coverage-based rewards to 1.84 between May 2023 and February 2026. Data Credit burns now exceed HNT emissions by approximately 84%, producing net annual deflation of 3 to 4%. However, roughly five purchasers account for 90% of those burns: a demand concentration that aggregate fiscal metrics cannot detect. DIMO (S2R 4.24) subsequently crossed fiscal parity; GEODNET (0.219) and Hivemapper (0.183) occupy a growth-phase middle tier; the remaining protocols cluster near zero. Governance concentration across the thirteen-protocol GeoDePIN cross-section examined here (Herfindahl-Hirschman Index 0.034 to 0.593) materially exceeds the post-exclusion DeFi benchmarks from a companion cross-sectional study (0.005 to 0.065). Four outputs organize the findings: a classification distinguishing GeoDePIN from location-independent protocols with testable predictions, a design playbook mapping mechanisms to protocol maturity stages, a health dashboard with demand-concentration guardrails, and a subtraction test for mechanism necessity.</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In mid-2024,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consistent with geographic saturation imposing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draws on Kantian publicity, Rawlsian fairness, republican non-domination, and Hayekian knowledge-use.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 xml:space="preserve">The sinks-before-faucets principle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scoping review (Frontiers in Blockchain, 2026), identifying the prevailing “DePIN Flywheel” pattern grounded in a Burn-and-Mint Equilibrium “where demand is monetized through fiat-denominated usage credits created by burning the network's native token.” Alshater further characterizes the architecture as a composition of three primitives: the burn-and-mint sink, governance-calibrated issuance, and collateral requirements that bind operator participation to network state. The review identifies four structural challenges that the longitudinal S2R analysis developed here addresses directly: token price volatility impact on provider economics, robust incentive alignment, generating sufficient non-speculative demand, and regulatory uncertainty. Alshater's research agenda explicitly prioritizes empirical event studies of governance changes and quality-adjusted reward measurement;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 xml:space="preserve">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that adaptive emission compresses worst-case node-count variance roughly sixfold under supply shocks (the coefficient of variation falls from 0.544 under static policy to 0.087 under PID control during a competitor shock, raising the fifth-percentile outcome from 1,049 to 8,880 nodes), and indicates that the monetary regime under stress is scenario-dependent: under competitor and regulatory shocks both PID-controlled and static protocols are net deflationary because slashing dominates supply removal, while only under a sustained bear contraction do the regimes diverge, with the PID controller producing mild inflation (+3.9%) and the static schedule producing deflation.</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 xml:space="preserve">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234 to 354 million tokens from circulation to treasury across all parameterizations (269 to 354 million at default penalty values),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 xml:space="preserve">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 xml:space="preserve">Governance concentration: 6 DePIN protocols with computed governance HHIs reported here (DIMO, WeatherXM, IoTeX, GEODNET, Anyone, Grass) from the full 13-protocol sample; post-exclusion DeFi benchmarks are drawn from the 52-protocol companion cross-section.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1.84 in February 2026, crossing fiscal parity in October 2025 and remaining net-deflationary through the observation window.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pPr>
        <w:jc w:val="center"/>
      </w:pPr>
      <w:r>
        <w:drawing>
          <wp:inline xmlns:a="http://schemas.openxmlformats.org/drawingml/2006/main" xmlns:pic="http://schemas.openxmlformats.org/drawingml/2006/picture" distT="0" distB="0" distL="0" distR="0">
            <wp:extent cx="4572000" cy="2489765"/>
            <wp:docPr id="4" name="Figure 1"/>
            <a:graphic>
              <a:graphicData uri="http://schemas.openxmlformats.org/drawingml/2006/picture">
                <pic:pic>
                  <pic:nvPicPr>
                    <pic:cNvPr id="4" name="Figure 1"/>
                    <pic:cNvPicPr/>
                  </pic:nvPicPr>
                  <pic:blipFill>
                    <a:blip xmlns:r="http://schemas.openxmlformats.org/officeDocument/2006/relationships" r:embed="rId9"/>
                    <a:stretch>
                      <a:fillRect/>
                    </a:stretch>
                  </pic:blipFill>
                  <pic:spPr>
                    <a:xfrm>
                      <a:off x="0" y="0"/>
                      <a:ext cx="4572000" cy="2489765"/>
                    </a:xfrm>
                  </pic:spPr>
                </pic:pic>
              </a:graphicData>
            </a:graphic>
          </wp:inline>
        </w:drawing>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1.84 ,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is consistent with the prediction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Industrial organization theory formalizes this demand-concentration risk as protocol oligopsony [26]: when a small number of governance token holders unilaterally control emission rates and reward parameters, they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cumulative May 2023 to February 2026.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 xml:space="preserve">Hypothesis mapping: The strongest single case for the service-over-presence principle. The S2R trajectory from 0.013 post-migration (May 2023) to 1.84 in February 2026 (with burns exceeding issuance since October 2025) indicates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 xml:space="preserve">The Helium case provides the strongest single-protocol evidence for two design principles: sinks before faucets, documented by the S2R trajectory crossing parity only after demand-coupled burns were deployed; and service over presence, documented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 xml:space="preserve">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 xml:space="preserve">After excluding the DIMO Foundation address (verified via Blockscout, holding approximately 55% of supply with no on-chain governance activity), DIMO’s governance HHI drops from 0.305 (pre-exclusion, computed here) to 0.025, the post-exclusion value in the companion cross-section [34]. Post-exclusion, DIMO is among the least concentrated DePIN governance tokens in the 52-protocol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 xml:space="preserve">Design lesson: DIMO illustrates the sink-before-scale principle (Section 2.2): the Developer License burn was operational before aggressive hardware distribution, ensuring token demand scaled with genuine data consumption. Pre-exclusion governance concentration (HHI 0.305, reduced to 0.025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1.84,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 xml:space="preserve">IoTeX operates a purpose-built Layer-1 blockchain optimized for Internet of Things devices and DePIN applications. The platform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 xml:space="preserve">IoTeX employs an EIP-1559 [5]-style gas fee burn mechanism on its native L1 chain. Transaction fees [17]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the Foundation buy-and-burn (GEOD removed to the Polygon burn address) reveal monthly burns ranging from 500,000 GEOD (October 2024) to 2.76 million GEOD (October 2025), with the trailing twelve months totaling approximately 19.4 million GEOD. February 2026 burns totaled 1.3 million GEOD against net token issuance of approximately 5.95 million GEOD from the protocol’s Polygon mining-distribution wallets over the same month, yielding the S2R of 0.219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GEODNET’s sink is a Foundation-executed buy-and-burn: subscription revenue is collected off-chain in fiat, after which the Foundation purchases GEOD on the open market and burns it. The on-chain burn transactions are therefore signed by the Foundation’s treasury, not by individual customers, so the “Who Burns?” demand-concentration diagnostic (Section 5.1.2) does not apply to GEODNET; burn-signer concentration is not a valid proxy for customer concentration under a buy-and-burn architecture. The underlying demand base (a stated 50+ enterprise clients purchasing fiat subscriptions through direct and reseller channels) is not observable on-chain and is not verified here.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On-chain burn and net-issuance data indicate a single-peaked monthly absorption trajectory since the September 2024 Solana migration, with the February 2026 reading at 21.9% (S2R 0.219), exceeding Hivemapper (0.183) but remaining well below the fiscal-parity trajectory that Helium followed. By early 2026, the network spanned 5,802 cities with median station earnings of $47.63 per month [32].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single-peaked rather than monotonic: absorption holds roughly between 8% and 15% from late 2024 through mid 2025, then ramps sharply after the June 30, 2025 halving (which cut mining rewards by 50% [45]) to a peak of 52.5% in October 2025 before easing to 21.9% (S2R 0.219) by February 2026. The ramp is consistent with the two mechanisms the model predicts: a shrinking issuance denominator and a growing subscription-funded burn numerator. The subsequent easing reflects a decline in monthly buy-and-burn volume (from 2.76 million GEOD in October 2025 to 1.3 million in February 2026) against a modestly rising net issuance denominator. A separate supply-side risk that the S2R metric does not capture is vesting-driven dilution, which operates independently of emission schedules; the team and investor unlock schedule is discussed below.</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monthly burn absorption rate (Foundation buy-and-burn token removals as a percentage of net miner issuance), September 2024 to February 2026. The dashed line marks the 50% absorption threshold; the vertical marker indicates the June 30, 2025 annual halving. The series holds roughly between 8% and 15% from late 2024 through mid 2025, then ramps to a peak of 52.5% in October 2025 before easing to 21.9% in February 2026 (S2R 0.219). Burns are the GEODNET Foundation open-market buy-and-burn, measured on the Polygon burn address; net miner issuance is measured from the protocol’s Polygon mining-distribution wallets. Source: Dune Analytics.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 xml:space="preserve">0.219</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 xml:space="preserve">S2R 0.219; Foundation buy-and-burn (demand off-chain,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A dash marks a value not measured; "data-insufficient" in the Key Finding column marks on-chain observability missing or computation prevented by schema.</w:t>
      </w:r>
    </w:p>
    <w:p>
      <w:r>
        <w:rPr>
          <w:b w:val="0"/>
        </w:rPr>
        <w:t xml:space="preserve">A three-tier sustainability hierarchy emerges from the comparative summary (Table 4). At the top, Helium (S2R 1.84) and DIMO (S2R 4.24) have crossed fiscal parity, with burns exceeding issuance. In a growth-phase middle tier, GEODNET (S2R 0.219)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(the burn-to-emission ratio peaks at 0.0061),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a Nansen-grounded evidence-traced exclusion methodology across 52 protocols [34]. That study documents that holding-based concentration is higher in DePIN than DeFi after protocol-controlled address exclusion (under the headline voter-inclusive staking pass-through treatment, Mann-Whitney p = 0.028, Cohen’s d = 0.65, a medium effect; a uniform staking-aggregation exclusion gives Cohen’s d = 0.75 at p = 0.018 as a robustness check), robust across leave-one-out iterations and alternative exclusion specifications. Delegation amplifies governance concentration above holding-based levels in thirteen of eighteen protocols with sufficient governance data (ratios 2.5x to 25.6x), with five design-driven dispersion exceptions (ENS, GMX, HNT, JUP, LPT); infrastructure protocols Optimism (3.6x) and Arbitrum (3.1x) sit within the amplification pattern. The present paper uses protocol-specific governance observations as inputs to the design playbook below.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(0.219), and Hivemapper (0.183); Helium and DIMO have crossed fiscal parity (S2R ≥ 1.0), with GEODNET on a single-peaked absorption trajectory that ramped to a peak in late 2025 before easing (Table 7).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Burn architecture determines whether demand concentration is observable. Helium’s direct-burn model, in which each Data Credit purchaser signs their own HNT burn, exposes demand concentration on-chain and reveals it to be high (Section 5.1.2). Buy-and-burn and protocol-mediated models (GEODNET, DIMO) instead route burns through a foundation or treasury, which relocates the demand base to off-chain subscriptions and licenses and leaves customer concentration unobservable on-chain. Where service pricing must be predictable for enterprise buyers, a dual-token or credit-denominated model reduces reflexivity risk, but designers should note that such models also remove demand concentration from on-chain view.</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 xml:space="preserve">Drawing on the empirical data assembled in Section 5, Table 6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GeoDePIN protocols whose customers burn tokens directly, the condition under which Top-5 burn share is a valid demand-concentration signal. We propose tracking it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Burn-architecture observability and S2R. Burn-signer HHI is a valid demand-concentration measure only for direct-burn protocols, where token holders sign their own burns; among the protocols studied only Helium meets this condition (burn-signer HHI 0.27, S2R 1.84), and there demand is highly concentrated (single-buyer-fragility regime). Buy-and-burn (GEODNET) and protocol-mediated pooled-burn (DIMO) architectures route burns through a foundation or treasury, so their demand base is off-chain and is shown in the shaded off-axis lane at left rather than at a measured concentration. The horizontal line marks S2R = 1.0 (fiscal parity).</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The “Who Burns?” diagnostic measures demand concentration only where token holders burn directly. Among the protocols studied, only Helium meets this condition, and there demand is highly concentrated (burn-signer HHI 0.27, with roughly five purchasers accounting for about 90% of burns). Buy-and-burn architectures (GEODNET) and protocol-mediated pooled-burn architectures (DIMO) route burns through a foundation or treasury rather than customers, relocating demand to off-chain fiat subscriptions and licenses; for these architectures on-chain burn-signer concentration is not a valid proxy for customer concentration, and the underlying demand distribution is not observable on-chain. The diagnostic’s applicability boundary is itself a finding: aggregate fiscal metrics and on-chain burns both fail to reveal the customer base of buy-and-burn and pooled-burn protocols.</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For buy-and-burn and license-based protocols such as GEODNET and DIMO, the analogous demand base is off-chain (fiat subscriptions and developer licenses) and is not measurable from burn-signer data, so no comparable on-chain concentration figure can be reported; whether their revenue diversification reduces buyer leverage as Resource Dependence Theory predicts is a question this on-chain method cannot answer.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is visible on-chain only for direct-burn protocols and that remains unmeasured for buy-and-burn and license-based models.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6. DePIN health dashboard metrics with proposed 12-month targets, Helium actuals (February 2026), and empirical basis.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w:t>
            </w:r>
          </w:p>
        </w:tc>
        <w:tc>
          <w:tcPr>
            <w:tcW w:type="dxa" w:w="727"/>
          </w:tcPr>
          <w:p>
            <w:r>
              <w:rPr>
                <w:sz w:val="16"/>
                <w:szCs w:val="16"/>
              </w:rPr>
              <w:t xml:space="preserve">—</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burn-and-mint active but not queryable via Dune</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 xml:space="preserve">0.219</w:t>
            </w:r>
          </w:p>
        </w:tc>
        <w:tc>
          <w:tcPr>
            <w:tcW w:type="dxa" w:w="1211"/>
          </w:tcPr>
          <w:p>
            <w:r>
              <w:rPr>
                <w:sz w:val="16"/>
                <w:szCs w:val="16"/>
              </w:rPr>
              <w:t xml:space="preserve">0.219</w:t>
            </w:r>
          </w:p>
        </w:tc>
        <w:tc>
          <w:tcPr>
            <w:tcW w:type="dxa" w:w="888"/>
          </w:tcPr>
          <w:p>
            <w:r>
              <w:rPr>
                <w:sz w:val="16"/>
                <w:szCs w:val="16"/>
              </w:rPr>
              <w:t>Feb 2026</w:t>
            </w:r>
          </w:p>
        </w:tc>
        <w:tc>
          <w:tcPr>
            <w:tcW w:type="dxa" w:w="2099"/>
          </w:tcPr>
          <w:p>
            <w:r>
              <w:rPr>
                <w:sz w:val="16"/>
                <w:szCs w:val="16"/>
              </w:rPr>
              <w:t xml:space="preserve">Dune (Polygon buy-and-burn; Polygon net issuance)</w:t>
            </w:r>
          </w:p>
        </w:tc>
        <w:tc>
          <w:tcPr>
            <w:tcW w:type="dxa" w:w="727"/>
          </w:tcPr>
          <w:p>
            <w:r>
              <w:rPr>
                <w:sz w:val="16"/>
                <w:szCs w:val="16"/>
              </w:rPr>
              <w:t xml:space="preserve">—</w:t>
            </w:r>
          </w:p>
        </w:tc>
      </w:tr>
      <w:tr>
        <w:trPr>
          <w:cantSplit/>
        </w:trPr>
        <w:tc>
          <w:tcPr>
            <w:tcW w:type="dxa" w:w="1373"/>
          </w:tcPr>
          <w:p>
            <w:r>
              <w:rPr>
                <w:sz w:val="16"/>
                <w:szCs w:val="16"/>
              </w:rPr>
              <w:t>DIMO</w:t>
            </w:r>
          </w:p>
        </w:tc>
        <w:tc>
          <w:tcPr>
            <w:tcW w:type="dxa" w:w="1453"/>
          </w:tcPr>
          <w:p>
            <w:r>
              <w:rPr>
                <w:sz w:val="16"/>
                <w:szCs w:val="16"/>
              </w:rPr>
              <w:t>License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w:t>
            </w:r>
          </w:p>
        </w:tc>
        <w:tc>
          <w:tcPr>
            <w:tcW w:type="dxa" w:w="727"/>
          </w:tcPr>
          <w:p>
            <w:r>
              <w:rPr>
                <w:sz w:val="16"/>
                <w:szCs w:val="16"/>
              </w:rPr>
              <w:t xml:space="preserve">—</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7. Cross-protocol S2R and demand concentration summary across the 13-protocol sample. Column 'S2R (burns)' uses the burns-only definition; 'S2R (burns+locks)' includes token lock-up mechanisms where applicable. Demand HHI computed where per-address burn data is available. A long dash in the Demand HHI column marks protocols for which a valid on-chain demand-concentration measure is not available, either because per-address burn data is not queryable or because the protocol executes burns through a foundation or treasury (buy-and-burn and pooled-burn architectures) so on-chain burn signers are not customers, or because the protocol has no token burn at all (Livepeer routes fees in ETH), so a burn-based demand-concentration measure does not apply.</w:t>
      </w:r>
    </w:p>
    <w:p>
      <w:r>
        <w:t xml:space="preserve">Table 7 consolidates the S2R and demand concentration readings from Section 5 across the 13-protocol sample.</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0.219).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(1.84) and DIMO (4.24) have crossed fiscal parity through demand-coupled burns; GEODNET (0.219) and Hivemapper (0.183) occupy a growth-phase middle tier with confirmed burn activity but continued subsidy dependence; and the remaining protocols cluster near S2R zero, the sector default. The Helium longitudinal case (Table 3) documents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 to 0.593) materially exceeds the post-exclusion DeFi benchmarks from a companion cross-sectional study (0.005 to 0.065),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applicable to direct-burn protocols and demonstrated on Helium; (3) a design playbook keyed to observable protocol conditions with a subtraction test for minimum viable mechanism complexity; and (4) a health dashboard with demand-concentration guardrails (Top-5 &gt; 80%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r>
        <w:rPr>
          <w:b w:val="0"/>
        </w:rPr>
        <w:t xml:space="preserve">The S2R metric as currently specified measures burns against mining emissions; it does not capture vesting-driven dilution from team, investor, and ecosystem unlocks, which for GEODNET represented 54% of total supply by Q2 2025.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is asymmetric across burn architectures: Helium’s burns are signed directly by Data Credit purchasers, so its top-5 burn signers (approximately 90% of burns) measure genuine customer concentration. Buy-and-burn protocols such as GEODNET collect subscription revenue off-chain in fiat and execute burns through a foundation treasury, so on-chain burn signers do not identify customers and burn-signer concentration cannot be measured for them. This asymmetry opens a research question that on-chain data alone cannot answer: whether subscription-based demand architectures systematically produce more distributed customer bases than carrier-contract models. Testing it would require protocols to disclose off-chain subscription and license concentration, since the “Who Burns?” diagnostic is valid only where token holders burn directly.</w:t>
      </w:r>
    </w:p>
    <w:p>
      <w:r>
        <w:t xml:space="preserve">Resource Dependence Theory’s causal predictions generate a forward hypothesis for the only protocol whose demand concentration is directly observable on-chain: because Helium’s Data Credit purchasers burn HNT directly, its measured burn-signer HHI (0.27, top-2 addresses at 70.1% of burns) reflects real buyer concentration, and the theory predicts that such concentration raises the probability of simultaneous buyer exit and the associated S2R volatility. For protocols whose burns are executed by a foundation or protocol treasury rather than by customers, on-chain burn-signer HHI is not a valid measure of demand concentration, so the comparable test must draw on off-chain customer-base disclosure that does not yet exist.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 xml:space="preserve">[29] Z. Zukowski, "Adaptive tokenomics: A systems engineering approach to programmable incentive design,"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"Auditing governance concentration beyond token allocation: A live-governance study of 52 token protocols,"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