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t>March 2026</w:t>
      </w:r>
    </w:p>
    <w:p>
      <w:pPr>
        <w:pStyle w:val="Heading1"/>
      </w:pPr>
      <w:r>
        <w:t>Abstract</w:t>
      </w:r>
    </w:p>
    <w:p>
      <w:r>
        <w:t xml:space="preserve">This paper analyzes a class of DePIN protocols the paper terms GeoDePIN: networks whose value depends on where hardware is deployed, not merely that it exists. Location-dependence creates design pressures absent from compute-only DePIN alternatives, and the paper evaluates how protocols respond using on-chain evidence from 13 networks and a 34-month longitudinal case study of Helium. Helium became the first GeoDePIN protocol where paid usage fully offsets token emissions, with its Subsidy-to-Revenue ratio (S2R) rising from 0.013 under coverage-based rewards to 1.84 between May 2023 and February 2026. Data Credit burns now exceed HNT emissions by approximately 84%, producing net annual deflation of 3–4%. However, roughly five purchasers account for 90% of those burns: a demand concentration that aggregate fiscal metrics cannot detect. DIMO (S2R 4.24) subsequently crossed fiscal parity; GEODNET (0.62) and Hivemapper (0.183) occupy a growth-phase middle tier; the remaining protocols cluster near zero. Per a companion cross-sectional study, governance concentration in GeoDePIN tokens (Herfindahl-Hirschman Index 0.034 to 0.593) materially exceeds DeFi benchmarks (0.028 to 0.174). Four outputs organize the findings: a classification distinguishing GeoDePIN from location-independent protocols with testable predictions, a design playbook mapping mechanisms to protocol maturity stages, a health dashboard with demand-concentration guardrails, and a subtraction test for mechanism necessity.</w:t>
      </w:r>
    </w:p>
    <w:p>
      <w:pPr>
        <w:jc w:val="left"/>
        <w:spacing w:before="240"/>
      </w:pPr>
      <w:r>
        <w:rPr>
          <w:b/>
          <w:bCs/>
        </w:rPr>
        <w:t xml:space="preserve">Keywords: </w:t>
      </w:r>
      <w:r>
        <w:t>DePIN; GeoDePIN; Subsidy-to-Revenue ratio; burn-and-mint equilibrium; demand concentration; Helium; service verification; token velocity</w:t>
      </w:r>
    </w:p>
    <w:p>
      <w:pPr>
        <w:jc w:val="left"/>
        <w:spacing w:before="120"/>
      </w:pPr>
      <w:r>
        <w:rPr>
          <w:b/>
          <w:bCs/>
        </w:rPr>
        <w:t xml:space="preserve">JEL Codes: </w:t>
      </w:r>
      <w:r>
        <w:t>D43, D47, L14, L22, O33, R12</w:t>
      </w:r>
    </w:p>
    <w:p>
      <w:pPr>
        <w:pStyle w:val="Heading2"/>
      </w:pPr>
      <w:r>
        <w:t>List of Abbreviations</w:t>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1"/>
      </w:pPr>
      <w:r>
        <w:t>1. INTRODUCTION</w:t>
      </w:r>
    </w:p>
    <w:p>
      <w:pPr>
        <w:pStyle w:val="Heading2"/>
      </w:pPr>
      <w:r>
        <w:t>1.1 The Coordination Problem</w:t>
      </w:r>
    </w:p>
    <w:p>
      <w:r>
        <w:rPr>
          <w:b w:val="0"/>
        </w:rPr>
        <w:t>In mid-2024, Helium was generating roughly $6,500 per month in paid usage across 975,000 IoT hotspots [60], [61]; revenue so thin that 99% of operator income came from token subsidies rather than customers. By Q3 2025, after a governance-led reform (HIP-147) shifted rewards from coverage to verified service, annualized paid usage had reached $18.3M [28] and token burns exceeded emissions. The same network, the same hardware, a different rule: this is the institutional design problem DePIN poses. What mechanisms distinguish protocols that cross fiscal parity from those that remain subsidy-dependent? DePIN systems coordinate physical infrastructure through token incentives [22]; when the design is wrong, the failure modes are coverage mining, subsidy dependence, and governance capture.</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The capability framework [48] interprets these design pressures as capability constraints: when operators absorb irrecoverable hardware sunk costs, their substantive freedom to exit the network is structurally negated, making governance voice mechanisms, not market exit, the primary channel for expressing dissatisfaction. This asymmetry is absent from DeVIN protocols, where compute resources can be redirected across networks without capital loss, and it motivates the bicameral governance design developed in Section 2.</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confirming that geographic saturation imposes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6 develops these into a playbook; the taxonomy is formalized in Section 4.</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II through VII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t xml:space="preserve">Lin et al. [53] provide an architectural survey formalizing the multi-layer DePIN design stack and its integration with burn-and-mint equilibrium mechanics; the present paper extends this engineering perspective by adding institutional design evaluation and longitudinal fiscal sustainability measurement.</w:t>
      </w:r>
    </w:p>
    <w:p>
      <w:r>
        <w:rPr/>
        <w:t xml:space="preserve">The safety and reliability engineering community has begun analyzing DePINs as legitimate critical physical infrastructure paradigms, evaluating their resilience properties through established frameworks for distributed ownership and graceful extensibility [54].</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2. DESIGN ARCHITECTURE</w:t>
      </w:r>
    </w:p>
    <w:p>
      <w:r>
        <w:rPr>
          <w:b w:val="0"/>
        </w:rPr>
        <w:t xml:space="preserve">The normative framework motivating these design choices (constraints derived from Kantian publicity, Rawlsian fairness, republican non-domination, and Hayekian knowledge-use) is developed in a companion study [34].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pPr>
        <w:pStyle w:val="Heading2"/>
      </w:pPr>
      <w:r>
        <w:t>2.2 The Prime Directive: Sinks Before Faucets</w:t>
      </w:r>
    </w:p>
    <w:p>
      <w:r>
        <w:rPr/>
        <w:t>The sinks-before-faucets principle, formalized as a design hypothesis in a companion study [34], motivates the following architectural constraint: A repeated fragility pattern across token systems is reward-first bootstrapping without durable demand coupling [20]. This paper formalizes the directive:</w:t>
      </w:r>
    </w:p>
    <w:p>
      <w:r>
        <w:rPr>
          <w:b w:val="0"/>
        </w:rPr>
        <w:t>Principle 2.1 (Sinks Before Faucets): A system should deploy and verify at least one usage-linked sink before scaling emissions; burns per unit service, fee routing to treasuries that reduce circulating float.</w:t>
      </w:r>
      <w:r>
        <w:rPr/>
      </w:r>
    </w:p>
    <w:p>
      <w:r>
        <w:t xml:space="preserve">Alshater [41] synthesizes the DePIN flywheel mechanism and the necessity of fiat-denominated pricing rails in a recent survey; the longitudinal S2R analysis developed here provides the empirical validation that survey identifies as missing from the current literature.</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2.1 (Dual-Asset Model). Let (T) be a governance/stake token and (C) be non-transferable usage credits priced in stable units [20], where:</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2.2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2.2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w:t>
      </w:r>
    </w:p>
    <w:p>
      <w:r>
        <w:rPr>
          <w:b/>
        </w:rPr>
        <w:t>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2.3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is consistent with the claim adaptive emission reduces node-count deviation by 68-76% under supply shocks, but emission model choice determines the monetary regime under stress: PID-controlled protocols produce deflation (circulating supply falls 23-45%), while static protocols produce inflation (supply rises 12-47%).</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585"/>
        <w:gridCol w:w="1477"/>
        <w:gridCol w:w="2585"/>
        <w:gridCol w:w="1993"/>
      </w:tblGrid>
      <w:tr>
        <w:trPr>
          <w:cantSplit/>
        </w:trPr>
        <w:tc>
          <w:tcPr>
            <w:tcW w:type="dxa" w:w="2585"/>
          </w:tcPr>
          <w:p>
            <w:r>
              <w:rPr>
                <w:b/>
                <w:sz w:val="18"/>
                <w:szCs w:val="18"/>
              </w:rPr>
              <w:t>Condition</w:t>
            </w:r>
          </w:p>
        </w:tc>
        <w:tc>
          <w:tcPr>
            <w:tcW w:type="dxa" w:w="1477"/>
          </w:tcPr>
          <w:p>
            <w:r>
              <w:rPr>
                <w:b/>
                <w:sz w:val="18"/>
                <w:szCs w:val="18"/>
              </w:rPr>
              <w:t>Trigger</w:t>
            </w:r>
          </w:p>
        </w:tc>
        <w:tc>
          <w:tcPr>
            <w:tcW w:type="dxa" w:w="2585"/>
          </w:tcPr>
          <w:p>
            <w:r>
              <w:rPr>
                <w:b/>
                <w:sz w:val="18"/>
                <w:szCs w:val="18"/>
              </w:rPr>
              <w:t>Proposed Action</w:t>
            </w:r>
          </w:p>
        </w:tc>
        <w:tc>
          <w:tcPr>
            <w:tcW w:type="dxa" w:w="1994"/>
          </w:tcPr>
          <w:p>
            <w:r>
              <w:rPr>
                <w:b/>
                <w:sz w:val="18"/>
                <w:szCs w:val="18"/>
              </w:rPr>
              <w:t>Precedent</w:t>
            </w:r>
          </w:p>
        </w:tc>
      </w:tr>
      <w:tr>
        <w:trPr>
          <w:cantSplit/>
        </w:trPr>
        <w:tc>
          <w:tcPr>
            <w:tcW w:type="dxa" w:w="2585"/>
          </w:tcPr>
          <w:p>
            <w:r>
              <w:rPr>
                <w:sz w:val="18"/>
                <w:szCs w:val="18"/>
              </w:rPr>
              <w:t>Token burns fall below half of new issuance for N consecutive periods (S2R &lt; 0.5)</w:t>
            </w:r>
          </w:p>
        </w:tc>
        <w:tc>
          <w:tcPr>
            <w:tcW w:type="dxa" w:w="1477"/>
          </w:tcPr>
          <w:p>
            <w:r>
              <w:rPr>
                <w:sz w:val="18"/>
                <w:szCs w:val="18"/>
              </w:rPr>
              <w:t>Emission reduction</w:t>
            </w:r>
          </w:p>
        </w:tc>
        <w:tc>
          <w:tcPr>
            <w:tcW w:type="dxa" w:w="2585"/>
          </w:tcPr>
          <w:p>
            <w:r>
              <w:rPr>
                <w:sz w:val="18"/>
                <w:szCs w:val="18"/>
              </w:rPr>
              <w:t xml:space="preserve">Reduce new token issuance by up to 10% per period until burns recover</w:t>
            </w:r>
          </w:p>
        </w:tc>
        <w:tc>
          <w:tcPr>
            <w:tcW w:type="dxa" w:w="1994"/>
          </w:tcPr>
          <w:p>
            <w:r>
              <w:rPr>
                <w:sz w:val="18"/>
                <w:szCs w:val="18"/>
              </w:rPr>
              <w:t>Ethereum EIP-1559 [5]: base fee adjusts automatically when demand changes</w:t>
            </w:r>
          </w:p>
        </w:tc>
      </w:tr>
      <w:tr>
        <w:trPr>
          <w:cantSplit/>
        </w:trPr>
        <w:tc>
          <w:tcPr>
            <w:tcW w:type="dxa" w:w="2585"/>
          </w:tcPr>
          <w:p>
            <w:r>
              <w:rPr>
                <w:sz w:val="18"/>
                <w:szCs w:val="18"/>
              </w:rPr>
              <w:t>Less than 20% of network capacity serves paying customers</w:t>
            </w:r>
          </w:p>
        </w:tc>
        <w:tc>
          <w:tcPr>
            <w:tcW w:type="dxa" w:w="1477"/>
          </w:tcPr>
          <w:p>
            <w:r>
              <w:rPr>
                <w:sz w:val="18"/>
                <w:szCs w:val="18"/>
              </w:rPr>
              <w:t>Reward rebalance</w:t>
            </w:r>
          </w:p>
        </w:tc>
        <w:tc>
          <w:tcPr>
            <w:tcW w:type="dxa" w:w="2585"/>
          </w:tcPr>
          <w:p>
            <w:r>
              <w:rPr>
                <w:sz w:val="18"/>
                <w:szCs w:val="18"/>
              </w:rPr>
              <w:t xml:space="preserve">Shift 10 percentage points of operator rewards from base (being online) to usage (serving customers)</w:t>
            </w:r>
          </w:p>
        </w:tc>
        <w:tc>
          <w:tcPr>
            <w:tcW w:type="dxa" w:w="1994"/>
          </w:tcPr>
          <w:p>
            <w:r>
              <w:rPr>
                <w:sz w:val="18"/>
                <w:szCs w:val="18"/>
              </w:rPr>
              <w:t>Helium HIP-147 [9]: community vote shifted from coverage-based to service-weighted rewards</w:t>
            </w:r>
          </w:p>
        </w:tc>
      </w:tr>
      <w:tr>
        <w:trPr>
          <w:cantSplit/>
        </w:trPr>
        <w:tc>
          <w:tcPr>
            <w:tcW w:type="dxa" w:w="2585"/>
          </w:tcPr>
          <w:p>
            <w:r>
              <w:rPr>
                <w:sz w:val="18"/>
                <w:szCs w:val="18"/>
              </w:rPr>
              <w:t>95th-percentile node uptime drops below 95%</w:t>
            </w:r>
          </w:p>
        </w:tc>
        <w:tc>
          <w:tcPr>
            <w:tcW w:type="dxa" w:w="1477"/>
          </w:tcPr>
          <w:p>
            <w:r>
              <w:rPr>
                <w:sz w:val="18"/>
                <w:szCs w:val="18"/>
              </w:rPr>
              <w:t>Stake floor increase</w:t>
            </w:r>
          </w:p>
        </w:tc>
        <w:tc>
          <w:tcPr>
            <w:tcW w:type="dxa" w:w="2585"/>
          </w:tcPr>
          <w:p>
            <w:r>
              <w:rPr>
                <w:sz w:val="18"/>
                <w:szCs w:val="18"/>
              </w:rPr>
              <w:t xml:space="preserve">Raise minimum operator collateral by 20%, filtering out unreliable operators</w:t>
            </w:r>
          </w:p>
        </w:tc>
        <w:tc>
          <w:tcPr>
            <w:tcW w:type="dxa" w:w="1994"/>
          </w:tcPr>
          <w:p>
            <w:r>
              <w:rPr>
                <w:sz w:val="18"/>
                <w:szCs w:val="18"/>
              </w:rP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2.4 (Stake-to-Earn with Contestability). Operators must post collateral and face slashing for fraud or repeated SLA failure, but enforcement must be contestable to prevent domination.</w:t>
      </w:r>
    </w:p>
    <w:p>
      <w:r>
        <w:rPr/>
        <w:t>This requires four mechanisms:</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w:t>
      </w:r>
    </w:p>
    <w:p>
      <w:r>
        <w:rPr>
          <w:b/>
        </w:rPr>
        <w:t>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(Wuollet, a16z Crypto, March 2025). The following table summarizes how five protocols operationalize integrity:</w:t>
      </w:r>
    </w:p>
    <w:p>
      <w:r>
        <w:rPr/>
        <w:t xml:space="preserve">Milionis et al. [56] formalize the verification challenge as a mechanism design problem, proving that strictly truthful location reporting requires the target node to lie within the convex hull of independent observer nodes; peripheral deployments without surrounding validators cannot be cryptographically verified, establishing formal limits on the spatial coverage claims that DePIN protocols can credibly make.</w:t>
      </w:r>
    </w:p>
    <w:p>
      <w:r>
        <w:rPr/>
        <w:t>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150-357M tokens from circulation to treasury across all parameterizations,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w:t>
      </w:r>
    </w:p>
    <w:p>
      <w:pPr>
        <w:pStyle w:val="Heading3"/>
      </w:pPr>
      <w:r>
        <w:rPr/>
        <w:t>2.6.2 Bicameralism for Capital-Labor Balance</w:t>
      </w:r>
    </w:p>
    <w:p>
      <w:r>
        <w:rPr/>
        <w:t>DePIN systems contain two core constituencies whose interests structurally diverge: capital investors (token holders, venture backers) who seek financial returns, and labor investors (hardware operators) who deploy personal capital and physical labor to deliver network services. Ferreras [47] argues that organizations containing both capital and labor investors are political entities requiring bicameral governance (formal representation of both constituencies with mutual veto power) to prevent unilateral capture by either. This framework maps directly onto DePIN governance: a bicameral rule requires major economic changes to be approved by both a Token House (locked governance token holders) and an Operator/Contributor House (verified service providers).</w:t>
      </w:r>
    </w:p>
    <w:p>
      <w:r>
        <w:rPr/>
        <w:t>This structure addresses two capture risks: plutocracy (capital overrides service quality, extracting unsustainable yields at operators’ expense) and producer capture (operators subsidize themselves unsustainably at token holders’ expense). The Optimism Collective provides the most developed implementation, with dynamic veto thresholds and mandatory cooling-off periods that prevent either house from permanently blocking the other [34]. Lijphart’s [51] comparative framework formalizes the underlying trade-off: purely majoritarian governance optimizes for speed but disenfranchises minorities, while consensus mechanisms protect contestability at the cost of response time.</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800"/>
        <w:gridCol w:w="2400"/>
        <w:gridCol w:w="2400"/>
        <w:gridCol w:w="2040"/>
      </w:tblGrid>
      <w:tr>
        <w:trPr>
          <w:cantSplit/>
        </w:trPr>
        <w:tc>
          <w:tcPr>
            <w:tcW w:type="dxa" w:w="2160"/>
          </w:tcPr>
          <w:p>
            <w:r>
              <w:rPr>
                <w:b/>
                <w:sz w:val="18"/>
                <w:szCs w:val="18"/>
              </w:rPr>
              <w:t>Protocol</w:t>
            </w:r>
          </w:p>
        </w:tc>
        <w:tc>
          <w:tcPr>
            <w:tcW w:type="dxa" w:w="2160"/>
          </w:tcPr>
          <w:p>
            <w:r>
              <w:rPr>
                <w:b/>
                <w:sz w:val="18"/>
                <w:szCs w:val="18"/>
              </w:rPr>
              <w:t>Verification Mechanism</w:t>
            </w:r>
          </w:p>
        </w:tc>
        <w:tc>
          <w:tcPr>
            <w:tcW w:type="dxa" w:w="2160"/>
          </w:tcPr>
          <w:p>
            <w:r>
              <w:rPr>
                <w:b/>
                <w:sz w:val="18"/>
                <w:szCs w:val="18"/>
              </w:rPr>
              <w:t>Anti-Gaming Evidence</w:t>
            </w:r>
          </w:p>
        </w:tc>
        <w:tc>
          <w:tcPr>
            <w:tcW w:type="dxa" w:w="2160"/>
          </w:tcPr>
          <w:p>
            <w:r>
              <w:rPr>
                <w:b/>
                <w:sz w:val="18"/>
                <w:szCs w:val="18"/>
              </w:rPr>
              <w:t>Posture</w:t>
            </w:r>
          </w:p>
        </w:tc>
      </w:tr>
      <w:tr>
        <w:trPr>
          <w:cantSplit/>
        </w:trPr>
        <w:tc>
          <w:tcPr>
            <w:tcW w:type="dxa" w:w="2160"/>
          </w:tcPr>
          <w:p>
            <w:r>
              <w:rPr>
                <w:sz w:val="18"/>
                <w:szCs w:val="18"/>
              </w:rPr>
              <w:t>Helium</w:t>
            </w:r>
          </w:p>
        </w:tc>
        <w:tc>
          <w:tcPr>
            <w:tcW w:type="dxa" w:w="2160"/>
          </w:tcPr>
          <w:p>
            <w:r>
              <w:rPr>
                <w:sz w:val="18"/>
                <w:szCs w:val="18"/>
              </w:rPr>
              <w:t>Proof-of-Coverage + community denylist</w:t>
            </w:r>
          </w:p>
        </w:tc>
        <w:tc>
          <w:tcPr>
            <w:tcW w:type="dxa" w:w="2160"/>
          </w:tcPr>
          <w:p>
            <w:r>
              <w:rPr>
                <w:sz w:val="18"/>
                <w:szCs w:val="18"/>
              </w:rPr>
              <w:t>3,500+ rogue hotspots removed (2021-22)</w:t>
            </w:r>
          </w:p>
        </w:tc>
        <w:tc>
          <w:tcPr>
            <w:tcW w:type="dxa" w:w="2160"/>
          </w:tcPr>
          <w:p>
            <w:r>
              <w:rPr>
                <w:sz w:val="18"/>
                <w:szCs w:val="18"/>
              </w:rPr>
              <w:t>Strong</w:t>
            </w:r>
          </w:p>
        </w:tc>
      </w:tr>
      <w:tr>
        <w:trPr>
          <w:cantSplit/>
        </w:trPr>
        <w:tc>
          <w:tcPr>
            <w:tcW w:type="dxa" w:w="2160"/>
          </w:tcPr>
          <w:p>
            <w:r>
              <w:rPr>
                <w:sz w:val="18"/>
                <w:szCs w:val="18"/>
              </w:rPr>
              <w:t>Helium 5G</w:t>
            </w:r>
          </w:p>
        </w:tc>
        <w:tc>
          <w:tcPr>
            <w:tcW w:type="dxa" w:w="2160"/>
          </w:tcPr>
          <w:p>
            <w:r>
              <w:rPr>
                <w:sz w:val="18"/>
                <w:szCs w:val="18"/>
              </w:rPr>
              <w:t>Discovery Mapping (user device audits)</w:t>
            </w:r>
          </w:p>
        </w:tc>
        <w:tc>
          <w:tcPr>
            <w:tcW w:type="dxa" w:w="2160"/>
          </w:tcPr>
          <w:p>
            <w:r>
              <w:rPr>
                <w:sz w:val="18"/>
                <w:szCs w:val="18"/>
              </w:rPr>
              <w:t>Real-time coverage verification via subscribers</w:t>
            </w:r>
          </w:p>
        </w:tc>
        <w:tc>
          <w:tcPr>
            <w:tcW w:type="dxa" w:w="2160"/>
          </w:tcPr>
          <w:p>
            <w:r>
              <w:rPr>
                <w:sz w:val="18"/>
                <w:szCs w:val="18"/>
              </w:rPr>
              <w:t>Moderate</w:t>
            </w:r>
          </w:p>
        </w:tc>
      </w:tr>
      <w:tr>
        <w:trPr>
          <w:cantSplit/>
        </w:trPr>
        <w:tc>
          <w:tcPr>
            <w:tcW w:type="dxa" w:w="2160"/>
          </w:tcPr>
          <w:p>
            <w:r>
              <w:rPr>
                <w:sz w:val="18"/>
                <w:szCs w:val="18"/>
              </w:rPr>
              <w:t>Filecoin</w:t>
            </w:r>
          </w:p>
        </w:tc>
        <w:tc>
          <w:tcPr>
            <w:tcW w:type="dxa" w:w="2160"/>
          </w:tcPr>
          <w:p>
            <w:r>
              <w:rPr>
                <w:sz w:val="18"/>
                <w:szCs w:val="18"/>
              </w:rPr>
              <w:t>Proof-of-Spacetime + Proof-of-Replication</w:t>
            </w:r>
          </w:p>
        </w:tc>
        <w:tc>
          <w:tcPr>
            <w:tcW w:type="dxa" w:w="2160"/>
          </w:tcPr>
          <w:p>
            <w:r>
              <w:rPr>
                <w:sz w:val="18"/>
                <w:szCs w:val="18"/>
              </w:rPr>
              <w:t>Cryptographic enforcement; slashing for failure</w:t>
            </w:r>
          </w:p>
        </w:tc>
        <w:tc>
          <w:tcPr>
            <w:tcW w:type="dxa" w:w="2160"/>
          </w:tcPr>
          <w:p>
            <w:r>
              <w:rPr>
                <w:sz w:val="18"/>
                <w:szCs w:val="18"/>
              </w:rPr>
              <w:t>Strong</w:t>
            </w:r>
          </w:p>
        </w:tc>
      </w:tr>
      <w:tr>
        <w:trPr>
          <w:cantSplit/>
        </w:trPr>
        <w:tc>
          <w:tcPr>
            <w:tcW w:type="dxa" w:w="2160"/>
          </w:tcPr>
          <w:p>
            <w:r>
              <w:rPr>
                <w:sz w:val="18"/>
                <w:szCs w:val="18"/>
              </w:rPr>
              <w:t>Livepeer</w:t>
            </w:r>
          </w:p>
        </w:tc>
        <w:tc>
          <w:tcPr>
            <w:tcW w:type="dxa" w:w="2160"/>
          </w:tcPr>
          <w:p>
            <w:r>
              <w:rPr>
                <w:sz w:val="18"/>
                <w:szCs w:val="18"/>
              </w:rPr>
              <w:t>Random test transcoding jobs</w:t>
            </w:r>
          </w:p>
        </w:tc>
        <w:tc>
          <w:tcPr>
            <w:tcW w:type="dxa" w:w="2160"/>
          </w:tcPr>
          <w:p>
            <w:r>
              <w:rPr>
                <w:sz w:val="18"/>
                <w:szCs w:val="18"/>
              </w:rPr>
              <w:t>Output compared to reference; staked orchestrators</w:t>
            </w:r>
          </w:p>
        </w:tc>
        <w:tc>
          <w:tcPr>
            <w:tcW w:type="dxa" w:w="2160"/>
          </w:tcPr>
          <w:p>
            <w:r>
              <w:rPr>
                <w:sz w:val="18"/>
                <w:szCs w:val="18"/>
              </w:rPr>
              <w:t>Moderate</w:t>
            </w:r>
          </w:p>
        </w:tc>
      </w:tr>
      <w:tr>
        <w:trPr>
          <w:cantSplit/>
        </w:trPr>
        <w:tc>
          <w:tcPr>
            <w:tcW w:type="dxa" w:w="2160"/>
          </w:tcPr>
          <w:p>
            <w:r>
              <w:rPr>
                <w:sz w:val="18"/>
                <w:szCs w:val="18"/>
              </w:rPr>
              <w:t>Hivemapper</w:t>
            </w:r>
          </w:p>
        </w:tc>
        <w:tc>
          <w:tcPr>
            <w:tcW w:type="dxa" w:w="2160"/>
          </w:tcPr>
          <w:p>
            <w:r>
              <w:rPr>
                <w:sz w:val="18"/>
                <w:szCs w:val="18"/>
              </w:rPr>
              <w:t>Authenticated dashcam hardware</w:t>
            </w:r>
          </w:p>
        </w:tc>
        <w:tc>
          <w:tcPr>
            <w:tcW w:type="dxa" w:w="2160"/>
          </w:tcPr>
          <w:p>
            <w:r>
              <w:rPr>
                <w:sz w:val="18"/>
                <w:szCs w:val="18"/>
              </w:rPr>
              <w:t>Hardware-enforced image provenance</w:t>
            </w:r>
          </w:p>
        </w:tc>
        <w:tc>
          <w:tcPr>
            <w:tcW w:type="dxa" w:w="2160"/>
          </w:tcPr>
          <w:p>
            <w:r>
              <w:rPr>
                <w:sz w:val="18"/>
                <w:szCs w:val="18"/>
              </w:rPr>
              <w:t>Moderate</w:t>
            </w:r>
          </w:p>
        </w:tc>
      </w:tr>
    </w:tbl>
    <w:p>
      <w:pPr>
        <w:pStyle w:val="Heading1"/>
      </w:pPr>
      <w:r>
        <w:t>3.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We compute Gini coefficients over the same distributions. Full metric definitions and replication procedures appear in Appendix A.</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 Wu and Zhu [55] demonstrate a complementary constraint: increased network utilization can paradoxically reduce token value by accelerating velocity, expanding effective supply even when burn mechanisms are active. The S2R metric sidesteps this paradox by measuring burn-to-emission ratios rather than token value accrual, but the velocity channel explains why protocols with S2R above 1.0 can nonetheless experience declining operator returns when reward recipients immediately liquidate minted tokens.</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p>
      <w:r>
        <w:rPr>
          <w:b w:val="0"/>
        </w:rPr>
        <w:t xml:space="preserve">S2R measures burns against algorithmic mining emissions only; vesting unlocks from team, investor, and ecosystem allocations are excluded because they represent pre-committed supply decisions rather than ongoing incentive costs that governance can adjust.</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200"/>
        <w:gridCol w:w="2000"/>
        <w:gridCol w:w="2200"/>
        <w:gridCol w:w="2240"/>
      </w:tblGrid>
      <w:tr>
        <w:trPr>
          <w:cantSplit/>
        </w:trPr>
        <w:tc>
          <w:tcPr>
            <w:tcW w:type="dxa" w:w="2160"/>
          </w:tcPr>
          <w:p>
            <w:r>
              <w:rPr>
                <w:b/>
                <w:sz w:val="18"/>
                <w:szCs w:val="18"/>
              </w:rPr>
              <w:t>Protocol</w:t>
            </w:r>
          </w:p>
        </w:tc>
        <w:tc>
          <w:tcPr>
            <w:tcW w:type="dxa" w:w="2160"/>
          </w:tcPr>
          <w:p>
            <w:r>
              <w:rPr>
                <w:b/>
                <w:sz w:val="18"/>
                <w:szCs w:val="18"/>
              </w:rPr>
              <w:t>Burn data source</w:t>
            </w:r>
          </w:p>
        </w:tc>
        <w:tc>
          <w:tcPr>
            <w:tcW w:type="dxa" w:w="2160"/>
          </w:tcPr>
          <w:p>
            <w:r>
              <w:rPr>
                <w:b/>
                <w:sz w:val="18"/>
                <w:szCs w:val="18"/>
              </w:rPr>
              <w:t>Issuance data source</w:t>
            </w:r>
          </w:p>
        </w:tc>
        <w:tc>
          <w:tcPr>
            <w:tcW w:type="dxa" w:w="2160"/>
          </w:tcPr>
          <w:p>
            <w:r>
              <w:rPr>
                <w:b/>
                <w:sz w:val="18"/>
                <w:szCs w:val="18"/>
              </w:rPr>
              <w:t>Price source</w:t>
            </w:r>
          </w:p>
        </w:tc>
      </w:tr>
      <w:tr>
        <w:trPr>
          <w:cantSplit/>
        </w:trPr>
        <w:tc>
          <w:tcPr>
            <w:tcW w:type="dxa" w:w="2160"/>
          </w:tcPr>
          <w:p>
            <w:r>
              <w:rPr>
                <w:sz w:val="18"/>
                <w:szCs w:val="18"/>
              </w:rPr>
              <w:t>Helium</w:t>
            </w:r>
          </w:p>
        </w:tc>
        <w:tc>
          <w:tcPr>
            <w:tcW w:type="dxa" w:w="2160"/>
          </w:tcPr>
          <w:p>
            <w:r>
              <w:rPr>
                <w:sz w:val="18"/>
                <w:szCs w:val="18"/>
              </w:rPr>
              <w:t>Dune Analytics (Solana: action = 'burn', 149 weeks)</w:t>
            </w:r>
          </w:p>
        </w:tc>
        <w:tc>
          <w:tcPr>
            <w:tcW w:type="dxa" w:w="2160"/>
          </w:tcPr>
          <w:p>
            <w:r>
              <w:rPr>
                <w:sz w:val="18"/>
                <w:szCs w:val="18"/>
              </w:rPr>
              <w:t>Dune Analytics (Solana: action = 'mint')</w:t>
            </w:r>
          </w:p>
        </w:tc>
        <w:tc>
          <w:tcPr>
            <w:tcW w:type="dxa" w:w="2160"/>
          </w:tcPr>
          <w:p>
            <w:r>
              <w:rPr>
                <w:sz w:val="18"/>
                <w:szCs w:val="18"/>
              </w:rPr>
              <w:t>CoinGecko</w:t>
            </w:r>
          </w:p>
        </w:tc>
      </w:tr>
      <w:tr>
        <w:trPr>
          <w:cantSplit/>
        </w:trPr>
        <w:tc>
          <w:tcPr>
            <w:tcW w:type="dxa" w:w="2160"/>
          </w:tcPr>
          <w:p>
            <w:r>
              <w:rPr>
                <w:sz w:val="18"/>
                <w:szCs w:val="18"/>
              </w:rPr>
              <w:t>Filecoin</w:t>
            </w:r>
          </w:p>
        </w:tc>
        <w:tc>
          <w:tcPr>
            <w:tcW w:type="dxa" w:w="2160"/>
          </w:tcPr>
          <w:p>
            <w:r>
              <w:rPr>
                <w:sz w:val="18"/>
                <w:szCs w:val="18"/>
              </w:rPr>
              <w:t>Filfox (burnt supply field)</w:t>
            </w:r>
          </w:p>
        </w:tc>
        <w:tc>
          <w:tcPr>
            <w:tcW w:type="dxa" w:w="2160"/>
          </w:tcPr>
          <w:p>
            <w:r>
              <w:rPr>
                <w:sz w:val="18"/>
                <w:szCs w:val="18"/>
              </w:rPr>
              <w:t>Filfox (daily coins mined)</w:t>
            </w:r>
          </w:p>
        </w:tc>
        <w:tc>
          <w:tcPr>
            <w:tcW w:type="dxa" w:w="2160"/>
          </w:tcPr>
          <w:p>
            <w:r>
              <w:rPr>
                <w:sz w:val="18"/>
                <w:szCs w:val="18"/>
              </w:rPr>
              <w:t>CoinGecko</w:t>
            </w:r>
          </w:p>
        </w:tc>
      </w:tr>
      <w:tr>
        <w:trPr>
          <w:cantSplit/>
        </w:trPr>
        <w:tc>
          <w:tcPr>
            <w:tcW w:type="dxa" w:w="2160"/>
          </w:tcPr>
          <w:p>
            <w:r>
              <w:rPr>
                <w:sz w:val="18"/>
                <w:szCs w:val="18"/>
              </w:rPr>
              <w:t>Livepeer</w:t>
            </w:r>
          </w:p>
        </w:tc>
        <w:tc>
          <w:tcPr>
            <w:tcW w:type="dxa" w:w="2160"/>
          </w:tcPr>
          <w:p>
            <w:r>
              <w:rPr>
                <w:sz w:val="18"/>
                <w:szCs w:val="18"/>
              </w:rPr>
              <w:t>N/A (no LPT burn)</w:t>
            </w:r>
          </w:p>
        </w:tc>
        <w:tc>
          <w:tcPr>
            <w:tcW w:type="dxa" w:w="2160"/>
          </w:tcPr>
          <w:p>
            <w:r>
              <w:rPr>
                <w:sz w:val="18"/>
                <w:szCs w:val="18"/>
              </w:rPr>
              <w:t>Subgraph (inflation parameter)</w:t>
            </w:r>
          </w:p>
        </w:tc>
        <w:tc>
          <w:tcPr>
            <w:tcW w:type="dxa" w:w="2160"/>
          </w:tcPr>
          <w:p>
            <w:r>
              <w:rPr>
                <w:sz w:val="18"/>
                <w:szCs w:val="18"/>
              </w:rPr>
              <w:t>CoinGecko</w:t>
            </w:r>
          </w:p>
        </w:tc>
      </w:tr>
      <w:tr>
        <w:trPr>
          <w:cantSplit/>
        </w:trPr>
        <w:tc>
          <w:tcPr>
            <w:tcW w:type="dxa" w:w="2160"/>
          </w:tcPr>
          <w:p>
            <w:r>
              <w:rPr>
                <w:sz w:val="18"/>
                <w:szCs w:val="18"/>
              </w:rPr>
              <w:t>Ethereum</w:t>
            </w:r>
          </w:p>
        </w:tc>
        <w:tc>
          <w:tcPr>
            <w:tcW w:type="dxa" w:w="2160"/>
          </w:tcPr>
          <w:p>
            <w:r>
              <w:rPr>
                <w:sz w:val="18"/>
                <w:szCs w:val="18"/>
              </w:rPr>
              <w:t>Etherscan / Ultrasound.money</w:t>
            </w:r>
          </w:p>
        </w:tc>
        <w:tc>
          <w:tcPr>
            <w:tcW w:type="dxa" w:w="2160"/>
          </w:tcPr>
          <w:p>
            <w:r>
              <w:rPr>
                <w:sz w:val="18"/>
                <w:szCs w:val="18"/>
              </w:rPr>
              <w:t>Etherscan (beacon chain issuance)</w:t>
            </w:r>
          </w:p>
        </w:tc>
        <w:tc>
          <w:tcPr>
            <w:tcW w:type="dxa" w:w="2160"/>
          </w:tcPr>
          <w:p>
            <w:r>
              <w:rPr>
                <w:sz w:val="18"/>
                <w:szCs w:val="18"/>
              </w:rP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Governance concentration: 8 protocols reported here (5 DePIN + 3 DeFi benchmarks) from the full 13-protocol sample. See [34].</w:t>
      </w:r>
    </w:p>
    <w:p>
      <w:r>
        <w:rPr>
          <w:b w:val="0"/>
        </w:rPr>
        <w:t>DePIN S2R cross-section: 9 protocols with observable burn or fee data. See Table 7.</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4.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600"/>
        <w:gridCol w:w="1600"/>
        <w:gridCol w:w="1600"/>
        <w:gridCol w:w="1700"/>
        <w:gridCol w:w="2140"/>
      </w:tblGrid>
      <w:tr>
        <w:trPr>
          <w:cantSplit/>
        </w:trPr>
        <w:tc>
          <w:tcPr>
            <w:tcW w:type="dxa" w:w="1728"/>
          </w:tcPr>
          <w:p>
            <w:r>
              <w:rPr>
                <w:b/>
                <w:sz w:val="18"/>
                <w:szCs w:val="18"/>
              </w:rPr>
              <w:t>Protocol</w:t>
            </w:r>
          </w:p>
        </w:tc>
        <w:tc>
          <w:tcPr>
            <w:tcW w:type="dxa" w:w="1728"/>
          </w:tcPr>
          <w:p>
            <w:r>
              <w:rPr>
                <w:b/>
                <w:sz w:val="18"/>
                <w:szCs w:val="18"/>
              </w:rPr>
              <w:t>Category</w:t>
            </w:r>
          </w:p>
        </w:tc>
        <w:tc>
          <w:tcPr>
            <w:tcW w:type="dxa" w:w="1728"/>
          </w:tcPr>
          <w:p>
            <w:r>
              <w:rPr>
                <w:b/>
                <w:sz w:val="18"/>
                <w:szCs w:val="18"/>
              </w:rPr>
              <w:t>Operator Type</w:t>
            </w:r>
          </w:p>
        </w:tc>
        <w:tc>
          <w:tcPr>
            <w:tcW w:type="dxa" w:w="1728"/>
          </w:tcPr>
          <w:p>
            <w:r>
              <w:rPr>
                <w:b/>
                <w:sz w:val="18"/>
                <w:szCs w:val="18"/>
              </w:rPr>
              <w:t>Deployment Unit</w:t>
            </w:r>
          </w:p>
        </w:tc>
        <w:tc>
          <w:tcPr>
            <w:tcW w:type="dxa" w:w="1728"/>
          </w:tcPr>
          <w:p>
            <w:r>
              <w:rPr>
                <w:b/>
                <w:sz w:val="18"/>
                <w:szCs w:val="18"/>
              </w:rPr>
              <w:t>Coverage Verification</w:t>
            </w:r>
          </w:p>
        </w:tc>
        <w:trPr>
          <w:cantSplit/>
          <w:tblHeader/>
        </w:trPr>
      </w:tr>
      <w:tr>
        <w:trPr>
          <w:cantSplit/>
        </w:trPr>
        <w:tc>
          <w:tcPr>
            <w:tcW w:type="dxa" w:w="1728"/>
          </w:tcPr>
          <w:p>
            <w:r>
              <w:rPr>
                <w:sz w:val="18"/>
                <w:szCs w:val="18"/>
              </w:rPr>
              <w:t>Helium</w:t>
            </w:r>
          </w:p>
        </w:tc>
        <w:tc>
          <w:tcPr>
            <w:tcW w:type="dxa" w:w="1728"/>
          </w:tcPr>
          <w:p>
            <w:r>
              <w:rPr>
                <w:sz w:val="18"/>
                <w:szCs w:val="18"/>
              </w:rPr>
              <w:t>GeoDePIN</w:t>
            </w:r>
          </w:p>
        </w:tc>
        <w:tc>
          <w:tcPr>
            <w:tcW w:type="dxa" w:w="1728"/>
          </w:tcPr>
          <w:p>
            <w:r>
              <w:rPr>
                <w:sz w:val="18"/>
                <w:szCs w:val="18"/>
              </w:rPr>
              <w:t>Individual hotspot owners</w:t>
            </w:r>
          </w:p>
        </w:tc>
        <w:tc>
          <w:tcPr>
            <w:tcW w:type="dxa" w:w="1728"/>
          </w:tcPr>
          <w:p>
            <w:r>
              <w:rPr>
                <w:sz w:val="18"/>
                <w:szCs w:val="18"/>
              </w:rPr>
              <w:t>LoRa/5G hotspot</w:t>
            </w:r>
          </w:p>
        </w:tc>
        <w:tc>
          <w:tcPr>
            <w:tcW w:type="dxa" w:w="1728"/>
          </w:tcPr>
          <w:p>
            <w:r>
              <w:rPr>
                <w:sz w:val="18"/>
                <w:szCs w:val="18"/>
              </w:rPr>
              <w:t>HIP-147 service-based</w:t>
            </w:r>
          </w:p>
        </w:tc>
      </w:tr>
      <w:tr>
        <w:trPr>
          <w:cantSplit/>
        </w:trPr>
        <w:tc>
          <w:tcPr>
            <w:tcW w:type="dxa" w:w="1728"/>
          </w:tcPr>
          <w:p>
            <w:r>
              <w:rPr>
                <w:sz w:val="18"/>
                <w:szCs w:val="18"/>
              </w:rPr>
              <w:t>Hivemapper</w:t>
            </w:r>
          </w:p>
        </w:tc>
        <w:tc>
          <w:tcPr>
            <w:tcW w:type="dxa" w:w="1728"/>
          </w:tcPr>
          <w:p>
            <w:r>
              <w:rPr>
                <w:sz w:val="18"/>
                <w:szCs w:val="18"/>
              </w:rPr>
              <w:t>GeoDePIN</w:t>
            </w:r>
          </w:p>
        </w:tc>
        <w:tc>
          <w:tcPr>
            <w:tcW w:type="dxa" w:w="1728"/>
          </w:tcPr>
          <w:p>
            <w:r>
              <w:rPr>
                <w:sz w:val="18"/>
                <w:szCs w:val="18"/>
              </w:rPr>
              <w:t>Individual drivers</w:t>
            </w:r>
          </w:p>
        </w:tc>
        <w:tc>
          <w:tcPr>
            <w:tcW w:type="dxa" w:w="1728"/>
          </w:tcPr>
          <w:p>
            <w:r>
              <w:rPr>
                <w:sz w:val="18"/>
                <w:szCs w:val="18"/>
              </w:rPr>
              <w:t>Dashcam</w:t>
            </w:r>
          </w:p>
        </w:tc>
        <w:tc>
          <w:tcPr>
            <w:tcW w:type="dxa" w:w="1728"/>
          </w:tcPr>
          <w:p>
            <w:r>
              <w:rPr>
                <w:sz w:val="18"/>
                <w:szCs w:val="18"/>
              </w:rPr>
              <w:t>Image authenticity + GPS</w:t>
            </w:r>
          </w:p>
        </w:tc>
      </w:tr>
      <w:tr>
        <w:trPr>
          <w:cantSplit/>
        </w:trPr>
        <w:tc>
          <w:tcPr>
            <w:tcW w:type="dxa" w:w="1728"/>
          </w:tcPr>
          <w:p>
            <w:r>
              <w:rPr>
                <w:sz w:val="18"/>
                <w:szCs w:val="18"/>
              </w:rPr>
              <w:t>WeatherXM</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Weather station</w:t>
            </w:r>
          </w:p>
        </w:tc>
        <w:tc>
          <w:tcPr>
            <w:tcW w:type="dxa" w:w="1728"/>
          </w:tcPr>
          <w:p>
            <w:r>
              <w:rPr>
                <w:sz w:val="18"/>
                <w:szCs w:val="18"/>
              </w:rPr>
              <w:t>Cross-station validation</w:t>
            </w:r>
          </w:p>
        </w:tc>
      </w:tr>
      <w:tr>
        <w:trPr>
          <w:cantSplit/>
        </w:trPr>
        <w:tc>
          <w:tcPr>
            <w:tcW w:type="dxa" w:w="1728"/>
          </w:tcPr>
          <w:p>
            <w:r>
              <w:rPr>
                <w:sz w:val="18"/>
                <w:szCs w:val="18"/>
              </w:rPr>
              <w:t>DIMO</w:t>
            </w:r>
          </w:p>
        </w:tc>
        <w:tc>
          <w:tcPr>
            <w:tcW w:type="dxa" w:w="1728"/>
          </w:tcPr>
          <w:p>
            <w:r>
              <w:rPr>
                <w:sz w:val="18"/>
                <w:szCs w:val="18"/>
              </w:rPr>
              <w:t>GeoDePIN</w:t>
            </w:r>
          </w:p>
        </w:tc>
        <w:tc>
          <w:tcPr>
            <w:tcW w:type="dxa" w:w="1728"/>
          </w:tcPr>
          <w:p>
            <w:r>
              <w:rPr>
                <w:sz w:val="18"/>
                <w:szCs w:val="18"/>
              </w:rPr>
              <w:t>Individual vehicle owners</w:t>
            </w:r>
          </w:p>
        </w:tc>
        <w:tc>
          <w:tcPr>
            <w:tcW w:type="dxa" w:w="1728"/>
          </w:tcPr>
          <w:p>
            <w:r>
              <w:rPr>
                <w:sz w:val="18"/>
                <w:szCs w:val="18"/>
              </w:rPr>
              <w:t>OBD dongle / app</w:t>
            </w:r>
          </w:p>
        </w:tc>
        <w:tc>
          <w:tcPr>
            <w:tcW w:type="dxa" w:w="1728"/>
          </w:tcPr>
          <w:p>
            <w:r>
              <w:rPr>
                <w:sz w:val="18"/>
                <w:szCs w:val="18"/>
              </w:rPr>
              <w:t>Hardware attestation</w:t>
            </w:r>
          </w:p>
        </w:tc>
      </w:tr>
      <w:tr>
        <w:trPr>
          <w:cantSplit/>
        </w:trPr>
        <w:tc>
          <w:tcPr>
            <w:tcW w:type="dxa" w:w="1728"/>
          </w:tcPr>
          <w:p>
            <w:r>
              <w:rPr>
                <w:sz w:val="18"/>
                <w:szCs w:val="18"/>
              </w:rPr>
              <w:t>GEODNET</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RTK base station</w:t>
            </w:r>
          </w:p>
        </w:tc>
        <w:tc>
          <w:tcPr>
            <w:tcW w:type="dxa" w:w="1728"/>
          </w:tcPr>
          <w:p>
            <w:r>
              <w:rPr>
                <w:sz w:val="18"/>
                <w:szCs w:val="18"/>
              </w:rPr>
              <w:t>Satellite cross-check</w:t>
            </w:r>
          </w:p>
        </w:tc>
      </w:tr>
      <w:tr>
        <w:trPr>
          <w:cantSplit/>
        </w:trPr>
        <w:tc>
          <w:tcPr>
            <w:tcW w:type="dxa" w:w="1728"/>
          </w:tcPr>
          <w:p>
            <w:r>
              <w:rPr>
                <w:sz w:val="18"/>
                <w:szCs w:val="18"/>
              </w:rPr>
              <w:t>Anyone</w:t>
            </w:r>
          </w:p>
        </w:tc>
        <w:tc>
          <w:tcPr>
            <w:tcW w:type="dxa" w:w="1728"/>
          </w:tcPr>
          <w:p>
            <w:r>
              <w:rPr>
                <w:sz w:val="18"/>
                <w:szCs w:val="18"/>
              </w:rPr>
              <w:t>GeoDePIN</w:t>
            </w:r>
          </w:p>
        </w:tc>
        <w:tc>
          <w:tcPr>
            <w:tcW w:type="dxa" w:w="1728"/>
          </w:tcPr>
          <w:p>
            <w:r>
              <w:rPr>
                <w:sz w:val="18"/>
                <w:szCs w:val="18"/>
              </w:rPr>
              <w:t>Individual relay operators</w:t>
            </w:r>
          </w:p>
        </w:tc>
        <w:tc>
          <w:tcPr>
            <w:tcW w:type="dxa" w:w="1728"/>
          </w:tcPr>
          <w:p>
            <w:r>
              <w:rPr>
                <w:sz w:val="18"/>
                <w:szCs w:val="18"/>
              </w:rPr>
              <w:t>VPN relay node</w:t>
            </w:r>
          </w:p>
        </w:tc>
        <w:tc>
          <w:tcPr>
            <w:tcW w:type="dxa" w:w="1728"/>
          </w:tcPr>
          <w:p>
            <w:r>
              <w:rPr>
                <w:sz w:val="18"/>
                <w:szCs w:val="18"/>
              </w:rPr>
              <w:t>Bandwidth verification</w:t>
            </w:r>
          </w:p>
        </w:tc>
      </w:tr>
      <w:tr>
        <w:trPr>
          <w:cantSplit/>
        </w:trPr>
        <w:tc>
          <w:tcPr>
            <w:tcW w:type="dxa" w:w="1728"/>
          </w:tcPr>
          <w:p>
            <w:r>
              <w:rPr>
                <w:sz w:val="18"/>
                <w:szCs w:val="18"/>
              </w:rPr>
              <w:t>Wayru / WiFiDabba</w:t>
            </w:r>
          </w:p>
        </w:tc>
        <w:tc>
          <w:tcPr>
            <w:tcW w:type="dxa" w:w="1728"/>
          </w:tcPr>
          <w:p>
            <w:r>
              <w:rPr>
                <w:sz w:val="18"/>
                <w:szCs w:val="18"/>
              </w:rPr>
              <w:t>GeoDePIN</w:t>
            </w:r>
          </w:p>
        </w:tc>
        <w:tc>
          <w:tcPr>
            <w:tcW w:type="dxa" w:w="1728"/>
          </w:tcPr>
          <w:p>
            <w:r>
              <w:rPr>
                <w:sz w:val="18"/>
                <w:szCs w:val="18"/>
              </w:rPr>
              <w:t>Community WiFi hosts</w:t>
            </w:r>
          </w:p>
        </w:tc>
        <w:tc>
          <w:tcPr>
            <w:tcW w:type="dxa" w:w="1728"/>
          </w:tcPr>
          <w:p>
            <w:r>
              <w:rPr>
                <w:sz w:val="18"/>
                <w:szCs w:val="18"/>
              </w:rPr>
              <w:t>Router / access point</w:t>
            </w:r>
          </w:p>
        </w:tc>
        <w:tc>
          <w:tcPr>
            <w:tcW w:type="dxa" w:w="1728"/>
          </w:tcPr>
          <w:p>
            <w:r>
              <w:rPr>
                <w:sz w:val="18"/>
                <w:szCs w:val="18"/>
              </w:rPr>
              <w:t>Usage metering</w:t>
            </w:r>
          </w:p>
        </w:tc>
      </w:tr>
      <w:tr>
        <w:trPr>
          <w:cantSplit/>
        </w:trPr>
        <w:tc>
          <w:tcPr>
            <w:tcW w:type="dxa" w:w="1728"/>
          </w:tcPr>
          <w:p>
            <w:r>
              <w:rPr>
                <w:sz w:val="18"/>
                <w:szCs w:val="18"/>
              </w:rPr>
              <w:t>CUDIS</w:t>
            </w:r>
          </w:p>
        </w:tc>
        <w:tc>
          <w:tcPr>
            <w:tcW w:type="dxa" w:w="1728"/>
          </w:tcPr>
          <w:p>
            <w:r>
              <w:rPr>
                <w:sz w:val="18"/>
                <w:szCs w:val="18"/>
              </w:rPr>
              <w:t>GeoDePIN</w:t>
            </w:r>
          </w:p>
        </w:tc>
        <w:tc>
          <w:tcPr>
            <w:tcW w:type="dxa" w:w="1728"/>
          </w:tcPr>
          <w:p>
            <w:r>
              <w:rPr>
                <w:sz w:val="18"/>
                <w:szCs w:val="18"/>
              </w:rPr>
              <w:t>Individual wearers</w:t>
            </w:r>
          </w:p>
        </w:tc>
        <w:tc>
          <w:tcPr>
            <w:tcW w:type="dxa" w:w="1728"/>
          </w:tcPr>
          <w:p>
            <w:r>
              <w:rPr>
                <w:sz w:val="18"/>
                <w:szCs w:val="18"/>
              </w:rPr>
              <w:t>Smart ring</w:t>
            </w:r>
          </w:p>
        </w:tc>
        <w:tc>
          <w:tcPr>
            <w:tcW w:type="dxa" w:w="1728"/>
          </w:tcPr>
          <w:p>
            <w:r>
              <w:rPr>
                <w:sz w:val="18"/>
                <w:szCs w:val="18"/>
              </w:rPr>
              <w:t>Device attestation</w:t>
            </w:r>
          </w:p>
        </w:tc>
      </w:tr>
      <w:tr>
        <w:trPr>
          <w:cantSplit/>
        </w:trPr>
        <w:tc>
          <w:tcPr>
            <w:tcW w:type="dxa" w:w="1728"/>
          </w:tcPr>
          <w:p>
            <w:r>
              <w:rPr>
                <w:sz w:val="18"/>
                <w:szCs w:val="18"/>
              </w:rPr>
              <w:t>Grass</w:t>
            </w:r>
          </w:p>
        </w:tc>
        <w:tc>
          <w:tcPr>
            <w:tcW w:type="dxa" w:w="1728"/>
          </w:tcPr>
          <w:p>
            <w:r>
              <w:rPr>
                <w:sz w:val="18"/>
                <w:szCs w:val="18"/>
              </w:rPr>
              <w:t>GeoDePIN*</w:t>
            </w:r>
          </w:p>
        </w:tc>
        <w:tc>
          <w:tcPr>
            <w:tcW w:type="dxa" w:w="1728"/>
          </w:tcPr>
          <w:p>
            <w:r>
              <w:rPr>
                <w:sz w:val="18"/>
                <w:szCs w:val="18"/>
              </w:rPr>
              <w:t>Individual bandwidth sharers</w:t>
            </w:r>
          </w:p>
        </w:tc>
        <w:tc>
          <w:tcPr>
            <w:tcW w:type="dxa" w:w="1728"/>
          </w:tcPr>
          <w:p>
            <w:r>
              <w:rPr>
                <w:sz w:val="18"/>
                <w:szCs w:val="18"/>
              </w:rPr>
              <w:t>Browser extension</w:t>
            </w:r>
          </w:p>
        </w:tc>
        <w:tc>
          <w:tcPr>
            <w:tcW w:type="dxa" w:w="1728"/>
          </w:tcPr>
          <w:p>
            <w:r>
              <w:rPr>
                <w:sz w:val="18"/>
                <w:szCs w:val="18"/>
              </w:rPr>
              <w:t>Task completion</w:t>
            </w:r>
          </w:p>
        </w:tc>
      </w:tr>
      <w:tr>
        <w:trPr>
          <w:cantSplit/>
        </w:trPr>
        <w:tc>
          <w:tcPr>
            <w:tcW w:type="dxa" w:w="1728"/>
          </w:tcPr>
          <w:p>
            <w:r>
              <w:rPr>
                <w:sz w:val="18"/>
                <w:szCs w:val="18"/>
              </w:rPr>
              <w:t>UpRock</w:t>
            </w:r>
          </w:p>
        </w:tc>
        <w:tc>
          <w:tcPr>
            <w:tcW w:type="dxa" w:w="1728"/>
          </w:tcPr>
          <w:p>
            <w:r>
              <w:rPr>
                <w:sz w:val="18"/>
                <w:szCs w:val="18"/>
              </w:rPr>
              <w:t>GeoDePIN*</w:t>
            </w:r>
          </w:p>
        </w:tc>
        <w:tc>
          <w:tcPr>
            <w:tcW w:type="dxa" w:w="1728"/>
          </w:tcPr>
          <w:p>
            <w:r>
              <w:rPr>
                <w:sz w:val="18"/>
                <w:szCs w:val="18"/>
              </w:rPr>
              <w:t>Individual proxy providers</w:t>
            </w:r>
          </w:p>
        </w:tc>
        <w:tc>
          <w:tcPr>
            <w:tcW w:type="dxa" w:w="1728"/>
          </w:tcPr>
          <w:p>
            <w:r>
              <w:rPr>
                <w:sz w:val="18"/>
                <w:szCs w:val="18"/>
              </w:rPr>
              <w:t>App / daemon</w:t>
            </w:r>
          </w:p>
        </w:tc>
        <w:tc>
          <w:tcPr>
            <w:tcW w:type="dxa" w:w="1728"/>
          </w:tcPr>
          <w:p>
            <w:r>
              <w:rPr>
                <w:sz w:val="18"/>
                <w:szCs w:val="18"/>
              </w:rPr>
              <w:t>Request verification</w:t>
            </w:r>
          </w:p>
        </w:tc>
      </w:tr>
      <w:tr>
        <w:trPr>
          <w:cantSplit/>
        </w:trPr>
        <w:tc>
          <w:tcPr>
            <w:tcW w:type="dxa" w:w="1728"/>
          </w:tcPr>
          <w:p>
            <w:r>
              <w:rPr>
                <w:sz w:val="18"/>
                <w:szCs w:val="18"/>
              </w:rPr>
              <w:t>Filecoin</w:t>
            </w:r>
          </w:p>
        </w:tc>
        <w:tc>
          <w:tcPr>
            <w:tcW w:type="dxa" w:w="1728"/>
          </w:tcPr>
          <w:p>
            <w:r>
              <w:rPr>
                <w:sz w:val="18"/>
                <w:szCs w:val="18"/>
              </w:rPr>
              <w:t>DeVIN</w:t>
            </w:r>
          </w:p>
        </w:tc>
        <w:tc>
          <w:tcPr>
            <w:tcW w:type="dxa" w:w="1728"/>
          </w:tcPr>
          <w:p>
            <w:r>
              <w:rPr>
                <w:sz w:val="18"/>
                <w:szCs w:val="18"/>
              </w:rPr>
              <w:t>Storage providers (institutional)</w:t>
            </w:r>
          </w:p>
        </w:tc>
        <w:tc>
          <w:tcPr>
            <w:tcW w:type="dxa" w:w="1728"/>
          </w:tcPr>
          <w:p>
            <w:r>
              <w:rPr>
                <w:sz w:val="18"/>
                <w:szCs w:val="18"/>
              </w:rPr>
              <w:t>Server rack</w:t>
            </w:r>
          </w:p>
        </w:tc>
        <w:tc>
          <w:tcPr>
            <w:tcW w:type="dxa" w:w="1728"/>
          </w:tcPr>
          <w:p>
            <w:r>
              <w:rPr>
                <w:sz w:val="18"/>
                <w:szCs w:val="18"/>
              </w:rPr>
              <w:t>Proof-of-Spacetime</w:t>
            </w:r>
          </w:p>
        </w:tc>
      </w:tr>
      <w:tr>
        <w:trPr>
          <w:cantSplit/>
        </w:trPr>
        <w:tc>
          <w:tcPr>
            <w:tcW w:type="dxa" w:w="1728"/>
          </w:tcPr>
          <w:p>
            <w:r>
              <w:rPr>
                <w:sz w:val="18"/>
                <w:szCs w:val="18"/>
              </w:rPr>
              <w:t>Livepeer</w:t>
            </w:r>
          </w:p>
        </w:tc>
        <w:tc>
          <w:tcPr>
            <w:tcW w:type="dxa" w:w="1728"/>
          </w:tcPr>
          <w:p>
            <w:r>
              <w:rPr>
                <w:sz w:val="18"/>
                <w:szCs w:val="18"/>
              </w:rPr>
              <w:t>DeVIN</w:t>
            </w:r>
          </w:p>
        </w:tc>
        <w:tc>
          <w:tcPr>
            <w:tcW w:type="dxa" w:w="1728"/>
          </w:tcPr>
          <w:p>
            <w:r>
              <w:rPr>
                <w:sz w:val="18"/>
                <w:szCs w:val="18"/>
              </w:rPr>
              <w:t>Orchestrators (semi-institutional)</w:t>
            </w:r>
          </w:p>
        </w:tc>
        <w:tc>
          <w:tcPr>
            <w:tcW w:type="dxa" w:w="1728"/>
          </w:tcPr>
          <w:p>
            <w:r>
              <w:rPr>
                <w:sz w:val="18"/>
                <w:szCs w:val="18"/>
              </w:rPr>
              <w:t>GPU server</w:t>
            </w:r>
          </w:p>
        </w:tc>
        <w:tc>
          <w:tcPr>
            <w:tcW w:type="dxa" w:w="1728"/>
          </w:tcPr>
          <w:p>
            <w:r>
              <w:rPr>
                <w:sz w:val="18"/>
                <w:szCs w:val="18"/>
              </w:rPr>
              <w:t>Random test transcode</w:t>
            </w:r>
          </w:p>
        </w:tc>
      </w:tr>
      <w:tr>
        <w:trPr>
          <w:cantSplit/>
        </w:trPr>
        <w:tc>
          <w:tcPr>
            <w:tcW w:type="dxa" w:w="1728"/>
          </w:tcPr>
          <w:p>
            <w:r>
              <w:rPr>
                <w:sz w:val="18"/>
                <w:szCs w:val="18"/>
              </w:rPr>
              <w:t>Render</w:t>
            </w:r>
          </w:p>
        </w:tc>
        <w:tc>
          <w:tcPr>
            <w:tcW w:type="dxa" w:w="1728"/>
          </w:tcPr>
          <w:p>
            <w:r>
              <w:rPr>
                <w:sz w:val="18"/>
                <w:szCs w:val="18"/>
              </w:rPr>
              <w:t>DeVIN</w:t>
            </w:r>
          </w:p>
        </w:tc>
        <w:tc>
          <w:tcPr>
            <w:tcW w:type="dxa" w:w="1728"/>
          </w:tcPr>
          <w:p>
            <w:r>
              <w:rPr>
                <w:sz w:val="18"/>
                <w:szCs w:val="18"/>
              </w:rPr>
              <w:t>GPU operators</w:t>
            </w:r>
          </w:p>
        </w:tc>
        <w:tc>
          <w:tcPr>
            <w:tcW w:type="dxa" w:w="1728"/>
          </w:tcPr>
          <w:p>
            <w:r>
              <w:rPr>
                <w:sz w:val="18"/>
                <w:szCs w:val="18"/>
              </w:rPr>
              <w:t>GPU cluster</w:t>
            </w:r>
          </w:p>
        </w:tc>
        <w:tc>
          <w:tcPr>
            <w:tcW w:type="dxa" w:w="1728"/>
          </w:tcPr>
          <w:p>
            <w:r>
              <w:rPr>
                <w:sz w:val="18"/>
                <w:szCs w:val="18"/>
              </w:rP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2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6.1 should be read with this distinction in mind: they are calibrated primarily to GeoDePIN coordination challenges.</w:t>
      </w:r>
    </w:p>
    <w:p>
      <w:r>
        <w:rPr/>
        <w:t xml:space="preserve">Recent work on geospatially-aware consensus mechanisms [49] independently validates the geographic-coverage dimension of this taxonomy. Motepalli et al. propose non-linear consensus weighting that integrates geospatial diversity into validator influence, achieving 45% improvement in geographic decentralization across five major PoS blockchains. The GeoDePIN taxonomy extends this logic from the consensus layer to the infrastructure layer: geographic coverage is not merely a desirable validator property but the core defensibility mechanism for location-dependent service networks.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5.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Helium’s Subsidy-to-Revenue ratio rose from 0.013 in May 2023 to 1.84 in February 2026, crossing fiscal parity in October 2025 and remaining net-deflationary through the observation window. The network operates decentralized wireless infrastructure across 190+ countries through two subnetworks (IoT/LoRaWAN and Mobile/5G-CBRS) and is the primary longitudinal case in this study. Its 34-month trajectory from subsidy-dependent to revenue-dominant spans the April 2023 migration from its own L1 to Solana and a series of governance reforms, most consequentially HIP-147.</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net-deflationary (S2R &gt; 1.0,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mid-2024), as Mobile subscriber growth and IoT data transfer increased burn volume; (3) fiscal parity and beyond (S2R 1.03 to 1.84 , late 2025 to February 2026), when monthly burns consistently exceeded issuance.</w:t>
        <w:br/>
        <w:t>Helium became the first GeoDePIN protocol where demand-side spending fully offsets supply-side inflation. DIMO subsequently achieved S2R = 4.24, making it the second protocol to demonstrate fiscal parity through demand-coupled burns. A pricing caveat applies to Helium's December 2025 peak: WiFi offload traffic is priced at $0.10-0.25 per GB versus $0.50 for CBRS, and the annualized burn figure reflects a temporary Mobile burn allocation subsequently adjusted, so the S2R spike overstates steady-state equilibrium by an estimated 2-5x.</w:t>
      </w:r>
    </w:p>
    <w:p>
      <w:r>
        <w:rPr/>
        <w:t xml:space="preserve">The fiscal vulnerability of the early S2R regime is illustrated by the San Jose broadband pilot (2021–2022). The city deployed 20 Helium hotspots targeting 1,300 low-income households for broadband subsidies funded by HNT mining revenue; only 86 households were ultimately served after token price volatility destroyed the fiat-denominated value of mining rewards [50]. The failure occurred during the post-migration baseline period (S2R 0.01–0.04), when no demand-coupled burns anchored the token’s real value. The case provides causal evidence that token-subsidized infrastructure programs fail when the sinks-before-faucets principle is violated: without demand-coupled burns, the subsidy’s real value is entirely determined by speculative token dynamics rather than network utility.</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(the companion paper [34] cites a smaller $18.3M figure for Helium’s annualized gross revenue at Q3 2025; the two measures differ because burn run-rate captures consumption-side activity while revenue captures the cash side, over different observation windows).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Period</w:t>
            </w:r>
          </w:p>
        </w:tc>
        <w:tc>
          <w:tcPr>
            <w:tcW w:type="dxa" w:w="1728"/>
          </w:tcPr>
          <w:p>
            <w:r>
              <w:rPr>
                <w:b/>
                <w:sz w:val="18"/>
                <w:szCs w:val="18"/>
              </w:rPr>
              <w:t>S2R (burns only)</w:t>
            </w:r>
          </w:p>
        </w:tc>
        <w:tc>
          <w:tcPr>
            <w:tcW w:type="dxa" w:w="1728"/>
          </w:tcPr>
          <w:p>
            <w:r>
              <w:rPr>
                <w:b/>
                <w:sz w:val="18"/>
                <w:szCs w:val="18"/>
              </w:rPr>
              <w:t>HNT Burned</w:t>
            </w:r>
          </w:p>
        </w:tc>
        <w:tc>
          <w:tcPr>
            <w:tcW w:type="dxa" w:w="1728"/>
          </w:tcPr>
          <w:p>
            <w:r>
              <w:rPr>
                <w:b/>
                <w:sz w:val="18"/>
                <w:szCs w:val="18"/>
              </w:rPr>
              <w:t>HNT Issued</w:t>
            </w:r>
          </w:p>
        </w:tc>
        <w:tc>
          <w:tcPr>
            <w:tcW w:type="dxa" w:w="1728"/>
          </w:tcPr>
          <w:p>
            <w:r>
              <w:rPr>
                <w:b/>
                <w:sz w:val="18"/>
                <w:szCs w:val="18"/>
              </w:rPr>
              <w:t>Context</w:t>
            </w:r>
          </w:p>
        </w:tc>
        <w:trPr>
          <w:cantSplit/>
          <w:tblHeader/>
        </w:trPr>
      </w:tr>
      <w:tr>
        <w:trPr>
          <w:cantSplit/>
        </w:trPr>
        <w:tc>
          <w:tcPr>
            <w:tcW w:type="dxa" w:w="1728"/>
          </w:tcPr>
          <w:p>
            <w:r>
              <w:rPr>
                <w:sz w:val="18"/>
                <w:szCs w:val="18"/>
              </w:rPr>
              <w:t>May 2023</w:t>
            </w:r>
          </w:p>
        </w:tc>
        <w:tc>
          <w:tcPr>
            <w:tcW w:type="dxa" w:w="1728"/>
          </w:tcPr>
          <w:p>
            <w:r>
              <w:rPr>
                <w:sz w:val="18"/>
                <w:szCs w:val="18"/>
              </w:rPr>
              <w:t>0.013</w:t>
            </w:r>
          </w:p>
        </w:tc>
        <w:tc>
          <w:tcPr>
            <w:tcW w:type="dxa" w:w="1728"/>
          </w:tcPr>
          <w:p>
            <w:r>
              <w:rPr>
                <w:sz w:val="18"/>
                <w:szCs w:val="18"/>
              </w:rPr>
              <w:t>37,204</w:t>
            </w:r>
          </w:p>
        </w:tc>
        <w:tc>
          <w:tcPr>
            <w:tcW w:type="dxa" w:w="1728"/>
          </w:tcPr>
          <w:p>
            <w:r>
              <w:rPr>
                <w:sz w:val="18"/>
                <w:szCs w:val="18"/>
              </w:rPr>
              <w:t>2,877,911</w:t>
            </w:r>
          </w:p>
        </w:tc>
        <w:tc>
          <w:tcPr>
            <w:tcW w:type="dxa" w:w="1728"/>
          </w:tcPr>
          <w:p>
            <w:r>
              <w:rPr>
                <w:sz w:val="18"/>
                <w:szCs w:val="18"/>
              </w:rPr>
              <w:t>Post-migration baseline, IoT only</w:t>
            </w:r>
          </w:p>
        </w:tc>
      </w:tr>
      <w:tr>
        <w:trPr>
          <w:cantSplit/>
        </w:trPr>
        <w:tc>
          <w:tcPr>
            <w:tcW w:type="dxa" w:w="1728"/>
          </w:tcPr>
          <w:p>
            <w:r>
              <w:rPr>
                <w:sz w:val="18"/>
                <w:szCs w:val="18"/>
              </w:rPr>
              <w:t>Sep 2023</w:t>
            </w:r>
          </w:p>
        </w:tc>
        <w:tc>
          <w:tcPr>
            <w:tcW w:type="dxa" w:w="1728"/>
          </w:tcPr>
          <w:p>
            <w:r>
              <w:rPr>
                <w:sz w:val="18"/>
                <w:szCs w:val="18"/>
              </w:rPr>
              <w:t>0.119</w:t>
            </w:r>
          </w:p>
        </w:tc>
        <w:tc>
          <w:tcPr>
            <w:tcW w:type="dxa" w:w="1728"/>
          </w:tcPr>
          <w:p>
            <w:r>
              <w:rPr>
                <w:sz w:val="18"/>
                <w:szCs w:val="18"/>
              </w:rPr>
              <w:t>138,660</w:t>
            </w:r>
          </w:p>
        </w:tc>
        <w:tc>
          <w:tcPr>
            <w:tcW w:type="dxa" w:w="1728"/>
          </w:tcPr>
          <w:p>
            <w:r>
              <w:rPr>
                <w:sz w:val="18"/>
                <w:szCs w:val="18"/>
              </w:rPr>
              <w:t>1,170,115</w:t>
            </w:r>
          </w:p>
        </w:tc>
        <w:tc>
          <w:tcPr>
            <w:tcW w:type="dxa" w:w="1728"/>
          </w:tcPr>
          <w:p>
            <w:r>
              <w:rPr>
                <w:sz w:val="18"/>
                <w:szCs w:val="18"/>
              </w:rPr>
              <w:t>Early 5G traction, first meaningful burns</w:t>
            </w:r>
          </w:p>
        </w:tc>
      </w:tr>
      <w:tr>
        <w:trPr>
          <w:cantSplit/>
        </w:trPr>
        <w:tc>
          <w:tcPr>
            <w:tcW w:type="dxa" w:w="1728"/>
          </w:tcPr>
          <w:p>
            <w:r>
              <w:rPr>
                <w:sz w:val="18"/>
                <w:szCs w:val="18"/>
              </w:rPr>
              <w:t>Jan 2024</w:t>
            </w:r>
          </w:p>
        </w:tc>
        <w:tc>
          <w:tcPr>
            <w:tcW w:type="dxa" w:w="1728"/>
          </w:tcPr>
          <w:p>
            <w:r>
              <w:rPr>
                <w:sz w:val="18"/>
                <w:szCs w:val="18"/>
              </w:rPr>
              <w:t>0.052</w:t>
            </w:r>
          </w:p>
        </w:tc>
        <w:tc>
          <w:tcPr>
            <w:tcW w:type="dxa" w:w="1728"/>
          </w:tcPr>
          <w:p>
            <w:r>
              <w:rPr>
                <w:sz w:val="18"/>
                <w:szCs w:val="18"/>
              </w:rPr>
              <w:t>75,592</w:t>
            </w:r>
          </w:p>
        </w:tc>
        <w:tc>
          <w:tcPr>
            <w:tcW w:type="dxa" w:w="1728"/>
          </w:tcPr>
          <w:p>
            <w:r>
              <w:rPr>
                <w:sz w:val="18"/>
                <w:szCs w:val="18"/>
              </w:rPr>
              <w:t>1,458,899</w:t>
            </w:r>
          </w:p>
        </w:tc>
        <w:tc>
          <w:tcPr>
            <w:tcW w:type="dxa" w:w="1728"/>
          </w:tcPr>
          <w:p>
            <w:r>
              <w:rPr>
                <w:sz w:val="18"/>
                <w:szCs w:val="18"/>
              </w:rPr>
              <w:t>Steady-state pre-carrier-burn</w:t>
            </w:r>
          </w:p>
        </w:tc>
      </w:tr>
      <w:tr>
        <w:trPr>
          <w:cantSplit/>
        </w:trPr>
        <w:tc>
          <w:tcPr>
            <w:tcW w:type="dxa" w:w="1728"/>
          </w:tcPr>
          <w:p>
            <w:r>
              <w:rPr>
                <w:sz w:val="18"/>
                <w:szCs w:val="18"/>
              </w:rPr>
              <w:t>Jun 2024</w:t>
            </w:r>
          </w:p>
        </w:tc>
        <w:tc>
          <w:tcPr>
            <w:tcW w:type="dxa" w:w="1728"/>
          </w:tcPr>
          <w:p>
            <w:r>
              <w:rPr>
                <w:sz w:val="18"/>
                <w:szCs w:val="18"/>
              </w:rPr>
              <w:t>0.024</w:t>
            </w:r>
          </w:p>
        </w:tc>
        <w:tc>
          <w:tcPr>
            <w:tcW w:type="dxa" w:w="1728"/>
          </w:tcPr>
          <w:p>
            <w:r>
              <w:rPr>
                <w:sz w:val="18"/>
                <w:szCs w:val="18"/>
              </w:rPr>
              <w:t>28,152</w:t>
            </w:r>
          </w:p>
        </w:tc>
        <w:tc>
          <w:tcPr>
            <w:tcW w:type="dxa" w:w="1728"/>
          </w:tcPr>
          <w:p>
            <w:r>
              <w:rPr>
                <w:sz w:val="18"/>
                <w:szCs w:val="18"/>
              </w:rPr>
              <w:t>1,162,966</w:t>
            </w:r>
          </w:p>
        </w:tc>
        <w:tc>
          <w:tcPr>
            <w:tcW w:type="dxa" w:w="1728"/>
          </w:tcPr>
          <w:p>
            <w:r>
              <w:rPr>
                <w:sz w:val="18"/>
                <w:szCs w:val="18"/>
              </w:rPr>
              <w:t>Mid-cycle trough</w:t>
            </w:r>
          </w:p>
        </w:tc>
      </w:tr>
      <w:tr>
        <w:trPr>
          <w:cantSplit/>
        </w:trPr>
        <w:tc>
          <w:tcPr>
            <w:tcW w:type="dxa" w:w="1728"/>
          </w:tcPr>
          <w:p>
            <w:r>
              <w:rPr>
                <w:sz w:val="18"/>
                <w:szCs w:val="18"/>
              </w:rPr>
              <w:t>Nov 2024</w:t>
            </w:r>
          </w:p>
        </w:tc>
        <w:tc>
          <w:tcPr>
            <w:tcW w:type="dxa" w:w="1728"/>
          </w:tcPr>
          <w:p>
            <w:r>
              <w:rPr>
                <w:sz w:val="18"/>
                <w:szCs w:val="18"/>
              </w:rPr>
              <w:t>0.137</w:t>
            </w:r>
          </w:p>
        </w:tc>
        <w:tc>
          <w:tcPr>
            <w:tcW w:type="dxa" w:w="1728"/>
          </w:tcPr>
          <w:p>
            <w:r>
              <w:rPr>
                <w:sz w:val="18"/>
                <w:szCs w:val="18"/>
              </w:rPr>
              <w:t>159,517</w:t>
            </w:r>
          </w:p>
        </w:tc>
        <w:tc>
          <w:tcPr>
            <w:tcW w:type="dxa" w:w="1728"/>
          </w:tcPr>
          <w:p>
            <w:r>
              <w:rPr>
                <w:sz w:val="18"/>
                <w:szCs w:val="18"/>
              </w:rPr>
              <w:t>1,163,406</w:t>
            </w:r>
          </w:p>
        </w:tc>
        <w:tc>
          <w:tcPr>
            <w:tcW w:type="dxa" w:w="1728"/>
          </w:tcPr>
          <w:p>
            <w:r>
              <w:rPr>
                <w:sz w:val="18"/>
                <w:szCs w:val="18"/>
              </w:rPr>
              <w:t>Spike month (possible large DC purchase)</w:t>
            </w:r>
          </w:p>
        </w:tc>
      </w:tr>
      <w:tr>
        <w:trPr>
          <w:cantSplit/>
        </w:trPr>
        <w:tc>
          <w:tcPr>
            <w:tcW w:type="dxa" w:w="1728"/>
          </w:tcPr>
          <w:p>
            <w:r>
              <w:rPr>
                <w:sz w:val="18"/>
                <w:szCs w:val="18"/>
              </w:rPr>
              <w:t>Mar 2025</w:t>
            </w:r>
          </w:p>
        </w:tc>
        <w:tc>
          <w:tcPr>
            <w:tcW w:type="dxa" w:w="1728"/>
          </w:tcPr>
          <w:p>
            <w:r>
              <w:rPr>
                <w:sz w:val="18"/>
                <w:szCs w:val="18"/>
              </w:rPr>
              <w:t>0.107</w:t>
            </w:r>
          </w:p>
        </w:tc>
        <w:tc>
          <w:tcPr>
            <w:tcW w:type="dxa" w:w="1728"/>
          </w:tcPr>
          <w:p>
            <w:r>
              <w:rPr>
                <w:sz w:val="18"/>
                <w:szCs w:val="18"/>
              </w:rPr>
              <w:t>200,362</w:t>
            </w:r>
          </w:p>
        </w:tc>
        <w:tc>
          <w:tcPr>
            <w:tcW w:type="dxa" w:w="1728"/>
          </w:tcPr>
          <w:p>
            <w:r>
              <w:rPr>
                <w:sz w:val="18"/>
                <w:szCs w:val="18"/>
              </w:rPr>
              <w:t>1,876,522</w:t>
            </w:r>
          </w:p>
        </w:tc>
        <w:tc>
          <w:tcPr>
            <w:tcW w:type="dxa" w:w="1728"/>
          </w:tcPr>
          <w:p>
            <w:r>
              <w:rPr>
                <w:sz w:val="18"/>
                <w:szCs w:val="18"/>
              </w:rPr>
              <w:t>Pre carrier-burn, growing demand</w:t>
            </w:r>
          </w:p>
        </w:tc>
      </w:tr>
      <w:tr>
        <w:trPr>
          <w:cantSplit/>
        </w:trPr>
        <w:tc>
          <w:tcPr>
            <w:tcW w:type="dxa" w:w="1728"/>
          </w:tcPr>
          <w:p>
            <w:r>
              <w:rPr>
                <w:sz w:val="18"/>
                <w:szCs w:val="18"/>
              </w:rPr>
              <w:t>Jun 2025</w:t>
            </w:r>
          </w:p>
        </w:tc>
        <w:tc>
          <w:tcPr>
            <w:tcW w:type="dxa" w:w="1728"/>
          </w:tcPr>
          <w:p>
            <w:r>
              <w:rPr>
                <w:sz w:val="18"/>
                <w:szCs w:val="18"/>
              </w:rPr>
              <w:t>0.376</w:t>
            </w:r>
          </w:p>
        </w:tc>
        <w:tc>
          <w:tcPr>
            <w:tcW w:type="dxa" w:w="1728"/>
          </w:tcPr>
          <w:p>
            <w:r>
              <w:rPr>
                <w:sz w:val="18"/>
                <w:szCs w:val="18"/>
              </w:rPr>
              <w:t>708,897</w:t>
            </w:r>
          </w:p>
        </w:tc>
        <w:tc>
          <w:tcPr>
            <w:tcW w:type="dxa" w:w="1728"/>
          </w:tcPr>
          <w:p>
            <w:r>
              <w:rPr>
                <w:sz w:val="18"/>
                <w:szCs w:val="18"/>
              </w:rPr>
              <w:t>1,883,509</w:t>
            </w:r>
          </w:p>
        </w:tc>
        <w:tc>
          <w:tcPr>
            <w:tcW w:type="dxa" w:w="1728"/>
          </w:tcPr>
          <w:p>
            <w:r>
              <w:rPr>
                <w:sz w:val="18"/>
                <w:szCs w:val="18"/>
              </w:rPr>
              <w:t>Full carrier revenue burn begins</w:t>
            </w:r>
          </w:p>
        </w:tc>
      </w:tr>
      <w:tr>
        <w:trPr>
          <w:cantSplit/>
        </w:trPr>
        <w:tc>
          <w:tcPr>
            <w:tcW w:type="dxa" w:w="1728"/>
          </w:tcPr>
          <w:p>
            <w:r>
              <w:rPr>
                <w:sz w:val="18"/>
                <w:szCs w:val="18"/>
              </w:rPr>
              <w:t>Aug 2025</w:t>
            </w:r>
          </w:p>
        </w:tc>
        <w:tc>
          <w:tcPr>
            <w:tcW w:type="dxa" w:w="1728"/>
          </w:tcPr>
          <w:p>
            <w:r>
              <w:rPr>
                <w:sz w:val="18"/>
                <w:szCs w:val="18"/>
              </w:rPr>
              <w:t>0.869</w:t>
            </w:r>
          </w:p>
        </w:tc>
        <w:tc>
          <w:tcPr>
            <w:tcW w:type="dxa" w:w="1728"/>
          </w:tcPr>
          <w:p>
            <w:r>
              <w:rPr>
                <w:sz w:val="18"/>
                <w:szCs w:val="18"/>
              </w:rPr>
              <w:t>532,886</w:t>
            </w:r>
          </w:p>
        </w:tc>
        <w:tc>
          <w:tcPr>
            <w:tcW w:type="dxa" w:w="1728"/>
          </w:tcPr>
          <w:p>
            <w:r>
              <w:rPr>
                <w:sz w:val="18"/>
                <w:szCs w:val="18"/>
              </w:rPr>
              <w:t>613,510</w:t>
            </w:r>
          </w:p>
        </w:tc>
        <w:tc>
          <w:tcPr>
            <w:tcW w:type="dxa" w:w="1728"/>
          </w:tcPr>
          <w:p>
            <w:r>
              <w:rPr>
                <w:sz w:val="18"/>
                <w:szCs w:val="18"/>
              </w:rPr>
              <w:t>Post-halving: issuance drops ~58%</w:t>
            </w:r>
          </w:p>
        </w:tc>
      </w:tr>
      <w:tr>
        <w:trPr>
          <w:cantSplit/>
        </w:trPr>
        <w:tc>
          <w:tcPr>
            <w:tcW w:type="dxa" w:w="1728"/>
          </w:tcPr>
          <w:p>
            <w:r>
              <w:rPr>
                <w:sz w:val="18"/>
                <w:szCs w:val="18"/>
              </w:rPr>
              <w:t>Sep 2025</w:t>
            </w:r>
          </w:p>
        </w:tc>
        <w:tc>
          <w:tcPr>
            <w:tcW w:type="dxa" w:w="1728"/>
          </w:tcPr>
          <w:p>
            <w:r>
              <w:rPr>
                <w:sz w:val="18"/>
                <w:szCs w:val="18"/>
              </w:rPr>
              <w:t>0.587</w:t>
            </w:r>
          </w:p>
        </w:tc>
        <w:tc>
          <w:tcPr>
            <w:tcW w:type="dxa" w:w="1728"/>
          </w:tcPr>
          <w:p>
            <w:r>
              <w:rPr>
                <w:sz w:val="18"/>
                <w:szCs w:val="18"/>
              </w:rPr>
              <w:t>456,181</w:t>
            </w:r>
          </w:p>
        </w:tc>
        <w:tc>
          <w:tcPr>
            <w:tcW w:type="dxa" w:w="1728"/>
          </w:tcPr>
          <w:p>
            <w:r>
              <w:rPr>
                <w:sz w:val="18"/>
                <w:szCs w:val="18"/>
              </w:rPr>
              <w:t>776,712</w:t>
            </w:r>
          </w:p>
        </w:tc>
        <w:tc>
          <w:tcPr>
            <w:tcW w:type="dxa" w:w="1728"/>
          </w:tcPr>
          <w:p>
            <w:r>
              <w:rPr>
                <w:sz w:val="18"/>
                <w:szCs w:val="18"/>
              </w:rPr>
              <w:t>HIP-147 passes; S2R pulls back</w:t>
            </w:r>
          </w:p>
        </w:tc>
      </w:tr>
      <w:tr>
        <w:trPr>
          <w:cantSplit/>
        </w:trPr>
        <w:tc>
          <w:tcPr>
            <w:tcW w:type="dxa" w:w="1728"/>
          </w:tcPr>
          <w:p>
            <w:r>
              <w:rPr>
                <w:sz w:val="18"/>
                <w:szCs w:val="18"/>
              </w:rPr>
              <w:t>Oct 2025</w:t>
            </w:r>
          </w:p>
        </w:tc>
        <w:tc>
          <w:tcPr>
            <w:tcW w:type="dxa" w:w="1728"/>
          </w:tcPr>
          <w:p>
            <w:r>
              <w:rPr>
                <w:sz w:val="18"/>
                <w:szCs w:val="18"/>
              </w:rPr>
              <w:t>1.570</w:t>
            </w:r>
          </w:p>
        </w:tc>
        <w:tc>
          <w:tcPr>
            <w:tcW w:type="dxa" w:w="1728"/>
          </w:tcPr>
          <w:p>
            <w:r>
              <w:rPr>
                <w:sz w:val="18"/>
                <w:szCs w:val="18"/>
              </w:rPr>
              <w:t>975,288</w:t>
            </w:r>
          </w:p>
        </w:tc>
        <w:tc>
          <w:tcPr>
            <w:tcW w:type="dxa" w:w="1728"/>
          </w:tcPr>
          <w:p>
            <w:r>
              <w:rPr>
                <w:sz w:val="18"/>
                <w:szCs w:val="18"/>
              </w:rPr>
              <w:t>621,370</w:t>
            </w:r>
          </w:p>
        </w:tc>
        <w:tc>
          <w:tcPr>
            <w:tcW w:type="dxa" w:w="1728"/>
          </w:tcPr>
          <w:p>
            <w:r>
              <w:rPr>
                <w:sz w:val="18"/>
                <w:szCs w:val="18"/>
              </w:rPr>
              <w:t>Burns exceed issuance for first time</w:t>
            </w:r>
          </w:p>
        </w:tc>
      </w:tr>
      <w:tr>
        <w:trPr>
          <w:cantSplit/>
        </w:trPr>
        <w:tc>
          <w:tcPr>
            <w:tcW w:type="dxa" w:w="1728"/>
          </w:tcPr>
          <w:p>
            <w:r>
              <w:rPr>
                <w:sz w:val="18"/>
                <w:szCs w:val="18"/>
              </w:rPr>
              <w:t>Dec 2025</w:t>
            </w:r>
          </w:p>
        </w:tc>
        <w:tc>
          <w:tcPr>
            <w:tcW w:type="dxa" w:w="1728"/>
          </w:tcPr>
          <w:p>
            <w:r>
              <w:rPr>
                <w:sz w:val="18"/>
                <w:szCs w:val="18"/>
              </w:rPr>
              <w:t>1.552</w:t>
            </w:r>
          </w:p>
        </w:tc>
        <w:tc>
          <w:tcPr>
            <w:tcW w:type="dxa" w:w="1728"/>
          </w:tcPr>
          <w:p>
            <w:r>
              <w:rPr>
                <w:sz w:val="18"/>
                <w:szCs w:val="18"/>
              </w:rPr>
              <w:t>1,205,193</w:t>
            </w:r>
          </w:p>
        </w:tc>
        <w:tc>
          <w:tcPr>
            <w:tcW w:type="dxa" w:w="1728"/>
          </w:tcPr>
          <w:p>
            <w:r>
              <w:rPr>
                <w:sz w:val="18"/>
                <w:szCs w:val="18"/>
              </w:rPr>
              <w:t>776,712</w:t>
            </w:r>
          </w:p>
        </w:tc>
        <w:tc>
          <w:tcPr>
            <w:tcW w:type="dxa" w:w="1728"/>
          </w:tcPr>
          <w:p>
            <w:r>
              <w:rPr>
                <w:sz w:val="18"/>
                <w:szCs w:val="18"/>
              </w:rPr>
              <w:t>Sustained net-deflationary</w:t>
            </w:r>
          </w:p>
        </w:tc>
      </w:tr>
      <w:tr>
        <w:trPr>
          <w:cantSplit/>
        </w:trPr>
        <w:tc>
          <w:tcPr>
            <w:tcW w:type="dxa" w:w="1728"/>
          </w:tcPr>
          <w:p>
            <w:r>
              <w:rPr>
                <w:sz w:val="18"/>
                <w:szCs w:val="18"/>
              </w:rPr>
              <w:t>Feb 2026</w:t>
            </w:r>
          </w:p>
        </w:tc>
        <w:tc>
          <w:tcPr>
            <w:tcW w:type="dxa" w:w="1728"/>
          </w:tcPr>
          <w:p>
            <w:r>
              <w:rPr>
                <w:sz w:val="18"/>
                <w:szCs w:val="18"/>
              </w:rPr>
              <w:t>1.841</w:t>
            </w:r>
          </w:p>
        </w:tc>
        <w:tc>
          <w:tcPr>
            <w:tcW w:type="dxa" w:w="1728"/>
          </w:tcPr>
          <w:p>
            <w:r>
              <w:rPr>
                <w:sz w:val="18"/>
                <w:szCs w:val="18"/>
              </w:rPr>
              <w:t>1,144,240</w:t>
            </w:r>
          </w:p>
        </w:tc>
        <w:tc>
          <w:tcPr>
            <w:tcW w:type="dxa" w:w="1728"/>
          </w:tcPr>
          <w:p>
            <w:r>
              <w:rPr>
                <w:sz w:val="18"/>
                <w:szCs w:val="18"/>
              </w:rPr>
              <w:t>621,370</w:t>
            </w:r>
          </w:p>
        </w:tc>
        <w:tc>
          <w:tcPr>
            <w:tcW w:type="dxa" w:w="1728"/>
          </w:tcPr>
          <w:p>
            <w:r>
              <w:rPr>
                <w:sz w:val="18"/>
                <w:szCs w:val="18"/>
              </w:rPr>
              <w:t>Burns at ~1.8x issuance</w:t>
            </w:r>
          </w:p>
        </w:tc>
      </w:tr>
    </w:tbl>
    <w:p>
      <w:r>
        <w:rPr>
          <w:b w:val="0"/>
          <w:i/>
        </w:rPr>
        <w:t>Table 3. Helium monthly S2R trajectory (May 2023 to February 2026, N = 34).</w:t>
      </w:r>
    </w:p>
    <w:p>
      <w:pPr>
        <w:pStyle w:val="Heading3"/>
      </w:pPr>
      <w:r>
        <w:t>5.1.2 Who Burns? Demand Concentration</w:t>
      </w:r>
    </w:p>
    <w:p>
      <w:r>
        <w:rPr/>
        <w:t>Dune Analytics [8] validation reveals that HNT burns are highly concentrated. The top 5 burn-signing addresses account for approximately 90% of total HNT burned across the 34-month observation window. The single largest address (Bi5JuJD…) processed 41% of all burns (3.25 million HNT) in only 180 transactions, consistent with institutional or treasury Data Credit purchases rather than grassroots operator demand. The second-largest signer (tasky4vv…, 2.25 million HNT in 43,600+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dominant burn signer ceased purchasing Data Credits, Helium’s S2R would fall from 1.84 to approximately 0.62 within one month, returning the protocol to subsidy dependence regardless of how governance tokens are distributed. The concentration risk is compounded by roster instability: the dominant February 2026 signer (66.4% of monthly burns) was not active before November 2025, having displaced the prior leading address, which fell from 45.4% of cumulative burns to under 1% of February volume. Governance concentration and demand concentration are therefore independent failure modes: the first determines who controls protocol rules, the second determines who controls protocol revenue.</w:t>
      </w:r>
    </w:p>
    <w:p>
      <w:r>
        <w:t xml:space="preserve">Industrial organization theory formalizes this demand-concentration risk as protocol oligopsony [26]: when a small number of governance token holders unilaterally control emission rates and reward parameters, they function as monopsonist buyers of operator infrastructure services. When buyer power exceeds the efficient threshold, the resulting input-price markdown causes operator exit and network contraction, the supply-side abandonment pattern documented above and predicted by the health dashboard’s demand-concentration guardrails (Section 6.3).</w:t>
      </w:r>
    </w:p>
    <w:p>
      <w:pPr>
        <w:jc w:val="center"/>
      </w:pPr>
      <w:r>
        <w:drawing>
          <wp:inline xmlns:a="http://schemas.openxmlformats.org/drawingml/2006/main" xmlns:pic="http://schemas.openxmlformats.org/drawingml/2006/picture" distT="0" distB="0" distL="0" distR="0">
            <wp:extent cx="4572000" cy="3271800"/>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271800"/>
                    </a:xfrm>
                  </pic:spPr>
                </pic:pic>
              </a:graphicData>
            </a:graphic>
          </wp:inline>
        </w:drawing>
      </w:r>
    </w:p>
    <w:p>
      <w:pPr>
        <w:jc w:val="center"/>
      </w:pPr>
      <w:r>
        <w:rPr>
          <w:i/>
        </w:rPr>
        <w:t xml:space="preserve">Figure 2. Helium "Who Burns?": top burn addresses by Data Credit volume (2024).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6.3)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Hypothesis mapping: The strongest single case for the service-over-presence principle. The S2R trajectory from 0.013 post-migration (May 2023) to 1.84 in February 2026 (with burns exceeding issuance since October 2025) demonstrates that shifting from presence-based to service-based rewards can transform a network from deeply inflationary to structurally deflationary.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Hypotheses 3.3 (sinks before faucets: the burn mechanism was necessary but insufficient without demand) and 3.5 (polycentric governance enabled the pivot via community-voted HIPs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r>
        <w:rPr/>
        <w:t xml:space="preserve">Rad et al. [58] independently corroborate this trajectory, demonstrating empirically that long-term token valuation in Helium’s burn-and-mint ecosystem depends on actual data transmission metrics rather than hardware deployment scale alone.</w:t>
      </w:r>
    </w:p>
    <w:p>
      <w:pPr>
        <w:pStyle w:val="Heading3"/>
      </w:pPr>
      <w:r>
        <w:t>5.1.3 Hypothesis Mapping</w:t>
      </w:r>
    </w:p>
    <w:p>
      <w:r>
        <w:rPr>
          <w:b w:val="0"/>
        </w:rPr>
        <w:t>The Helium case provides the strongest single-protocol evidence for two design principles: sinks before faucets, demonstrated by the S2R trajectory crossing parity only after demand-coupled burns were deployed; and service over presence, demonstrated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w:t>
        <w:br/>
        <w:t>After excluding the DIMO Foundation address (verified via Blockscout, holding approximately 55% of supply with no on-chain governance activity), DIMO’s governance HHI drops from 0.305 to 0.038 [34]. Post-exclusion, DIMO is among the least concentrated DePIN governance tokens in the 40-protocol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Design lesson: DIMO illustrates the sink-before-scale principle (Section 2.2): the Developer License burn was operational before aggressive hardware distribution, ensuring token demand scaled with genuine data consumption. Pre-exclusion governance concentration (HHI 0.305, reduced to 0.038 post-exclusion) represents the structural risk that bicameral governance (Section 6)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(users burn tokens to purchase service credits; operators earn newly minted tokens for providing service) similar to Helium's DC system. Map Credits are purchased with HONEY (burned), and contributors earn HONEY for submitting verified imagery. MIP-7 introduced tiered pricing based on map freshness and coverage. Dune Analytics queries (February 2026) yield S2R = 0.183 (1.9M HONEY burned against 10.4M minted), confirming that the burn mechanism is active but that Hivemapper remains subsidy-dependent: burns offset less than one-fifth of issuance. The mechanism design is structurally similar to Helium's DC burn model, and the measurable S2R places Hivemapper in the growth-phase cohort between subsidy-dependent protocols (S2R near zero) and fiscally self-sustaining pairs (Helium at 1.84, DIMO at 4.24).</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6.3)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IoTeX operates a purpose-built Layer-1 blockchain optimized for Internet of Things devices and DePIN applications. The platform [16]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IoTeX employs an EIP-1559 [5]-style gas fee burn mechanism on its native L1 chain. Transaction fee [17]s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Enterprise clients (50+, including Quectel and DroneDeploy) purchase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Foundation revenue (after a 50/50 share with third-party resellers on indirect channels) purchases GEOD on the open market and burns it, creating a demand-coupled sink whose effective burn rate ranges from 40% of gross revenue (reseller channels) to 80% (direct sales). Dune Analytics [8] queries on Solana SPL token burn instructions reveal 15.1 million GEOD burned since the Solana migration (September 2024), with monthly burns ranging from 163,000 GEOD (October 2024, early migration) to 2.17 million GEOD (January 2025, peak). February 2026 burns totaled 1.34 million GEOD, yielding the S2R of 0.62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A demand-concentration analysis (the “Who Burns?” methodology from Section 5.1.2) reveals that GEODNET’s burn demand is substantially less concentrated than Helium’s: the top-5 burn signers account for 40.4% of total burns (burn-signer HHI 0.055), compared to Helium’s top-5 at approximately 90% (burn-signer HHI 0.27). The top-1 GEODNET signer holds 9.4% of burns versus Helium’s 43%. This difference is structurally informative: GEODNET’s subscription model distributes burn demand across dozens of enterprise clients, whereas Helium’s carrier-contract model concentrates burns in a few large institutional purchasers. The finding directly supports the health dashboard’s recommendation (Section 6.3) that demand concentration should be monitored alongside S2R: GEODNET’s lower burn concentration suggests greater demand-side resilience to single-buyer departure.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The S2R accelerated from approximately 0.15 in mid-2024 to 0.62 by early 2026 [32], exceeding Hivemapper (0.183) and approaching the trajectory that Helium followed before crossing fiscal parity. By early 2026, the network spanned 5,802 cities with median station earnings of $47.63 per month [32], and weekly GEOD burns had reached 1.06 million tokens.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enterprise client base (50+ organizations) and the non-discretionary nature of precision positioning for autonomous systems suggest demand resilience beyond speculative token use.</w:t>
      </w:r>
    </w:p>
    <w:p>
      <w:r>
        <w:t xml:space="preserve">The trajectory is not monotonic: accelerating vesting unlocks in Q2 2025 (monthly unlocks rose 60% from 23 million to 30 million tokens as team and investor allocations vested) temporarily overwhelmed subscription burn growth, collapsing the absorption rate despite a scheduled June 30 halving that cut mining rewards by 50% [45]. By January 2026, subscription growth had partially restored absorption to 62%. This pattern exposes a supply-side risk the S2R metric does not capture: vesting-driven dilution operates independently of emission schedules and can overwhelm organic demand even when the protocol’s mining rewards are contracting.</w:t>
      </w:r>
    </w:p>
    <w:p>
      <w:pPr>
        <w:jc w:val="center"/>
      </w:pPr>
      <w:r>
        <w:drawing>
          <wp:inline xmlns:a="http://schemas.openxmlformats.org/drawingml/2006/main" xmlns:pic="http://schemas.openxmlformats.org/drawingml/2006/picture" distT="0" distB="0" distL="0" distR="0">
            <wp:extent cx="4572000" cy="26819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681965"/>
                    </a:xfrm>
                  </pic:spPr>
                </pic:pic>
              </a:graphicData>
            </a:graphic>
          </wp:inline>
        </w:drawing>
      </w:r>
    </w:p>
    <w:p>
      <w:pPr>
        <w:jc w:val="center"/>
      </w:pPr>
      <w:r>
        <w:rPr>
          <w:i/>
        </w:rPr>
        <w:t xml:space="preserve">Figure 3. GEODNET cumulative burn trajectory (2022–2025). Dashed line marks the BME crossover (S2R = 1.0); shaded region indicates net-deflationary quarters.</w:t>
      </w:r>
    </w:p>
    <w:p>
      <w:r>
        <w:t xml:space="preserve">By early 2026, the network spanned 5,802 cities with median station earnings of $47.63 per month [32], and weekly GEOD burns had reached 1.06 million tokens.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 The burn-concentration finding extends the design lesson: GEODNET’s subscription-based burn model produces a burn-signer HHI (0.055) that is approximately one-fifth of Helium’s (0.27), suggesting that subscription-based demand architectures may be structurally more resilient than carrier-contract models, a testable hypothesis for the cross-protocol program outlined in Section 7.4.</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8640"/>
        <w:tblLook w:firstColumn="1" w:firstRow="1" w:lastColumn="0" w:lastRow="0" w:noHBand="0" w:noVBand="1" w:val="04A0"/>
        <w:jc w:val="center"/>
        <w:tblCellMar>
          <w:top w:type="dxa" w:w="20"/>
          <w:left w:type="dxa" w:w="60"/>
          <w:bottom w:type="dxa" w:w="20"/>
          <w:right w:type="dxa" w:w="60"/>
        </w:tblCellMar>
      </w:tblPr>
      <w:tblGrid>
        <w:gridCol w:w="1394"/>
        <w:gridCol w:w="1208"/>
        <w:gridCol w:w="1301"/>
        <w:gridCol w:w="650"/>
        <w:gridCol w:w="743"/>
        <w:gridCol w:w="1022"/>
        <w:gridCol w:w="2322"/>
      </w:tblGrid>
      <w:tr>
        <w:trPr>
          <w:cantSplit/>
        </w:trPr>
        <w:tc>
          <w:tcPr>
            <w:tcW w:type="dxa" w:w="1394"/>
          </w:tcPr>
          <w:p>
            <w:r>
              <w:rPr>
                <w:b/>
                <w:sz w:val="16"/>
                <w:szCs w:val="16"/>
              </w:rPr>
              <w:t>Protocol</w:t>
            </w:r>
          </w:p>
        </w:tc>
        <w:tc>
          <w:tcPr>
            <w:tcW w:type="dxa" w:w="1208"/>
          </w:tcPr>
          <w:p>
            <w:r>
              <w:rPr>
                <w:b/>
                <w:sz w:val="16"/>
                <w:szCs w:val="16"/>
              </w:rPr>
              <w:t>Service</w:t>
            </w:r>
          </w:p>
        </w:tc>
        <w:tc>
          <w:tcPr>
            <w:tcW w:type="dxa" w:w="1301"/>
          </w:tcPr>
          <w:p>
            <w:r>
              <w:rPr>
                <w:b/>
                <w:sz w:val="16"/>
                <w:szCs w:val="16"/>
              </w:rPr>
              <w:t>Sink Type</w:t>
            </w:r>
          </w:p>
        </w:tc>
        <w:tc>
          <w:tcPr>
            <w:tcW w:type="dxa" w:w="650"/>
          </w:tcPr>
          <w:p>
            <w:r>
              <w:rPr>
                <w:b/>
                <w:sz w:val="16"/>
                <w:szCs w:val="16"/>
              </w:rPr>
              <w:t>S2R</w:t>
            </w:r>
          </w:p>
        </w:tc>
        <w:tc>
          <w:tcPr>
            <w:tcW w:type="dxa" w:w="743"/>
          </w:tcPr>
          <w:p>
            <w:r>
              <w:rPr>
                <w:b/>
                <w:sz w:val="16"/>
                <w:szCs w:val="16"/>
              </w:rPr>
              <w:t>Gov HHI</w:t>
            </w:r>
          </w:p>
        </w:tc>
        <w:tc>
          <w:tcPr>
            <w:tcW w:type="dxa" w:w="1022"/>
          </w:tcPr>
          <w:p>
            <w:r>
              <w:rPr>
                <w:b/>
                <w:sz w:val="16"/>
                <w:szCs w:val="16"/>
              </w:rPr>
              <w:t>Subsidy Risk</w:t>
            </w:r>
          </w:p>
        </w:tc>
        <w:tc>
          <w:tcPr>
            <w:tcW w:type="dxa" w:w="2323"/>
          </w:tcPr>
          <w:p>
            <w:r>
              <w:rPr>
                <w:b/>
                <w:sz w:val="16"/>
                <w:szCs w:val="16"/>
              </w:rPr>
              <w:t>Key Finding</w:t>
            </w:r>
          </w:p>
        </w:tc>
        <w:trPr>
          <w:cantSplit/>
          <w:tblHeader/>
        </w:trPr>
      </w:tr>
      <w:tr>
        <w:trPr>
          <w:cantSplit/>
        </w:trPr>
        <w:tc>
          <w:tcPr>
            <w:tcW w:type="dxa" w:w="1394"/>
          </w:tcPr>
          <w:p>
            <w:r>
              <w:rPr>
                <w:sz w:val="16"/>
                <w:szCs w:val="16"/>
              </w:rPr>
              <w:t>Filecoin</w:t>
            </w:r>
          </w:p>
        </w:tc>
        <w:tc>
          <w:tcPr>
            <w:tcW w:type="dxa" w:w="1208"/>
          </w:tcPr>
          <w:p>
            <w:r>
              <w:rPr>
                <w:sz w:val="16"/>
                <w:szCs w:val="16"/>
              </w:rPr>
              <w:t>Storage</w:t>
            </w:r>
          </w:p>
        </w:tc>
        <w:tc>
          <w:tcPr>
            <w:tcW w:type="dxa" w:w="1301"/>
          </w:tcPr>
          <w:p>
            <w:r>
              <w:rPr>
                <w:sz w:val="16"/>
                <w:szCs w:val="16"/>
              </w:rPr>
              <w:t>Collateral + burn</w:t>
            </w:r>
          </w:p>
        </w:tc>
        <w:tc>
          <w:tcPr>
            <w:tcW w:type="dxa" w:w="650"/>
          </w:tcPr>
          <w:p>
            <w:r>
              <w:rPr>
                <w:sz w:val="16"/>
                <w:szCs w:val="16"/>
              </w:rPr>
              <w:t>~0.045</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Strong verification; low S2R (0.045)</w:t>
            </w:r>
          </w:p>
        </w:tc>
      </w:tr>
      <w:tr>
        <w:trPr>
          <w:cantSplit/>
        </w:trPr>
        <w:tc>
          <w:tcPr>
            <w:tcW w:type="dxa" w:w="1394"/>
          </w:tcPr>
          <w:p>
            <w:r>
              <w:rPr>
                <w:sz w:val="16"/>
                <w:szCs w:val="16"/>
              </w:rPr>
              <w:t>Livepeer</w:t>
            </w:r>
          </w:p>
        </w:tc>
        <w:tc>
          <w:tcPr>
            <w:tcW w:type="dxa" w:w="1208"/>
          </w:tcPr>
          <w:p>
            <w:r>
              <w:rPr>
                <w:sz w:val="16"/>
                <w:szCs w:val="16"/>
              </w:rPr>
              <w:t>Video transcode</w:t>
            </w:r>
          </w:p>
        </w:tc>
        <w:tc>
          <w:tcPr>
            <w:tcW w:type="dxa" w:w="1301"/>
          </w:tcPr>
          <w:p>
            <w:r>
              <w:rPr>
                <w:sz w:val="16"/>
                <w:szCs w:val="16"/>
              </w:rPr>
              <w:t>Fee routing</w:t>
            </w:r>
          </w:p>
        </w:tc>
        <w:tc>
          <w:tcPr>
            <w:tcW w:type="dxa" w:w="650"/>
          </w:tcPr>
          <w:p>
            <w:r>
              <w:rPr>
                <w:sz w:val="16"/>
                <w:szCs w:val="16"/>
              </w:rPr>
              <w:t>~0</w:t>
            </w:r>
          </w:p>
        </w:tc>
        <w:tc>
          <w:tcPr>
            <w:tcW w:type="dxa" w:w="743"/>
          </w:tcPr>
          <w:p>
            <w:r>
              <w:rPr>
                <w:sz w:val="16"/>
                <w:szCs w:val="16"/>
              </w:rPr>
              <w:t>–</w:t>
            </w:r>
          </w:p>
        </w:tc>
        <w:tc>
          <w:tcPr>
            <w:tcW w:type="dxa" w:w="1022"/>
          </w:tcPr>
          <w:p>
            <w:r>
              <w:rPr>
                <w:sz w:val="16"/>
                <w:szCs w:val="16"/>
              </w:rPr>
              <w:t>Low</w:t>
            </w:r>
          </w:p>
        </w:tc>
        <w:tc>
          <w:tcPr>
            <w:tcW w:type="dxa" w:w="2323"/>
          </w:tcPr>
          <w:p>
            <w:r>
              <w:rPr>
                <w:sz w:val="16"/>
                <w:szCs w:val="16"/>
              </w:rPr>
              <w:t>Orchestrator competition drives cost advantage</w:t>
            </w:r>
          </w:p>
        </w:tc>
      </w:tr>
      <w:tr>
        <w:trPr>
          <w:cantSplit/>
        </w:trPr>
        <w:tc>
          <w:tcPr>
            <w:tcW w:type="dxa" w:w="1394"/>
          </w:tcPr>
          <w:p>
            <w:r>
              <w:rPr>
                <w:sz w:val="16"/>
                <w:szCs w:val="16"/>
              </w:rPr>
              <w:t>Hivemapper</w:t>
            </w:r>
          </w:p>
        </w:tc>
        <w:tc>
          <w:tcPr>
            <w:tcW w:type="dxa" w:w="1208"/>
          </w:tcPr>
          <w:p>
            <w:r>
              <w:rPr>
                <w:sz w:val="16"/>
                <w:szCs w:val="16"/>
              </w:rPr>
              <w:t>Street mapping</w:t>
            </w:r>
          </w:p>
        </w:tc>
        <w:tc>
          <w:tcPr>
            <w:tcW w:type="dxa" w:w="1301"/>
          </w:tcPr>
          <w:p>
            <w:r>
              <w:rPr>
                <w:sz w:val="16"/>
                <w:szCs w:val="16"/>
              </w:rPr>
              <w:t>Map credit burn</w:t>
            </w:r>
          </w:p>
        </w:tc>
        <w:tc>
          <w:tcPr>
            <w:tcW w:type="dxa" w:w="650"/>
          </w:tcPr>
          <w:p>
            <w:r>
              <w:rPr>
                <w:sz w:val="16"/>
                <w:szCs w:val="16"/>
              </w:rPr>
              <w:t>0.183</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Freshness advantage; S2R 0.183 (Dune Feb 2026)</w:t>
            </w:r>
          </w:p>
        </w:tc>
      </w:tr>
      <w:tr>
        <w:trPr>
          <w:cantSplit/>
        </w:trPr>
        <w:tc>
          <w:tcPr>
            <w:tcW w:type="dxa" w:w="1394"/>
          </w:tcPr>
          <w:p>
            <w:r>
              <w:rPr>
                <w:sz w:val="16"/>
                <w:szCs w:val="16"/>
              </w:rPr>
              <w:t>GEODNET</w:t>
            </w:r>
          </w:p>
        </w:tc>
        <w:tc>
          <w:tcPr>
            <w:tcW w:type="dxa" w:w="1208"/>
          </w:tcPr>
          <w:p>
            <w:r>
              <w:rPr>
                <w:sz w:val="16"/>
                <w:szCs w:val="16"/>
              </w:rPr>
              <w:t>RTK positioning</w:t>
            </w:r>
          </w:p>
        </w:tc>
        <w:tc>
          <w:tcPr>
            <w:tcW w:type="dxa" w:w="1301"/>
          </w:tcPr>
          <w:p>
            <w:r>
              <w:rPr>
                <w:sz w:val="16"/>
                <w:szCs w:val="16"/>
              </w:rPr>
              <w:t>Subscription burn</w:t>
            </w:r>
          </w:p>
        </w:tc>
        <w:tc>
          <w:tcPr>
            <w:tcW w:type="dxa" w:w="650"/>
          </w:tcPr>
          <w:p>
            <w:r>
              <w:rPr>
                <w:sz w:val="16"/>
                <w:szCs w:val="16"/>
              </w:rPr>
              <w:t>0.62</w:t>
            </w:r>
          </w:p>
        </w:tc>
        <w:tc>
          <w:tcPr>
            <w:tcW w:type="dxa" w:w="743"/>
          </w:tcPr>
          <w:p>
            <w:r>
              <w:rPr>
                <w:sz w:val="16"/>
                <w:szCs w:val="16"/>
              </w:rPr>
              <w:t>0.14*</w:t>
            </w:r>
          </w:p>
        </w:tc>
        <w:tc>
          <w:tcPr>
            <w:tcW w:type="dxa" w:w="1022"/>
          </w:tcPr>
          <w:p>
            <w:r>
              <w:rPr>
                <w:sz w:val="16"/>
                <w:szCs w:val="16"/>
              </w:rPr>
              <w:t>Medium</w:t>
            </w:r>
          </w:p>
        </w:tc>
        <w:tc>
          <w:tcPr>
            <w:tcW w:type="dxa" w:w="2323"/>
          </w:tcPr>
          <w:p>
            <w:r>
              <w:rPr>
                <w:sz w:val="16"/>
                <w:szCs w:val="16"/>
              </w:rPr>
              <w:t>S2R 0.62; burn Top-5 = 40.4% (Section 5.2.5)</w:t>
            </w:r>
          </w:p>
        </w:tc>
      </w:tr>
      <w:tr>
        <w:trPr>
          <w:cantSplit/>
        </w:trPr>
        <w:tc>
          <w:tcPr>
            <w:tcW w:type="dxa" w:w="1394"/>
          </w:tcPr>
          <w:p>
            <w:r>
              <w:rPr>
                <w:sz w:val="16"/>
                <w:szCs w:val="16"/>
              </w:rPr>
              <w:t>Anyone</w:t>
            </w:r>
          </w:p>
        </w:tc>
        <w:tc>
          <w:tcPr>
            <w:tcW w:type="dxa" w:w="1208"/>
          </w:tcPr>
          <w:p>
            <w:r>
              <w:rPr>
                <w:sz w:val="16"/>
                <w:szCs w:val="16"/>
              </w:rPr>
              <w:t>VPN/relay</w:t>
            </w:r>
          </w:p>
        </w:tc>
        <w:tc>
          <w:tcPr>
            <w:tcW w:type="dxa" w:w="1301"/>
          </w:tcPr>
          <w:p>
            <w:r>
              <w:rPr>
                <w:sz w:val="16"/>
                <w:szCs w:val="16"/>
              </w:rPr>
              <w:t>Token burn</w:t>
            </w:r>
          </w:p>
        </w:tc>
        <w:tc>
          <w:tcPr>
            <w:tcW w:type="dxa" w:w="650"/>
          </w:tcPr>
          <w:p>
            <w:r>
              <w:rPr>
                <w:sz w:val="16"/>
                <w:szCs w:val="16"/>
              </w:rPr>
              <w:t>~0</w:t>
            </w:r>
          </w:p>
        </w:tc>
        <w:tc>
          <w:tcPr>
            <w:tcW w:type="dxa" w:w="743"/>
          </w:tcPr>
          <w:p>
            <w:r>
              <w:rPr>
                <w:sz w:val="16"/>
                <w:szCs w:val="16"/>
              </w:rPr>
              <w:t>0.034</w:t>
            </w:r>
          </w:p>
        </w:tc>
        <w:tc>
          <w:tcPr>
            <w:tcW w:type="dxa" w:w="1022"/>
          </w:tcPr>
          <w:p>
            <w:r>
              <w:rPr>
                <w:sz w:val="16"/>
                <w:szCs w:val="16"/>
              </w:rPr>
              <w:t>High</w:t>
            </w:r>
          </w:p>
        </w:tc>
        <w:tc>
          <w:tcPr>
            <w:tcW w:type="dxa" w:w="2323"/>
          </w:tcPr>
          <w:p>
            <w:r>
              <w:rPr>
                <w:sz w:val="16"/>
                <w:szCs w:val="16"/>
              </w:rPr>
              <w:t>Most diffuse governance in DePIN sample</w:t>
            </w:r>
          </w:p>
        </w:tc>
      </w:tr>
      <w:tr>
        <w:trPr>
          <w:cantSplit/>
        </w:trPr>
        <w:tc>
          <w:tcPr>
            <w:tcW w:type="dxa" w:w="1394"/>
          </w:tcPr>
          <w:p>
            <w:r>
              <w:rPr>
                <w:sz w:val="16"/>
                <w:szCs w:val="16"/>
              </w:rPr>
              <w:t>Grass</w:t>
            </w:r>
          </w:p>
        </w:tc>
        <w:tc>
          <w:tcPr>
            <w:tcW w:type="dxa" w:w="1208"/>
          </w:tcPr>
          <w:p>
            <w:r>
              <w:rPr>
                <w:sz w:val="16"/>
                <w:szCs w:val="16"/>
              </w:rPr>
              <w:t>AI training data</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0.119</w:t>
            </w:r>
          </w:p>
        </w:tc>
        <w:tc>
          <w:tcPr>
            <w:tcW w:type="dxa" w:w="1022"/>
          </w:tcPr>
          <w:p>
            <w:r>
              <w:rPr>
                <w:sz w:val="16"/>
                <w:szCs w:val="16"/>
              </w:rPr>
              <w:t>Critical</w:t>
            </w:r>
          </w:p>
        </w:tc>
        <w:tc>
          <w:tcPr>
            <w:tcW w:type="dxa" w:w="2323"/>
          </w:tcPr>
          <w:p>
            <w:r>
              <w:rPr>
                <w:sz w:val="16"/>
                <w:szCs w:val="16"/>
              </w:rPr>
              <w:t>No burn mechanism; Gini 0.96; AI positioning</w:t>
            </w:r>
          </w:p>
        </w:tc>
      </w:tr>
      <w:tr>
        <w:trPr>
          <w:cantSplit/>
        </w:trPr>
        <w:tc>
          <w:tcPr>
            <w:tcW w:type="dxa" w:w="1394"/>
          </w:tcPr>
          <w:p>
            <w:r>
              <w:rPr>
                <w:sz w:val="16"/>
                <w:szCs w:val="16"/>
              </w:rPr>
              <w:t>UpRock</w:t>
            </w:r>
          </w:p>
        </w:tc>
        <w:tc>
          <w:tcPr>
            <w:tcW w:type="dxa" w:w="1208"/>
          </w:tcPr>
          <w:p>
            <w:r>
              <w:rPr>
                <w:sz w:val="16"/>
                <w:szCs w:val="16"/>
              </w:rPr>
              <w:t>Bandwidth</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w:t>
            </w:r>
          </w:p>
        </w:tc>
        <w:tc>
          <w:tcPr>
            <w:tcW w:type="dxa" w:w="1022"/>
          </w:tcPr>
          <w:p>
            <w:r>
              <w:rPr>
                <w:sz w:val="16"/>
                <w:szCs w:val="16"/>
              </w:rPr>
              <w:t>Critical</w:t>
            </w:r>
          </w:p>
        </w:tc>
        <w:tc>
          <w:tcPr>
            <w:tcW w:type="dxa" w:w="2323"/>
          </w:tcPr>
          <w:p>
            <w:r>
              <w:rPr>
                <w:sz w:val="16"/>
                <w:szCs w:val="16"/>
              </w:rPr>
              <w:t>Pre-revenue; data-insufficient</w:t>
            </w:r>
          </w:p>
        </w:tc>
      </w:tr>
      <w:tr>
        <w:trPr>
          <w:cantSplit/>
        </w:trPr>
        <w:tc>
          <w:tcPr>
            <w:tcW w:type="dxa" w:w="1394"/>
          </w:tcPr>
          <w:p>
            <w:r>
              <w:rPr>
                <w:sz w:val="16"/>
                <w:szCs w:val="16"/>
              </w:rPr>
              <w:t>Wayru/WiFiDabba</w:t>
            </w:r>
          </w:p>
        </w:tc>
        <w:tc>
          <w:tcPr>
            <w:tcW w:type="dxa" w:w="1208"/>
          </w:tcPr>
          <w:p>
            <w:r>
              <w:rPr>
                <w:sz w:val="16"/>
                <w:szCs w:val="16"/>
              </w:rPr>
              <w:t>WiFi</w:t>
            </w:r>
          </w:p>
        </w:tc>
        <w:tc>
          <w:tcPr>
            <w:tcW w:type="dxa" w:w="1301"/>
          </w:tcPr>
          <w:p>
            <w:r>
              <w:rPr>
                <w:sz w:val="16"/>
                <w:szCs w:val="16"/>
              </w:rPr>
              <w:t>Micro-payments</w:t>
            </w:r>
          </w:p>
        </w:tc>
        <w:tc>
          <w:tcPr>
            <w:tcW w:type="dxa" w:w="650"/>
          </w:tcPr>
          <w:p>
            <w:r>
              <w:rPr>
                <w:sz w:val="16"/>
                <w:szCs w:val="16"/>
              </w:rPr>
              <w:t>–</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Last-mile focus; data-insufficient</w:t>
            </w:r>
          </w:p>
        </w:tc>
      </w:tr>
      <w:tr>
        <w:trPr>
          <w:cantSplit/>
        </w:trPr>
        <w:tc>
          <w:tcPr>
            <w:tcW w:type="dxa" w:w="1394"/>
          </w:tcPr>
          <w:p>
            <w:r>
              <w:rPr>
                <w:sz w:val="16"/>
                <w:szCs w:val="16"/>
              </w:rPr>
              <w:t>CUDIS</w:t>
            </w:r>
          </w:p>
        </w:tc>
        <w:tc>
          <w:tcPr>
            <w:tcW w:type="dxa" w:w="1208"/>
          </w:tcPr>
          <w:p>
            <w:r>
              <w:rPr>
                <w:sz w:val="16"/>
                <w:szCs w:val="16"/>
              </w:rPr>
              <w:t>Health data</w:t>
            </w:r>
          </w:p>
        </w:tc>
        <w:tc>
          <w:tcPr>
            <w:tcW w:type="dxa" w:w="1301"/>
          </w:tcPr>
          <w:p>
            <w:r>
              <w:rPr>
                <w:sz w:val="16"/>
                <w:szCs w:val="16"/>
              </w:rPr>
              <w:t>Data marketplace</w:t>
            </w:r>
          </w:p>
        </w:tc>
        <w:tc>
          <w:tcPr>
            <w:tcW w:type="dxa" w:w="650"/>
          </w:tcPr>
          <w:p>
            <w:r>
              <w:rPr>
                <w:sz w:val="16"/>
                <w:szCs w:val="16"/>
              </w:rPr>
              <w:t>–</w:t>
            </w:r>
          </w:p>
        </w:tc>
        <w:tc>
          <w:tcPr>
            <w:tcW w:type="dxa" w:w="743"/>
          </w:tcPr>
          <w:p>
            <w:r>
              <w:rPr>
                <w:sz w:val="16"/>
                <w:szCs w:val="16"/>
              </w:rPr>
              <w:t>–</w:t>
            </w:r>
          </w:p>
        </w:tc>
        <w:tc>
          <w:tcPr>
            <w:tcW w:type="dxa" w:w="1022"/>
          </w:tcPr>
          <w:p>
            <w:r>
              <w:rPr>
                <w:sz w:val="16"/>
                <w:szCs w:val="16"/>
              </w:rPr>
              <w:t>High</w:t>
            </w:r>
          </w:p>
        </w:tc>
        <w:tc>
          <w:tcPr>
            <w:tcW w:type="dxa" w:w="2323"/>
          </w:tcPr>
          <w:p>
            <w:r>
              <w:rPr>
                <w:sz w:val="16"/>
                <w:szCs w:val="16"/>
              </w:rPr>
              <w:t>Privacy-critical health data; regulatory compliance constraints</w:t>
            </w:r>
          </w:p>
        </w:tc>
      </w:tr>
      <w:tr>
        <w:trPr>
          <w:cantSplit/>
        </w:trPr>
        <w:tc>
          <w:tcPr>
            <w:tcW w:type="dxa" w:w="1394"/>
          </w:tcPr>
          <w:p>
            <w:r>
              <w:rPr>
                <w:sz w:val="16"/>
                <w:szCs w:val="16"/>
              </w:rPr>
              <w:t>Render</w:t>
            </w:r>
          </w:p>
        </w:tc>
        <w:tc>
          <w:tcPr>
            <w:tcW w:type="dxa" w:w="1208"/>
          </w:tcPr>
          <w:p>
            <w:r>
              <w:rPr>
                <w:sz w:val="16"/>
                <w:szCs w:val="16"/>
              </w:rPr>
              <w:t>GPU compute</w:t>
            </w:r>
          </w:p>
        </w:tc>
        <w:tc>
          <w:tcPr>
            <w:tcW w:type="dxa" w:w="1301"/>
          </w:tcPr>
          <w:p>
            <w:r>
              <w:rPr>
                <w:sz w:val="16"/>
                <w:szCs w:val="16"/>
              </w:rPr>
              <w:t>Fee burn</w:t>
            </w:r>
          </w:p>
        </w:tc>
        <w:tc>
          <w:tcPr>
            <w:tcW w:type="dxa" w:w="650"/>
          </w:tcPr>
          <w:p>
            <w:r>
              <w:rPr>
                <w:sz w:val="16"/>
                <w:szCs w:val="16"/>
              </w:rPr>
              <w:t>–</w:t>
            </w:r>
          </w:p>
        </w:tc>
        <w:tc>
          <w:tcPr>
            <w:tcW w:type="dxa" w:w="743"/>
          </w:tcPr>
          <w:p>
            <w:r>
              <w:rPr>
                <w:sz w:val="16"/>
                <w:szCs w:val="16"/>
              </w:rPr>
              <w:t>–</w:t>
            </w:r>
          </w:p>
        </w:tc>
        <w:tc>
          <w:tcPr>
            <w:tcW w:type="dxa" w:w="1022"/>
          </w:tcPr>
          <w:p>
            <w:r>
              <w:rPr>
                <w:sz w:val="16"/>
                <w:szCs w:val="16"/>
              </w:rPr>
              <w:t>Low</w:t>
            </w:r>
          </w:p>
        </w:tc>
        <w:tc>
          <w:tcPr>
            <w:tcW w:type="dxa" w:w="2323"/>
          </w:tcPr>
          <w:p>
            <w:r>
              <w:rPr>
                <w:sz w:val="16"/>
                <w:szCs w:val="16"/>
              </w:rPr>
              <w:t>DeVIN benchmark; institutional operators</w:t>
            </w:r>
          </w:p>
        </w:tc>
      </w:tr>
    </w:tbl>
    <w:p>
      <w:r>
        <w:rPr>
          <w:b w:val="0"/>
        </w:rPr>
        <w:t>Table 4. Comparative protocol summary. ", " = not measured; "N/A" = not applicable; "data-insufficient" = on-chain observability missing or schema prevents computation.</w:t>
      </w:r>
    </w:p>
    <w:p>
      <w:r>
        <w:rPr>
          <w:b w:val="0"/>
        </w:rPr>
        <w:t xml:space="preserve">A three-tier sustainability hierarchy emerges from the comparative summary (Table 4). At the top, Helium (S2R 1.84) and DIMO (S2R 4.24) have crossed fiscal parity, with burns exceeding issuance. In a growth-phase middle tier, GEODNET (S2R 0.62)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(peak S2R = 0.008),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 xml:space="preserve">Empirical performance analysis indicates that DePIN serverless architectures can match or exceed centralized cloud providers in computational efficiency while reducing reliance on centralized trust assumptions [57], consistent with the unit economics advantages documented in Table 5.</w:t>
      </w:r>
    </w:p>
    <w:p>
      <w:r>
        <w:rPr/>
        <w:t xml:space="preserve">Field deployment of decentralized LoRaWAN environmental sensors in Nairobi achieved a 99.6% reduction in operational networking costs relative to legacy 4G telecom alternatives [59], the largest empirical cost advantage documented for DePIN infrastructure in a low-resource urban environment.</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411"/>
        <w:gridCol w:w="1587"/>
        <w:gridCol w:w="970"/>
        <w:gridCol w:w="1587"/>
        <w:gridCol w:w="970"/>
        <w:gridCol w:w="793"/>
        <w:gridCol w:w="1322"/>
      </w:tblGrid>
      <w:tr>
        <w:trPr>
          <w:cantSplit/>
        </w:trPr>
        <w:tc>
          <w:tcPr>
            <w:tcW w:type="dxa" w:w="1411"/>
          </w:tcPr>
          <w:p>
            <w:r>
              <w:rPr>
                <w:b/>
                <w:sz w:val="16"/>
                <w:szCs w:val="16"/>
              </w:rPr>
              <w:t>Domain</w:t>
            </w:r>
          </w:p>
        </w:tc>
        <w:tc>
          <w:tcPr>
            <w:tcW w:type="dxa" w:w="1587"/>
          </w:tcPr>
          <w:p>
            <w:r>
              <w:rPr>
                <w:b/>
                <w:sz w:val="16"/>
                <w:szCs w:val="16"/>
              </w:rPr>
              <w:t>DePIN Network</w:t>
            </w:r>
          </w:p>
        </w:tc>
        <w:tc>
          <w:tcPr>
            <w:tcW w:type="dxa" w:w="970"/>
          </w:tcPr>
          <w:p>
            <w:r>
              <w:rPr>
                <w:b/>
                <w:sz w:val="16"/>
                <w:szCs w:val="16"/>
              </w:rPr>
              <w:t>DePIN Price</w:t>
            </w:r>
          </w:p>
        </w:tc>
        <w:tc>
          <w:tcPr>
            <w:tcW w:type="dxa" w:w="1587"/>
          </w:tcPr>
          <w:p>
            <w:r>
              <w:rPr>
                <w:b/>
                <w:sz w:val="16"/>
                <w:szCs w:val="16"/>
              </w:rPr>
              <w:t>Web2 Comparator</w:t>
            </w:r>
          </w:p>
        </w:tc>
        <w:tc>
          <w:tcPr>
            <w:tcW w:type="dxa" w:w="970"/>
          </w:tcPr>
          <w:p>
            <w:r>
              <w:rPr>
                <w:b/>
                <w:sz w:val="16"/>
                <w:szCs w:val="16"/>
              </w:rPr>
              <w:t>Web2 Price</w:t>
            </w:r>
          </w:p>
        </w:tc>
        <w:tc>
          <w:tcPr>
            <w:tcW w:type="dxa" w:w="793"/>
          </w:tcPr>
          <w:p>
            <w:r>
              <w:rPr>
                <w:b/>
                <w:sz w:val="16"/>
                <w:szCs w:val="16"/>
              </w:rPr>
              <w:t>Discount</w:t>
            </w:r>
          </w:p>
        </w:tc>
        <w:tc>
          <w:tcPr>
            <w:tcW w:type="dxa" w:w="1322"/>
          </w:tcPr>
          <w:p>
            <w:r>
              <w:rPr>
                <w:b/>
                <w:sz w:val="16"/>
                <w:szCs w:val="16"/>
              </w:rPr>
              <w:t>Subsidy Risk</w:t>
            </w:r>
          </w:p>
        </w:tc>
        <w:trPr>
          <w:cantSplit/>
          <w:tblHeader/>
        </w:trPr>
      </w:tr>
      <w:tr>
        <w:trPr>
          <w:cantSplit/>
        </w:trPr>
        <w:tc>
          <w:tcPr>
            <w:tcW w:type="dxa" w:w="1411"/>
          </w:tcPr>
          <w:p>
            <w:r>
              <w:rPr>
                <w:sz w:val="16"/>
                <w:szCs w:val="16"/>
              </w:rPr>
              <w:t>IoT (LoRaWAN)</w:t>
            </w:r>
          </w:p>
        </w:tc>
        <w:tc>
          <w:tcPr>
            <w:tcW w:type="dxa" w:w="1587"/>
          </w:tcPr>
          <w:p>
            <w:r>
              <w:rPr>
                <w:sz w:val="16"/>
                <w:szCs w:val="16"/>
              </w:rPr>
              <w:t>Helium IoT</w:t>
            </w:r>
          </w:p>
        </w:tc>
        <w:tc>
          <w:tcPr>
            <w:tcW w:type="dxa" w:w="970"/>
          </w:tcPr>
          <w:p>
            <w:r>
              <w:rPr>
                <w:sz w:val="16"/>
                <w:szCs w:val="16"/>
              </w:rPr>
              <w:t>$0.00001/packet</w:t>
            </w:r>
          </w:p>
        </w:tc>
        <w:tc>
          <w:tcPr>
            <w:tcW w:type="dxa" w:w="1587"/>
          </w:tcPr>
          <w:p>
            <w:r>
              <w:rPr>
                <w:sz w:val="16"/>
                <w:szCs w:val="16"/>
              </w:rPr>
              <w:t>Senet</w:t>
            </w:r>
          </w:p>
        </w:tc>
        <w:tc>
          <w:tcPr>
            <w:tcW w:type="dxa" w:w="970"/>
          </w:tcPr>
          <w:p>
            <w:r>
              <w:rPr>
                <w:sz w:val="16"/>
                <w:szCs w:val="16"/>
              </w:rPr>
              <w:t>~$0.0008/packet</w:t>
            </w:r>
          </w:p>
        </w:tc>
        <w:tc>
          <w:tcPr>
            <w:tcW w:type="dxa" w:w="793"/>
          </w:tcPr>
          <w:p>
            <w:r>
              <w:rPr>
                <w:sz w:val="16"/>
                <w:szCs w:val="16"/>
              </w:rPr>
              <w:t>~80x</w:t>
            </w:r>
          </w:p>
        </w:tc>
        <w:tc>
          <w:tcPr>
            <w:tcW w:type="dxa" w:w="1322"/>
          </w:tcPr>
          <w:p>
            <w:r>
              <w:rPr>
                <w:sz w:val="16"/>
                <w:szCs w:val="16"/>
              </w:rPr>
              <w:t>Medium</w:t>
            </w:r>
          </w:p>
        </w:tc>
      </w:tr>
      <w:tr>
        <w:trPr>
          <w:cantSplit/>
        </w:trPr>
        <w:tc>
          <w:tcPr>
            <w:tcW w:type="dxa" w:w="1411"/>
          </w:tcPr>
          <w:p>
            <w:r>
              <w:rPr>
                <w:sz w:val="16"/>
                <w:szCs w:val="16"/>
              </w:rPr>
              <w:t>Mobile 5G</w:t>
            </w:r>
          </w:p>
        </w:tc>
        <w:tc>
          <w:tcPr>
            <w:tcW w:type="dxa" w:w="1587"/>
          </w:tcPr>
          <w:p>
            <w:r>
              <w:rPr>
                <w:sz w:val="16"/>
                <w:szCs w:val="16"/>
              </w:rPr>
              <w:t>Helium Mobile</w:t>
            </w:r>
          </w:p>
        </w:tc>
        <w:tc>
          <w:tcPr>
            <w:tcW w:type="dxa" w:w="970"/>
          </w:tcPr>
          <w:p>
            <w:r>
              <w:rPr>
                <w:sz w:val="16"/>
                <w:szCs w:val="16"/>
              </w:rPr>
              <w:t>$30/mo unlimited</w:t>
            </w:r>
          </w:p>
        </w:tc>
        <w:tc>
          <w:tcPr>
            <w:tcW w:type="dxa" w:w="1587"/>
          </w:tcPr>
          <w:p>
            <w:r>
              <w:rPr>
                <w:sz w:val="16"/>
                <w:szCs w:val="16"/>
              </w:rPr>
              <w:t>T-Mobile</w:t>
            </w:r>
          </w:p>
        </w:tc>
        <w:tc>
          <w:tcPr>
            <w:tcW w:type="dxa" w:w="970"/>
          </w:tcPr>
          <w:p>
            <w:r>
              <w:rPr>
                <w:sz w:val="16"/>
                <w:szCs w:val="16"/>
              </w:rPr>
              <w:t>$70/mo unlimited</w:t>
            </w:r>
          </w:p>
        </w:tc>
        <w:tc>
          <w:tcPr>
            <w:tcW w:type="dxa" w:w="793"/>
          </w:tcPr>
          <w:p>
            <w:r>
              <w:rPr>
                <w:sz w:val="16"/>
                <w:szCs w:val="16"/>
              </w:rPr>
              <w:t>~57%</w:t>
            </w:r>
          </w:p>
        </w:tc>
        <w:tc>
          <w:tcPr>
            <w:tcW w:type="dxa" w:w="1322"/>
          </w:tcPr>
          <w:p>
            <w:r>
              <w:rPr>
                <w:sz w:val="16"/>
                <w:szCs w:val="16"/>
              </w:rPr>
              <w:t>High</w:t>
            </w:r>
          </w:p>
        </w:tc>
      </w:tr>
      <w:tr>
        <w:trPr>
          <w:cantSplit/>
        </w:trPr>
        <w:tc>
          <w:tcPr>
            <w:tcW w:type="dxa" w:w="1411"/>
          </w:tcPr>
          <w:p>
            <w:r>
              <w:rPr>
                <w:sz w:val="16"/>
                <w:szCs w:val="16"/>
              </w:rPr>
              <w:t>Video transcode</w:t>
            </w:r>
          </w:p>
        </w:tc>
        <w:tc>
          <w:tcPr>
            <w:tcW w:type="dxa" w:w="1587"/>
          </w:tcPr>
          <w:p>
            <w:r>
              <w:rPr>
                <w:sz w:val="16"/>
                <w:szCs w:val="16"/>
              </w:rPr>
              <w:t>Livepeer</w:t>
            </w:r>
          </w:p>
        </w:tc>
        <w:tc>
          <w:tcPr>
            <w:tcW w:type="dxa" w:w="970"/>
          </w:tcPr>
          <w:p>
            <w:r>
              <w:rPr>
                <w:sz w:val="16"/>
                <w:szCs w:val="16"/>
              </w:rPr>
              <w:t>$0.005/min</w:t>
            </w:r>
          </w:p>
        </w:tc>
        <w:tc>
          <w:tcPr>
            <w:tcW w:type="dxa" w:w="1587"/>
          </w:tcPr>
          <w:p>
            <w:r>
              <w:rPr>
                <w:sz w:val="16"/>
                <w:szCs w:val="16"/>
              </w:rPr>
              <w:t>AWS MediaConvert</w:t>
            </w:r>
          </w:p>
        </w:tc>
        <w:tc>
          <w:tcPr>
            <w:tcW w:type="dxa" w:w="970"/>
          </w:tcPr>
          <w:p>
            <w:r>
              <w:rPr>
                <w:sz w:val="16"/>
                <w:szCs w:val="16"/>
              </w:rPr>
              <w:t>$0.024/min</w:t>
            </w:r>
          </w:p>
        </w:tc>
        <w:tc>
          <w:tcPr>
            <w:tcW w:type="dxa" w:w="793"/>
          </w:tcPr>
          <w:p>
            <w:r>
              <w:rPr>
                <w:sz w:val="16"/>
                <w:szCs w:val="16"/>
              </w:rPr>
              <w:t>50-80%</w:t>
            </w:r>
          </w:p>
        </w:tc>
        <w:tc>
          <w:tcPr>
            <w:tcW w:type="dxa" w:w="1322"/>
          </w:tcPr>
          <w:p>
            <w:r>
              <w:rPr>
                <w:sz w:val="16"/>
                <w:szCs w:val="16"/>
              </w:rPr>
              <w:t>Medium</w:t>
            </w:r>
          </w:p>
        </w:tc>
      </w:tr>
      <w:tr>
        <w:trPr>
          <w:cantSplit/>
        </w:trPr>
        <w:tc>
          <w:tcPr>
            <w:tcW w:type="dxa" w:w="1411"/>
          </w:tcPr>
          <w:p>
            <w:r>
              <w:rPr>
                <w:sz w:val="16"/>
                <w:szCs w:val="16"/>
              </w:rPr>
              <w:t>Storage</w:t>
            </w:r>
          </w:p>
        </w:tc>
        <w:tc>
          <w:tcPr>
            <w:tcW w:type="dxa" w:w="1587"/>
          </w:tcPr>
          <w:p>
            <w:r>
              <w:rPr>
                <w:sz w:val="16"/>
                <w:szCs w:val="16"/>
              </w:rPr>
              <w:t>Filecoin</w:t>
            </w:r>
          </w:p>
        </w:tc>
        <w:tc>
          <w:tcPr>
            <w:tcW w:type="dxa" w:w="970"/>
          </w:tcPr>
          <w:p>
            <w:r>
              <w:rPr>
                <w:sz w:val="16"/>
                <w:szCs w:val="16"/>
              </w:rPr>
              <w:t>~$0.01/GB-month</w:t>
            </w:r>
          </w:p>
        </w:tc>
        <w:tc>
          <w:tcPr>
            <w:tcW w:type="dxa" w:w="1587"/>
          </w:tcPr>
          <w:p>
            <w:r>
              <w:rPr>
                <w:sz w:val="16"/>
                <w:szCs w:val="16"/>
              </w:rPr>
              <w:t>AWS S3</w:t>
            </w:r>
          </w:p>
        </w:tc>
        <w:tc>
          <w:tcPr>
            <w:tcW w:type="dxa" w:w="970"/>
          </w:tcPr>
          <w:p>
            <w:r>
              <w:rPr>
                <w:sz w:val="16"/>
                <w:szCs w:val="16"/>
              </w:rPr>
              <w:t>$0.023/GB-month</w:t>
            </w:r>
          </w:p>
        </w:tc>
        <w:tc>
          <w:tcPr>
            <w:tcW w:type="dxa" w:w="793"/>
          </w:tcPr>
          <w:p>
            <w:r>
              <w:rPr>
                <w:sz w:val="16"/>
                <w:szCs w:val="16"/>
              </w:rPr>
              <w:t>&gt;50%</w:t>
            </w:r>
          </w:p>
        </w:tc>
        <w:tc>
          <w:tcPr>
            <w:tcW w:type="dxa" w:w="1322"/>
          </w:tcPr>
          <w:p>
            <w:r>
              <w:rPr>
                <w:sz w:val="16"/>
                <w:szCs w:val="16"/>
              </w:rPr>
              <w:t>Low-Medium</w:t>
            </w:r>
          </w:p>
        </w:tc>
      </w:tr>
      <w:tr>
        <w:trPr>
          <w:cantSplit/>
        </w:trPr>
        <w:tc>
          <w:tcPr>
            <w:tcW w:type="dxa" w:w="1411"/>
          </w:tcPr>
          <w:p>
            <w:r>
              <w:rPr>
                <w:sz w:val="16"/>
                <w:szCs w:val="16"/>
              </w:rPr>
              <w:t>Mapping</w:t>
            </w:r>
          </w:p>
        </w:tc>
        <w:tc>
          <w:tcPr>
            <w:tcW w:type="dxa" w:w="1587"/>
          </w:tcPr>
          <w:p>
            <w:r>
              <w:rPr>
                <w:sz w:val="16"/>
                <w:szCs w:val="16"/>
              </w:rPr>
              <w:t>Hivemapper</w:t>
            </w:r>
          </w:p>
        </w:tc>
        <w:tc>
          <w:tcPr>
            <w:tcW w:type="dxa" w:w="970"/>
          </w:tcPr>
          <w:p>
            <w:r>
              <w:rPr>
                <w:sz w:val="16"/>
                <w:szCs w:val="16"/>
              </w:rPr>
              <w:t>~$5/1000 tiles</w:t>
            </w:r>
          </w:p>
        </w:tc>
        <w:tc>
          <w:tcPr>
            <w:tcW w:type="dxa" w:w="1587"/>
          </w:tcPr>
          <w:p>
            <w:r>
              <w:rPr>
                <w:sz w:val="16"/>
                <w:szCs w:val="16"/>
              </w:rPr>
              <w:t>Google Maps API</w:t>
            </w:r>
          </w:p>
        </w:tc>
        <w:tc>
          <w:tcPr>
            <w:tcW w:type="dxa" w:w="970"/>
          </w:tcPr>
          <w:p>
            <w:r>
              <w:rPr>
                <w:sz w:val="16"/>
                <w:szCs w:val="16"/>
              </w:rPr>
              <w:t>$7/1000 loads</w:t>
            </w:r>
          </w:p>
        </w:tc>
        <w:tc>
          <w:tcPr>
            <w:tcW w:type="dxa" w:w="793"/>
          </w:tcPr>
          <w:p>
            <w:r>
              <w:rPr>
                <w:sz w:val="16"/>
                <w:szCs w:val="16"/>
              </w:rPr>
              <w:t>~29%</w:t>
            </w:r>
          </w:p>
        </w:tc>
        <w:tc>
          <w:tcPr>
            <w:tcW w:type="dxa" w:w="1322"/>
          </w:tcPr>
          <w:p>
            <w:r>
              <w:rPr>
                <w:sz w:val="16"/>
                <w:szCs w:val="16"/>
              </w:rPr>
              <w:t>Medium</w:t>
            </w:r>
          </w:p>
        </w:tc>
      </w:tr>
      <w:tr>
        <w:trPr>
          <w:cantSplit/>
        </w:trPr>
        <w:tc>
          <w:tcPr>
            <w:tcW w:type="dxa" w:w="1411"/>
          </w:tcPr>
          <w:p>
            <w:r>
              <w:rPr>
                <w:sz w:val="16"/>
                <w:szCs w:val="16"/>
              </w:rPr>
              <w:t>Bandwidth/proxy</w:t>
            </w:r>
          </w:p>
        </w:tc>
        <w:tc>
          <w:tcPr>
            <w:tcW w:type="dxa" w:w="1587"/>
          </w:tcPr>
          <w:p>
            <w:r>
              <w:rPr>
                <w:sz w:val="16"/>
                <w:szCs w:val="16"/>
              </w:rPr>
              <w:t>UpRock</w:t>
            </w:r>
          </w:p>
        </w:tc>
        <w:tc>
          <w:tcPr>
            <w:tcW w:type="dxa" w:w="970"/>
          </w:tcPr>
          <w:p>
            <w:r>
              <w:rPr>
                <w:sz w:val="16"/>
                <w:szCs w:val="16"/>
              </w:rPr>
              <w:t>~$1.50/GB</w:t>
            </w:r>
          </w:p>
        </w:tc>
        <w:tc>
          <w:tcPr>
            <w:tcW w:type="dxa" w:w="1587"/>
          </w:tcPr>
          <w:p>
            <w:r>
              <w:rPr>
                <w:sz w:val="16"/>
                <w:szCs w:val="16"/>
              </w:rPr>
              <w:t>Bright Data</w:t>
            </w:r>
          </w:p>
        </w:tc>
        <w:tc>
          <w:tcPr>
            <w:tcW w:type="dxa" w:w="970"/>
          </w:tcPr>
          <w:p>
            <w:r>
              <w:rPr>
                <w:sz w:val="16"/>
                <w:szCs w:val="16"/>
              </w:rPr>
              <w:t>$12.75/GB</w:t>
            </w:r>
          </w:p>
        </w:tc>
        <w:tc>
          <w:tcPr>
            <w:tcW w:type="dxa" w:w="793"/>
          </w:tcPr>
          <w:p>
            <w:r>
              <w:rPr>
                <w:sz w:val="16"/>
                <w:szCs w:val="16"/>
              </w:rPr>
              <w:t>8.5x</w:t>
            </w:r>
          </w:p>
        </w:tc>
        <w:tc>
          <w:tcPr>
            <w:tcW w:type="dxa" w:w="1322"/>
          </w:tcPr>
          <w:p>
            <w:r>
              <w:rPr>
                <w:sz w:val="16"/>
                <w:szCs w:val="16"/>
              </w:rPr>
              <w:t>High</w:t>
            </w:r>
          </w:p>
        </w:tc>
      </w:tr>
      <w:tr>
        <w:trPr>
          <w:cantSplit/>
        </w:trPr>
        <w:tc>
          <w:tcPr>
            <w:tcW w:type="dxa" w:w="1411"/>
          </w:tcPr>
          <w:p>
            <w:r>
              <w:rPr>
                <w:sz w:val="16"/>
                <w:szCs w:val="16"/>
              </w:rPr>
              <w:t>AI data</w:t>
            </w:r>
          </w:p>
        </w:tc>
        <w:tc>
          <w:tcPr>
            <w:tcW w:type="dxa" w:w="1587"/>
          </w:tcPr>
          <w:p>
            <w:r>
              <w:rPr>
                <w:sz w:val="16"/>
                <w:szCs w:val="16"/>
              </w:rPr>
              <w:t>Grass</w:t>
            </w:r>
          </w:p>
        </w:tc>
        <w:tc>
          <w:tcPr>
            <w:tcW w:type="dxa" w:w="970"/>
          </w:tcPr>
          <w:p>
            <w:r>
              <w:rPr>
                <w:sz w:val="16"/>
                <w:szCs w:val="16"/>
              </w:rPr>
              <w:t>Indirect (tokens)</w:t>
            </w:r>
          </w:p>
        </w:tc>
        <w:tc>
          <w:tcPr>
            <w:tcW w:type="dxa" w:w="1587"/>
          </w:tcPr>
          <w:p>
            <w:r>
              <w:rPr>
                <w:sz w:val="16"/>
                <w:szCs w:val="16"/>
              </w:rPr>
              <w:t>Scale AI</w:t>
            </w:r>
          </w:p>
        </w:tc>
        <w:tc>
          <w:tcPr>
            <w:tcW w:type="dxa" w:w="970"/>
          </w:tcPr>
          <w:p>
            <w:r>
              <w:rPr>
                <w:sz w:val="16"/>
                <w:szCs w:val="16"/>
              </w:rPr>
              <w:t>$25-40/hr</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Vehicle data</w:t>
            </w:r>
          </w:p>
        </w:tc>
        <w:tc>
          <w:tcPr>
            <w:tcW w:type="dxa" w:w="1587"/>
          </w:tcPr>
          <w:p>
            <w:r>
              <w:rPr>
                <w:sz w:val="16"/>
                <w:szCs w:val="16"/>
              </w:rPr>
              <w:t>DIMO</w:t>
            </w:r>
          </w:p>
        </w:tc>
        <w:tc>
          <w:tcPr>
            <w:tcW w:type="dxa" w:w="970"/>
          </w:tcPr>
          <w:p>
            <w:r>
              <w:rPr>
                <w:sz w:val="16"/>
                <w:szCs w:val="16"/>
              </w:rPr>
              <w:t>Free (earn tokens)</w:t>
            </w:r>
          </w:p>
        </w:tc>
        <w:tc>
          <w:tcPr>
            <w:tcW w:type="dxa" w:w="1587"/>
          </w:tcPr>
          <w:p>
            <w:r>
              <w:rPr>
                <w:sz w:val="16"/>
                <w:szCs w:val="16"/>
              </w:rPr>
              <w:t>Otonomo</w:t>
            </w:r>
          </w:p>
        </w:tc>
        <w:tc>
          <w:tcPr>
            <w:tcW w:type="dxa" w:w="970"/>
          </w:tcPr>
          <w:p>
            <w:r>
              <w:rPr>
                <w:sz w:val="16"/>
                <w:szCs w:val="16"/>
              </w:rPr>
              <w:t>$0.50-3/veh/mo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Weather data</w:t>
            </w:r>
          </w:p>
        </w:tc>
        <w:tc>
          <w:tcPr>
            <w:tcW w:type="dxa" w:w="1587"/>
          </w:tcPr>
          <w:p>
            <w:r>
              <w:rPr>
                <w:sz w:val="16"/>
                <w:szCs w:val="16"/>
              </w:rPr>
              <w:t>WeatherXM</w:t>
            </w:r>
          </w:p>
        </w:tc>
        <w:tc>
          <w:tcPr>
            <w:tcW w:type="dxa" w:w="970"/>
          </w:tcPr>
          <w:p>
            <w:r>
              <w:rPr>
                <w:sz w:val="16"/>
                <w:szCs w:val="16"/>
              </w:rPr>
              <w:t>~$0.01/API call</w:t>
            </w:r>
          </w:p>
        </w:tc>
        <w:tc>
          <w:tcPr>
            <w:tcW w:type="dxa" w:w="1587"/>
          </w:tcPr>
          <w:p>
            <w:r>
              <w:rPr>
                <w:sz w:val="16"/>
                <w:szCs w:val="16"/>
              </w:rPr>
              <w:t>Tomorrow.io</w:t>
            </w:r>
          </w:p>
        </w:tc>
        <w:tc>
          <w:tcPr>
            <w:tcW w:type="dxa" w:w="970"/>
          </w:tcPr>
          <w:p>
            <w:r>
              <w:rPr>
                <w:sz w:val="16"/>
                <w:szCs w:val="16"/>
              </w:rPr>
              <w:t>$0.05-0.20/call</w:t>
            </w:r>
          </w:p>
        </w:tc>
        <w:tc>
          <w:tcPr>
            <w:tcW w:type="dxa" w:w="793"/>
          </w:tcPr>
          <w:p>
            <w:r>
              <w:rPr>
                <w:sz w:val="16"/>
                <w:szCs w:val="16"/>
              </w:rPr>
              <w:t>10x</w:t>
            </w:r>
          </w:p>
        </w:tc>
        <w:tc>
          <w:tcPr>
            <w:tcW w:type="dxa" w:w="1322"/>
          </w:tcPr>
          <w:p>
            <w:r>
              <w:rPr>
                <w:sz w:val="16"/>
                <w:szCs w:val="16"/>
              </w:rPr>
              <w:t>Medium</w:t>
            </w:r>
          </w:p>
        </w:tc>
      </w:tr>
      <w:tr>
        <w:trPr>
          <w:cantSplit/>
        </w:trPr>
        <w:tc>
          <w:tcPr>
            <w:tcW w:type="dxa" w:w="1411"/>
          </w:tcPr>
          <w:p>
            <w:r>
              <w:rPr>
                <w:sz w:val="16"/>
                <w:szCs w:val="16"/>
              </w:rPr>
              <w:t>VPN relay</w:t>
            </w:r>
          </w:p>
        </w:tc>
        <w:tc>
          <w:tcPr>
            <w:tcW w:type="dxa" w:w="1587"/>
          </w:tcPr>
          <w:p>
            <w:r>
              <w:rPr>
                <w:sz w:val="16"/>
                <w:szCs w:val="16"/>
              </w:rPr>
              <w:t>Anyone</w:t>
            </w:r>
          </w:p>
        </w:tc>
        <w:tc>
          <w:tcPr>
            <w:tcW w:type="dxa" w:w="970"/>
          </w:tcPr>
          <w:p>
            <w:r>
              <w:rPr>
                <w:sz w:val="16"/>
                <w:szCs w:val="16"/>
              </w:rPr>
              <w:t>Free relay (earn)</w:t>
            </w:r>
          </w:p>
        </w:tc>
        <w:tc>
          <w:tcPr>
            <w:tcW w:type="dxa" w:w="1587"/>
          </w:tcPr>
          <w:p>
            <w:r>
              <w:rPr>
                <w:sz w:val="16"/>
                <w:szCs w:val="16"/>
              </w:rPr>
              <w:t>NordVPN</w:t>
            </w:r>
          </w:p>
        </w:tc>
        <w:tc>
          <w:tcPr>
            <w:tcW w:type="dxa" w:w="970"/>
          </w:tcPr>
          <w:p>
            <w:r>
              <w:rPr>
                <w:sz w:val="16"/>
                <w:szCs w:val="16"/>
              </w:rPr>
              <w:t>$3.49-8.32/mo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Community WiFi</w:t>
            </w:r>
          </w:p>
        </w:tc>
        <w:tc>
          <w:tcPr>
            <w:tcW w:type="dxa" w:w="1587"/>
          </w:tcPr>
          <w:p>
            <w:r>
              <w:rPr>
                <w:sz w:val="16"/>
                <w:szCs w:val="16"/>
              </w:rPr>
              <w:t>Wayru/WiFiDabba</w:t>
            </w:r>
          </w:p>
        </w:tc>
        <w:tc>
          <w:tcPr>
            <w:tcW w:type="dxa" w:w="970"/>
          </w:tcPr>
          <w:p>
            <w:r>
              <w:rPr>
                <w:sz w:val="16"/>
                <w:szCs w:val="16"/>
              </w:rPr>
              <w:t>~$2-5/mo</w:t>
            </w:r>
          </w:p>
        </w:tc>
        <w:tc>
          <w:tcPr>
            <w:tcW w:type="dxa" w:w="1587"/>
          </w:tcPr>
          <w:p>
            <w:r>
              <w:rPr>
                <w:sz w:val="16"/>
                <w:szCs w:val="16"/>
              </w:rPr>
              <w:t>ISP retail</w:t>
            </w:r>
          </w:p>
        </w:tc>
        <w:tc>
          <w:tcPr>
            <w:tcW w:type="dxa" w:w="970"/>
          </w:tcPr>
          <w:p>
            <w:r>
              <w:rPr>
                <w:sz w:val="16"/>
                <w:szCs w:val="16"/>
              </w:rPr>
              <w:t>$15-30/mo</w:t>
            </w:r>
          </w:p>
        </w:tc>
        <w:tc>
          <w:tcPr>
            <w:tcW w:type="dxa" w:w="793"/>
          </w:tcPr>
          <w:p>
            <w:r>
              <w:rPr>
                <w:sz w:val="16"/>
                <w:szCs w:val="16"/>
              </w:rPr>
              <w:t>6.4x</w:t>
            </w:r>
          </w:p>
        </w:tc>
        <w:tc>
          <w:tcPr>
            <w:tcW w:type="dxa" w:w="1322"/>
          </w:tcPr>
          <w:p>
            <w:r>
              <w:rPr>
                <w:sz w:val="16"/>
                <w:szCs w:val="16"/>
              </w:rPr>
              <w:t>Med-High</w:t>
            </w:r>
          </w:p>
        </w:tc>
      </w:tr>
      <w:tr>
        <w:trPr>
          <w:cantSplit/>
        </w:trPr>
        <w:tc>
          <w:tcPr>
            <w:tcW w:type="dxa" w:w="1411"/>
          </w:tcPr>
          <w:p>
            <w:r>
              <w:rPr>
                <w:sz w:val="16"/>
                <w:szCs w:val="16"/>
              </w:rPr>
              <w:t>Wearable health</w:t>
            </w:r>
          </w:p>
        </w:tc>
        <w:tc>
          <w:tcPr>
            <w:tcW w:type="dxa" w:w="1587"/>
          </w:tcPr>
          <w:p>
            <w:r>
              <w:rPr>
                <w:sz w:val="16"/>
                <w:szCs w:val="16"/>
              </w:rPr>
              <w:t>CUDIS</w:t>
            </w:r>
          </w:p>
        </w:tc>
        <w:tc>
          <w:tcPr>
            <w:tcW w:type="dxa" w:w="970"/>
          </w:tcPr>
          <w:p>
            <w:r>
              <w:rPr>
                <w:sz w:val="16"/>
                <w:szCs w:val="16"/>
              </w:rPr>
              <w:t>~$69 ring</w:t>
            </w:r>
          </w:p>
        </w:tc>
        <w:tc>
          <w:tcPr>
            <w:tcW w:type="dxa" w:w="1587"/>
          </w:tcPr>
          <w:p>
            <w:r>
              <w:rPr>
                <w:sz w:val="16"/>
                <w:szCs w:val="16"/>
              </w:rPr>
              <w:t>Oura Ring</w:t>
            </w:r>
          </w:p>
        </w:tc>
        <w:tc>
          <w:tcPr>
            <w:tcW w:type="dxa" w:w="970"/>
          </w:tcPr>
          <w:p>
            <w:r>
              <w:rPr>
                <w:sz w:val="16"/>
                <w:szCs w:val="16"/>
              </w:rPr>
              <w:t>$299 + $6/mo</w:t>
            </w:r>
          </w:p>
        </w:tc>
        <w:tc>
          <w:tcPr>
            <w:tcW w:type="dxa" w:w="793"/>
          </w:tcPr>
          <w:p>
            <w:r>
              <w:rPr>
                <w:sz w:val="16"/>
                <w:szCs w:val="16"/>
              </w:rPr>
              <w:t>4.3x</w:t>
            </w:r>
          </w:p>
        </w:tc>
        <w:tc>
          <w:tcPr>
            <w:tcW w:type="dxa" w:w="1322"/>
          </w:tcPr>
          <w:p>
            <w:r>
              <w:rPr>
                <w:sz w:val="16"/>
                <w:szCs w:val="16"/>
              </w:rPr>
              <w:t>High</w:t>
            </w:r>
          </w:p>
        </w:tc>
      </w:tr>
      <w:tr>
        <w:trPr>
          <w:cantSplit/>
        </w:trPr>
        <w:tc>
          <w:tcPr>
            <w:tcW w:type="dxa" w:w="1411"/>
          </w:tcPr>
          <w:p>
            <w:r>
              <w:rPr>
                <w:sz w:val="16"/>
                <w:szCs w:val="16"/>
              </w:rPr>
              <w:t>IoT infra (L1)</w:t>
            </w:r>
          </w:p>
        </w:tc>
        <w:tc>
          <w:tcPr>
            <w:tcW w:type="dxa" w:w="1587"/>
          </w:tcPr>
          <w:p>
            <w:r>
              <w:rPr>
                <w:sz w:val="16"/>
                <w:szCs w:val="16"/>
              </w:rPr>
              <w:t>IoTeX</w:t>
            </w:r>
          </w:p>
        </w:tc>
        <w:tc>
          <w:tcPr>
            <w:tcW w:type="dxa" w:w="970"/>
          </w:tcPr>
          <w:p>
            <w:r>
              <w:rPr>
                <w:sz w:val="16"/>
                <w:szCs w:val="16"/>
              </w:rPr>
              <w:t>~$0.01/tx</w:t>
            </w:r>
          </w:p>
        </w:tc>
        <w:tc>
          <w:tcPr>
            <w:tcW w:type="dxa" w:w="1587"/>
          </w:tcPr>
          <w:p>
            <w:r>
              <w:rPr>
                <w:sz w:val="16"/>
                <w:szCs w:val="16"/>
              </w:rPr>
              <w:t>AWS IoT Core</w:t>
            </w:r>
          </w:p>
        </w:tc>
        <w:tc>
          <w:tcPr>
            <w:tcW w:type="dxa" w:w="970"/>
          </w:tcPr>
          <w:p>
            <w:r>
              <w:rPr>
                <w:sz w:val="16"/>
                <w:szCs w:val="16"/>
              </w:rPr>
              <w:t>$1/M msgs</w:t>
            </w:r>
          </w:p>
        </w:tc>
        <w:tc>
          <w:tcPr>
            <w:tcW w:type="dxa" w:w="793"/>
          </w:tcPr>
          <w:p>
            <w:r>
              <w:rPr>
                <w:sz w:val="16"/>
                <w:szCs w:val="16"/>
              </w:rPr>
              <w:t>N/A</w:t>
            </w:r>
          </w:p>
        </w:tc>
        <w:tc>
          <w:tcPr>
            <w:tcW w:type="dxa" w:w="1322"/>
          </w:tcPr>
          <w:p>
            <w:r>
              <w:rPr>
                <w:sz w:val="16"/>
                <w:szCs w:val="16"/>
              </w:rPr>
              <w:t>Medium</w:t>
            </w:r>
          </w:p>
        </w:tc>
      </w:tr>
    </w:tbl>
    <w:p>
      <w:r>
        <w:rPr>
          <w:b w:val="0"/>
          <w:i/>
        </w:rPr>
        <w:t>Table 5. DePIN vs. Web2 unit economics across 13 service domains.</w:t>
      </w:r>
    </w:p>
    <w:p>
      <w:pPr>
        <w:pStyle w:val="Heading2"/>
      </w:pPr>
      <w:r>
        <w:t>5.5 Governance Concentration</w:t>
      </w:r>
    </w:p>
    <w:p>
      <w:r>
        <w:rPr>
          <w:b w:val="0"/>
        </w:rPr>
        <w:t xml:space="preserve">Governance concentration across DePIN and DeFi protocols is analyzed in a companion cross-sectional study using Blockscout-verified exclusion methodology across 40 protocols [34]. That study documents that holding-based concentration is higher in DePIN than DeFi after protocol-controlled address exclusion (Mann-Whitney p = 0.031, Cohen’s d = 0.96), though the result is sensitive to sample composition. Delegation amplifies DePIN concentration 3 to 6 times above holding-based levels, while two infrastructure protocols diverge: Optimism 0.79x and Arbitrum 4.3x.  The present paper uses protocol-specific governance observations as inputs to the design playbook below.</w:t>
      </w:r>
    </w:p>
    <w:p>
      <w:pPr>
        <w:pStyle w:val="Heading1"/>
      </w:pPr>
      <w:r>
        <w:t>6. DESIGN PLAYBOOK</w:t>
      </w:r>
    </w:p>
    <w:p>
      <w:r>
        <w:rPr>
          <w:b w:val="0"/>
        </w:rPr>
        <w:t>Every design recommendation below ties to an empirical or architectural anchor from Section 5;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1.84), DIMO (4.24), GEODNET (0.62), and Hivemapper (0.183); Helium and DIMO have crossed fiscal parity (S2R ≥ 1.0), with GEODNET on an accelerating trajectory (Table 7). The normative framework motivating broader tokenomics design choices is developed in a companion study [34].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Subscription-based burns produce lower concentration than carrier contracts. GEODNET’s subscription model (Section 5.2.5) generates individually small but broadly distributed burns, contrasting with Helium’s carrier-contract dependence. Where service pricing must be predictable for enterprise buyers, a dual-token or credit-denominated model reduces reflexivity risk.</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6.2 The Subtraction Test [Proposal]</w:t>
      </w:r>
    </w:p>
    <w:p>
      <w:r>
        <w:rPr/>
        <w:t>Deploying all recommended mechanisms simultaneously would reproduce the premature complexity anti-pattern identified in Section 6.4.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demonstrates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6.3 DePIN Health Dashboard [Inferred]</w:t>
      </w:r>
    </w:p>
    <w:p>
      <w:r>
        <w:rPr/>
        <w:t>Drawing on the empirical data assembled in Section 5, Table 8 proposes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(1.84) but the top-5 burn signers account for approximately 90% of total burns. Analysts should apply this framing to every GeoDePIN with a burn mechanism. We propose tracking Top-5 burn share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4. Demand-concentration × S2R regime matrix for four GeoDePIN protocols. Quadrant boundaries: S2R = 1.0 (horizontal), HHI = 0.10 (vertical).</w:t>
      </w:r>
    </w:p>
    <w:p>
      <w:r>
        <w:rPr/>
        <w:t>Three metrics anchor the dashboard (Table 6). S2R ≥ 0.35 means at least one-third of emissions are offset by usage-linked burns or locks. Helium far exceeds this target (S2R 1.84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Top-5 burn share exceeds 80% for 6 consecutive months, activate counterparty risk mitigations (new enterprise buyers, retail usage bundles, corridor-level incentives). This trigger converts the “Who Burns?” caveat into a general governance control.</w:t>
      </w:r>
    </w:p>
    <w:p>
      <w:r>
        <w:t xml:space="preserve">Across four DePIN protocols with verified on-chain demand data, subscription-based burn models (GEODNET HHI = 0.055, DIMO HHI = 0.063) produce approximately four to five times less demand concentration than carrier or enterprise-contract models (Helium HHI = 0.27, Livepeer HHI = 0.31), a pattern consistent regardless of absolute revenue level or buyer count.</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GEODNET’s subscription model (HHI = 0.055) and DIMO’s license model (HHI = 0.063) produce four to five times less demand concentration, consistent with Resource Dependence Theory’s prediction that diversified revenue sources reduce buyer leverage. The Top-5 threshold of 80% proposed above translates this corporate finance insight into a protocol-specific monitoring trigger. The demand concentration diagnostic also captures an oligopsony risk identified in industrial organization theory: when a small number of buyers account for the majority of network revenue, their bargaining power compresses operator margins and constrains protocol governance, a dynamic that subscription models structurally mitigate through buyer fragmentation.</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000"/>
        <w:gridCol w:w="2000"/>
        <w:gridCol w:w="2400"/>
        <w:gridCol w:w="2240"/>
      </w:tblGrid>
      <w:tr>
        <w:trPr>
          <w:cantSplit/>
        </w:trPr>
        <w:tc>
          <w:tcPr>
            <w:tcW w:type="dxa" w:w="2160"/>
          </w:tcPr>
          <w:p>
            <w:r>
              <w:rPr>
                <w:b/>
                <w:sz w:val="18"/>
                <w:szCs w:val="18"/>
              </w:rPr>
              <w:t>Metric</w:t>
            </w:r>
          </w:p>
        </w:tc>
        <w:tc>
          <w:tcPr>
            <w:tcW w:type="dxa" w:w="2160"/>
          </w:tcPr>
          <w:p>
            <w:r>
              <w:rPr>
                <w:b/>
                <w:sz w:val="18"/>
                <w:szCs w:val="18"/>
              </w:rPr>
              <w:t>Target</w:t>
            </w:r>
          </w:p>
        </w:tc>
        <w:tc>
          <w:tcPr>
            <w:tcW w:type="dxa" w:w="2160"/>
          </w:tcPr>
          <w:p>
            <w:r>
              <w:rPr>
                <w:b/>
                <w:sz w:val="18"/>
                <w:szCs w:val="18"/>
              </w:rPr>
              <w:t>Helium Actual (Feb 2026)</w:t>
            </w:r>
          </w:p>
        </w:tc>
        <w:tc>
          <w:tcPr>
            <w:tcW w:type="dxa" w:w="2160"/>
          </w:tcPr>
          <w:p>
            <w:r>
              <w:rPr>
                <w:b/>
                <w:sz w:val="18"/>
                <w:szCs w:val="18"/>
              </w:rPr>
              <w:t>Basis</w:t>
            </w:r>
          </w:p>
        </w:tc>
      </w:tr>
      <w:tr>
        <w:trPr>
          <w:cantSplit/>
        </w:trPr>
        <w:tc>
          <w:tcPr>
            <w:tcW w:type="dxa" w:w="2160"/>
          </w:tcPr>
          <w:p>
            <w:r>
              <w:rPr>
                <w:sz w:val="18"/>
                <w:szCs w:val="18"/>
              </w:rPr>
              <w:t>S2R (burns only)</w:t>
            </w:r>
          </w:p>
        </w:tc>
        <w:tc>
          <w:tcPr>
            <w:tcW w:type="dxa" w:w="2160"/>
          </w:tcPr>
          <w:p>
            <w:r>
              <w:rPr>
                <w:sz w:val="18"/>
                <w:szCs w:val="18"/>
              </w:rPr>
              <w:t>≥ 0.35</w:t>
            </w:r>
          </w:p>
        </w:tc>
        <w:tc>
          <w:tcPr>
            <w:tcW w:type="dxa" w:w="2160"/>
          </w:tcPr>
          <w:p>
            <w:r>
              <w:rPr>
                <w:sz w:val="18"/>
                <w:szCs w:val="18"/>
              </w:rPr>
              <w:t>1.84 (far exceeds)</w:t>
            </w:r>
          </w:p>
        </w:tc>
        <w:tc>
          <w:tcPr>
            <w:tcW w:type="dxa" w:w="2160"/>
          </w:tcPr>
          <w:p>
            <w:r>
              <w:rPr>
                <w:sz w:val="18"/>
                <w:szCs w:val="18"/>
              </w:rPr>
              <w:t>&gt;1/3 of emissions offset by usage sinks</w:t>
            </w:r>
          </w:p>
        </w:tc>
      </w:tr>
      <w:tr>
        <w:trPr>
          <w:cantSplit/>
        </w:trPr>
        <w:tc>
          <w:tcPr>
            <w:tcW w:type="dxa" w:w="2160"/>
          </w:tcPr>
          <w:p>
            <w:r>
              <w:rPr>
                <w:sz w:val="18"/>
                <w:szCs w:val="18"/>
              </w:rPr>
              <w:t>Token stickiness</w:t>
            </w:r>
          </w:p>
        </w:tc>
        <w:tc>
          <w:tcPr>
            <w:tcW w:type="dxa" w:w="2160"/>
          </w:tcPr>
          <w:p>
            <w:r>
              <w:rPr>
                <w:sz w:val="18"/>
                <w:szCs w:val="18"/>
              </w:rPr>
              <w:t>≥ 60% at 4wk</w:t>
            </w:r>
          </w:p>
        </w:tc>
        <w:tc>
          <w:tcPr>
            <w:tcW w:type="dxa" w:w="2160"/>
          </w:tcPr>
          <w:p>
            <w:r>
              <w:rPr>
                <w:sz w:val="18"/>
                <w:szCs w:val="18"/>
              </w:rPr>
              <w:t>Unknown (improving)</w:t>
            </w:r>
          </w:p>
        </w:tc>
        <w:tc>
          <w:tcPr>
            <w:tcW w:type="dxa" w:w="2160"/>
          </w:tcPr>
          <w:p>
            <w:r>
              <w:rPr>
                <w:sz w:val="18"/>
                <w:szCs w:val="18"/>
              </w:rPr>
              <w:t>Standard retention benchmark</w:t>
            </w:r>
          </w:p>
        </w:tc>
      </w:tr>
      <w:tr>
        <w:trPr>
          <w:cantSplit/>
        </w:trPr>
        <w:tc>
          <w:tcPr>
            <w:tcW w:type="dxa" w:w="2160"/>
          </w:tcPr>
          <w:p>
            <w:r>
              <w:rPr>
                <w:sz w:val="18"/>
                <w:szCs w:val="18"/>
              </w:rPr>
              <w:t>Owner-user overlap</w:t>
            </w:r>
          </w:p>
        </w:tc>
        <w:tc>
          <w:tcPr>
            <w:tcW w:type="dxa" w:w="2160"/>
          </w:tcPr>
          <w:p>
            <w:r>
              <w:rPr>
                <w:sz w:val="18"/>
                <w:szCs w:val="18"/>
              </w:rPr>
              <w:t>≥ 20%</w:t>
            </w:r>
          </w:p>
        </w:tc>
        <w:tc>
          <w:tcPr>
            <w:tcW w:type="dxa" w:w="2160"/>
          </w:tcPr>
          <w:p>
            <w:r>
              <w:rPr>
                <w:sz w:val="18"/>
                <w:szCs w:val="18"/>
              </w:rPr>
              <w:t>Unknown (proxy only)</w:t>
            </w:r>
          </w:p>
        </w:tc>
        <w:tc>
          <w:tcPr>
            <w:tcW w:type="dxa" w:w="2160"/>
          </w:tcPr>
          <w:p>
            <w:r>
              <w:rPr>
                <w:sz w:val="18"/>
                <w:szCs w:val="18"/>
              </w:rPr>
              <w:t>Minimum alignment signal</w:t>
            </w:r>
          </w:p>
        </w:tc>
      </w:tr>
      <w:tr>
        <w:trPr>
          <w:cantSplit/>
        </w:trPr>
        <w:tc>
          <w:tcPr>
            <w:tcW w:type="dxa" w:w="2160"/>
          </w:tcPr>
          <w:p>
            <w:r>
              <w:rPr>
                <w:sz w:val="18"/>
                <w:szCs w:val="18"/>
              </w:rPr>
              <w:t>p95 node uptime</w:t>
            </w:r>
          </w:p>
        </w:tc>
        <w:tc>
          <w:tcPr>
            <w:tcW w:type="dxa" w:w="2160"/>
          </w:tcPr>
          <w:p>
            <w:r>
              <w:rPr>
                <w:sz w:val="18"/>
                <w:szCs w:val="18"/>
              </w:rPr>
              <w:t>≥ 95%</w:t>
            </w:r>
          </w:p>
        </w:tc>
        <w:tc>
          <w:tcPr>
            <w:tcW w:type="dxa" w:w="2160"/>
          </w:tcPr>
          <w:p>
            <w:r>
              <w:rPr>
                <w:sz w:val="18"/>
                <w:szCs w:val="18"/>
              </w:rPr>
              <w:t>~90% (dense), ~75% (sparse)</w:t>
            </w:r>
          </w:p>
        </w:tc>
        <w:tc>
          <w:tcPr>
            <w:tcW w:type="dxa" w:w="2160"/>
          </w:tcPr>
          <w:p>
            <w:r>
              <w:rPr>
                <w:sz w:val="18"/>
                <w:szCs w:val="18"/>
              </w:rPr>
              <w:t>Infrastructure reliability floor</w:t>
            </w:r>
          </w:p>
        </w:tc>
      </w:tr>
      <w:tr>
        <w:trPr>
          <w:cantSplit/>
        </w:trPr>
        <w:tc>
          <w:tcPr>
            <w:tcW w:type="dxa" w:w="2160"/>
          </w:tcPr>
          <w:p>
            <w:r>
              <w:rPr>
                <w:sz w:val="18"/>
                <w:szCs w:val="18"/>
              </w:rPr>
              <w:t>Post-incentive retention</w:t>
            </w:r>
          </w:p>
        </w:tc>
        <w:tc>
          <w:tcPr>
            <w:tcW w:type="dxa" w:w="2160"/>
          </w:tcPr>
          <w:p>
            <w:r>
              <w:rPr>
                <w:sz w:val="18"/>
                <w:szCs w:val="18"/>
              </w:rPr>
              <w:t>≥ 60% at 4wk</w:t>
            </w:r>
          </w:p>
        </w:tc>
        <w:tc>
          <w:tcPr>
            <w:tcW w:type="dxa" w:w="2160"/>
          </w:tcPr>
          <w:p>
            <w:r>
              <w:rPr>
                <w:sz w:val="18"/>
                <w:szCs w:val="18"/>
              </w:rPr>
              <w:t>Unknown</w:t>
            </w:r>
          </w:p>
        </w:tc>
        <w:tc>
          <w:tcPr>
            <w:tcW w:type="dxa" w:w="2160"/>
          </w:tcPr>
          <w:p>
            <w:r>
              <w:rPr>
                <w:sz w:val="18"/>
                <w:szCs w:val="18"/>
              </w:rPr>
              <w:t>Anti-mercenary threshold</w:t>
            </w:r>
          </w:p>
        </w:tc>
      </w:tr>
    </w:tbl>
    <w:p>
      <w:r>
        <w:rPr>
          <w:i/>
        </w:rPr>
        <w:t xml:space="preserve">Table 8. DePIN health dashboard metrics with proposed 12-month targets, Helium actuals (February 2026), and empirical basis.</w:t>
      </w:r>
    </w:p>
    <w:p>
      <w:r>
        <w:rPr>
          <w:b w:val="0"/>
          <w:i/>
        </w:rPr>
        <w:t>Table 6. Health dashboard: proposed 12-month benchmarks.</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373"/>
        <w:gridCol w:w="1453"/>
        <w:gridCol w:w="888"/>
        <w:gridCol w:w="1211"/>
        <w:gridCol w:w="888"/>
        <w:gridCol w:w="2099"/>
        <w:gridCol w:w="728"/>
      </w:tblGrid>
      <w:tr>
        <w:trPr>
          <w:cantSplit/>
        </w:trPr>
        <w:tc>
          <w:tcPr>
            <w:tcW w:type="dxa" w:w="1373"/>
          </w:tcPr>
          <w:p>
            <w:r>
              <w:rPr>
                <w:b/>
                <w:sz w:val="16"/>
                <w:szCs w:val="16"/>
              </w:rPr>
              <w:t>Protocol</w:t>
            </w:r>
          </w:p>
        </w:tc>
        <w:tc>
          <w:tcPr>
            <w:tcW w:type="dxa" w:w="1453"/>
          </w:tcPr>
          <w:p>
            <w:r>
              <w:rPr>
                <w:b/>
                <w:sz w:val="16"/>
                <w:szCs w:val="16"/>
              </w:rPr>
              <w:t>Sink Type</w:t>
            </w:r>
          </w:p>
        </w:tc>
        <w:tc>
          <w:tcPr>
            <w:tcW w:type="dxa" w:w="888"/>
          </w:tcPr>
          <w:p>
            <w:r>
              <w:rPr>
                <w:b/>
                <w:sz w:val="16"/>
                <w:szCs w:val="16"/>
              </w:rPr>
              <w:t>S2R (burns)</w:t>
            </w:r>
          </w:p>
        </w:tc>
        <w:tc>
          <w:tcPr>
            <w:tcW w:type="dxa" w:w="1211"/>
          </w:tcPr>
          <w:p>
            <w:r>
              <w:rPr>
                <w:b/>
                <w:sz w:val="16"/>
                <w:szCs w:val="16"/>
              </w:rPr>
              <w:t>S2R (burns+locks)</w:t>
            </w:r>
          </w:p>
        </w:tc>
        <w:tc>
          <w:tcPr>
            <w:tcW w:type="dxa" w:w="888"/>
          </w:tcPr>
          <w:p>
            <w:r>
              <w:rPr>
                <w:b/>
                <w:sz w:val="16"/>
                <w:szCs w:val="16"/>
              </w:rPr>
              <w:t>Period</w:t>
            </w:r>
          </w:p>
        </w:tc>
        <w:tc>
          <w:tcPr>
            <w:tcW w:type="dxa" w:w="2099"/>
          </w:tcPr>
          <w:p>
            <w:r>
              <w:rPr>
                <w:b/>
                <w:sz w:val="16"/>
                <w:szCs w:val="16"/>
              </w:rPr>
              <w:t>Source</w:t>
            </w:r>
          </w:p>
        </w:tc>
        <w:tc>
          <w:tcPr>
            <w:tcW w:type="dxa" w:w="727"/>
          </w:tcPr>
          <w:p>
            <w:r>
              <w:rPr>
                <w:b/>
                <w:sz w:val="16"/>
                <w:szCs w:val="16"/>
              </w:rPr>
              <w:t xml:space="preserve">Demand HHI</w:t>
            </w:r>
          </w:p>
        </w:tc>
        <w:trPr>
          <w:cantSplit/>
          <w:tblHeader/>
        </w:trPr>
      </w:tr>
      <w:tr>
        <w:trPr>
          <w:cantSplit/>
        </w:trPr>
        <w:tc>
          <w:tcPr>
            <w:tcW w:type="dxa" w:w="1373"/>
          </w:tcPr>
          <w:p>
            <w:r>
              <w:rPr>
                <w:sz w:val="16"/>
                <w:szCs w:val="16"/>
              </w:rPr>
              <w:t>Helium</w:t>
            </w:r>
          </w:p>
        </w:tc>
        <w:tc>
          <w:tcPr>
            <w:tcW w:type="dxa" w:w="1453"/>
          </w:tcPr>
          <w:p>
            <w:r>
              <w:rPr>
                <w:sz w:val="16"/>
                <w:szCs w:val="16"/>
              </w:rPr>
              <w:t>Full DC burn</w:t>
            </w:r>
          </w:p>
        </w:tc>
        <w:tc>
          <w:tcPr>
            <w:tcW w:type="dxa" w:w="888"/>
          </w:tcPr>
          <w:p>
            <w:r>
              <w:rPr>
                <w:sz w:val="16"/>
                <w:szCs w:val="16"/>
              </w:rPr>
              <w:t>0.02-1.84</w:t>
            </w:r>
          </w:p>
        </w:tc>
        <w:tc>
          <w:tcPr>
            <w:tcW w:type="dxa" w:w="1211"/>
          </w:tcPr>
          <w:p>
            <w:r>
              <w:rPr>
                <w:sz w:val="16"/>
                <w:szCs w:val="16"/>
              </w:rPr>
              <w:t>higher</w:t>
            </w:r>
          </w:p>
        </w:tc>
        <w:tc>
          <w:tcPr>
            <w:tcW w:type="dxa" w:w="888"/>
          </w:tcPr>
          <w:p>
            <w:r>
              <w:rPr>
                <w:sz w:val="16"/>
                <w:szCs w:val="16"/>
              </w:rPr>
              <w:t>Apr 2023–Feb 2026</w:t>
            </w:r>
          </w:p>
        </w:tc>
        <w:tc>
          <w:tcPr>
            <w:tcW w:type="dxa" w:w="2099"/>
          </w:tcPr>
          <w:p>
            <w:r>
              <w:rPr>
                <w:sz w:val="16"/>
                <w:szCs w:val="16"/>
              </w:rPr>
              <w:t>Dune (on-chain)</w:t>
            </w:r>
          </w:p>
        </w:tc>
        <w:tc>
          <w:tcPr>
            <w:tcW w:type="dxa" w:w="727"/>
          </w:tcPr>
          <w:p>
            <w:r>
              <w:rPr>
                <w:sz w:val="16"/>
                <w:szCs w:val="16"/>
              </w:rPr>
              <w:t xml:space="preserve">0.27</w:t>
            </w:r>
          </w:p>
        </w:tc>
      </w:tr>
      <w:tr>
        <w:trPr>
          <w:cantSplit/>
        </w:trPr>
        <w:tc>
          <w:tcPr>
            <w:tcW w:type="dxa" w:w="1373"/>
          </w:tcPr>
          <w:p>
            <w:r>
              <w:rPr>
                <w:sz w:val="16"/>
                <w:szCs w:val="16"/>
              </w:rPr>
              <w:t>Filecoin</w:t>
            </w:r>
          </w:p>
        </w:tc>
        <w:tc>
          <w:tcPr>
            <w:tcW w:type="dxa" w:w="1453"/>
          </w:tcPr>
          <w:p>
            <w:r>
              <w:rPr>
                <w:sz w:val="16"/>
                <w:szCs w:val="16"/>
              </w:rPr>
              <w:t>Base fee burn + collateral</w:t>
            </w:r>
          </w:p>
        </w:tc>
        <w:tc>
          <w:tcPr>
            <w:tcW w:type="dxa" w:w="888"/>
          </w:tcPr>
          <w:p>
            <w:r>
              <w:rPr>
                <w:sz w:val="16"/>
                <w:szCs w:val="16"/>
              </w:rPr>
              <w:t>~0.045</w:t>
            </w:r>
          </w:p>
        </w:tc>
        <w:tc>
          <w:tcPr>
            <w:tcW w:type="dxa" w:w="1211"/>
          </w:tcPr>
          <w:p>
            <w:r>
              <w:rPr>
                <w:sz w:val="16"/>
                <w:szCs w:val="16"/>
              </w:rPr>
              <w:t>0.14-0.41</w:t>
            </w:r>
          </w:p>
        </w:tc>
        <w:tc>
          <w:tcPr>
            <w:tcW w:type="dxa" w:w="888"/>
          </w:tcPr>
          <w:p>
            <w:r>
              <w:rPr>
                <w:sz w:val="16"/>
                <w:szCs w:val="16"/>
              </w:rPr>
              <w:t>Jun 2023</w:t>
            </w:r>
          </w:p>
        </w:tc>
        <w:tc>
          <w:tcPr>
            <w:tcW w:type="dxa" w:w="2099"/>
          </w:tcPr>
          <w:p>
            <w:r>
              <w:rPr>
                <w:sz w:val="16"/>
                <w:szCs w:val="16"/>
              </w:rPr>
              <w:t>Deep Research</w:t>
            </w:r>
          </w:p>
        </w:tc>
        <w:tc>
          <w:tcPr>
            <w:tcW w:type="dxa" w:w="727"/>
          </w:tcPr>
          <w:p>
            <w:r>
              <w:rPr>
                <w:sz w:val="16"/>
                <w:szCs w:val="16"/>
              </w:rPr>
              <w:t xml:space="preserve">—</w:t>
            </w:r>
          </w:p>
        </w:tc>
      </w:tr>
      <w:tr>
        <w:trPr>
          <w:cantSplit/>
        </w:trPr>
        <w:tc>
          <w:tcPr>
            <w:tcW w:type="dxa" w:w="1373"/>
          </w:tcPr>
          <w:p>
            <w:r>
              <w:rPr>
                <w:sz w:val="16"/>
                <w:szCs w:val="16"/>
              </w:rPr>
              <w:t>Livepeer</w:t>
            </w:r>
          </w:p>
        </w:tc>
        <w:tc>
          <w:tcPr>
            <w:tcW w:type="dxa" w:w="1453"/>
          </w:tcPr>
          <w:p>
            <w:r>
              <w:rPr>
                <w:sz w:val="16"/>
                <w:szCs w:val="16"/>
              </w:rPr>
              <w:t>None (fees in ETH)</w:t>
            </w:r>
          </w:p>
        </w:tc>
        <w:tc>
          <w:tcPr>
            <w:tcW w:type="dxa" w:w="888"/>
          </w:tcPr>
          <w:p>
            <w:r>
              <w:rPr>
                <w:sz w:val="16"/>
                <w:szCs w:val="16"/>
              </w:rPr>
              <w:t>~0</w:t>
            </w:r>
          </w:p>
        </w:tc>
        <w:tc>
          <w:tcPr>
            <w:tcW w:type="dxa" w:w="1211"/>
          </w:tcPr>
          <w:p>
            <w:r>
              <w:rPr>
                <w:sz w:val="16"/>
                <w:szCs w:val="16"/>
              </w:rPr>
              <w:t>~0</w:t>
            </w:r>
          </w:p>
        </w:tc>
        <w:tc>
          <w:tcPr>
            <w:tcW w:type="dxa" w:w="888"/>
          </w:tcPr>
          <w:p>
            <w:r>
              <w:rPr>
                <w:sz w:val="16"/>
                <w:szCs w:val="16"/>
              </w:rPr>
              <w:t>Q1 2025</w:t>
            </w:r>
          </w:p>
        </w:tc>
        <w:tc>
          <w:tcPr>
            <w:tcW w:type="dxa" w:w="2099"/>
          </w:tcPr>
          <w:p>
            <w:r>
              <w:rPr>
                <w:sz w:val="16"/>
                <w:szCs w:val="16"/>
              </w:rPr>
              <w:t>DeFi Llama</w:t>
            </w:r>
          </w:p>
        </w:tc>
        <w:tc>
          <w:tcPr>
            <w:tcW w:type="dxa" w:w="727"/>
          </w:tcPr>
          <w:p>
            <w:r>
              <w:rPr>
                <w:sz w:val="16"/>
                <w:szCs w:val="16"/>
              </w:rPr>
              <w:t xml:space="preserve">0.31</w:t>
            </w:r>
          </w:p>
        </w:tc>
      </w:tr>
      <w:tr>
        <w:trPr>
          <w:cantSplit/>
        </w:trPr>
        <w:tc>
          <w:tcPr>
            <w:tcW w:type="dxa" w:w="1373"/>
          </w:tcPr>
          <w:p>
            <w:r>
              <w:rPr>
                <w:sz w:val="16"/>
                <w:szCs w:val="16"/>
              </w:rPr>
              <w:t>Hivemapper</w:t>
            </w:r>
          </w:p>
        </w:tc>
        <w:tc>
          <w:tcPr>
            <w:tcW w:type="dxa" w:w="1453"/>
          </w:tcPr>
          <w:p>
            <w:r>
              <w:rPr>
                <w:sz w:val="16"/>
                <w:szCs w:val="16"/>
              </w:rPr>
              <w:t>Map credit burn</w:t>
            </w:r>
          </w:p>
        </w:tc>
        <w:tc>
          <w:tcPr>
            <w:tcW w:type="dxa" w:w="888"/>
          </w:tcPr>
          <w:p>
            <w:r>
              <w:rPr>
                <w:sz w:val="16"/>
                <w:szCs w:val="16"/>
              </w:rPr>
              <w:t>0.183</w:t>
            </w:r>
          </w:p>
        </w:tc>
        <w:tc>
          <w:tcPr>
            <w:tcW w:type="dxa" w:w="1211"/>
          </w:tcPr>
          <w:p>
            <w:r>
              <w:rPr>
                <w:sz w:val="16"/>
                <w:szCs w:val="16"/>
              </w:rPr>
              <w:t>0.183</w:t>
            </w:r>
          </w:p>
        </w:tc>
        <w:tc>
          <w:tcPr>
            <w:tcW w:type="dxa" w:w="888"/>
          </w:tcPr>
          <w:p>
            <w:r>
              <w:rPr>
                <w:sz w:val="16"/>
                <w:szCs w:val="16"/>
              </w:rPr>
              <w:t>Feb 2026</w:t>
            </w:r>
          </w:p>
        </w:tc>
        <w:tc>
          <w:tcPr>
            <w:tcW w:type="dxa" w:w="2099"/>
          </w:tcPr>
          <w:p>
            <w:r>
              <w:rPr>
                <w:sz w:val="16"/>
                <w:szCs w:val="16"/>
              </w:rPr>
              <w:t>Dune Analytics (Feb 2026); burn-and-mint active but not queryable via Dune</w:t>
            </w:r>
          </w:p>
        </w:tc>
        <w:tc>
          <w:tcPr>
            <w:tcW w:type="dxa" w:w="727"/>
          </w:tcPr>
          <w:p>
            <w:r>
              <w:rPr>
                <w:sz w:val="16"/>
                <w:szCs w:val="16"/>
              </w:rPr>
              <w:t xml:space="preserve">—</w:t>
            </w:r>
          </w:p>
        </w:tc>
      </w:tr>
      <w:tr>
        <w:trPr>
          <w:cantSplit/>
        </w:trPr>
        <w:tc>
          <w:tcPr>
            <w:tcW w:type="dxa" w:w="1373"/>
          </w:tcPr>
          <w:p>
            <w:r>
              <w:rPr>
                <w:sz w:val="16"/>
                <w:szCs w:val="16"/>
              </w:rPr>
              <w:t>GEODNET</w:t>
            </w:r>
          </w:p>
        </w:tc>
        <w:tc>
          <w:tcPr>
            <w:tcW w:type="dxa" w:w="1453"/>
          </w:tcPr>
          <w:p>
            <w:r>
              <w:rPr>
                <w:sz w:val="16"/>
                <w:szCs w:val="16"/>
              </w:rPr>
              <w:t>Subscription burn</w:t>
            </w:r>
          </w:p>
        </w:tc>
        <w:tc>
          <w:tcPr>
            <w:tcW w:type="dxa" w:w="888"/>
          </w:tcPr>
          <w:p>
            <w:r>
              <w:rPr>
                <w:sz w:val="16"/>
                <w:szCs w:val="16"/>
              </w:rPr>
              <w:t>0.62</w:t>
            </w:r>
          </w:p>
        </w:tc>
        <w:tc>
          <w:tcPr>
            <w:tcW w:type="dxa" w:w="1211"/>
          </w:tcPr>
          <w:p>
            <w:r>
              <w:rPr>
                <w:sz w:val="16"/>
                <w:szCs w:val="16"/>
              </w:rPr>
              <w:t>0.62</w:t>
            </w:r>
          </w:p>
        </w:tc>
        <w:tc>
          <w:tcPr>
            <w:tcW w:type="dxa" w:w="888"/>
          </w:tcPr>
          <w:p>
            <w:r>
              <w:rPr>
                <w:sz w:val="16"/>
                <w:szCs w:val="16"/>
              </w:rPr>
              <w:t>Feb 2026</w:t>
            </w:r>
          </w:p>
        </w:tc>
        <w:tc>
          <w:tcPr>
            <w:tcW w:type="dxa" w:w="2099"/>
          </w:tcPr>
          <w:p>
            <w:r>
              <w:rPr>
                <w:sz w:val="16"/>
                <w:szCs w:val="16"/>
              </w:rPr>
              <w:t>Dune Solana (on-chain)</w:t>
            </w:r>
          </w:p>
        </w:tc>
        <w:tc>
          <w:tcPr>
            <w:tcW w:type="dxa" w:w="727"/>
          </w:tcPr>
          <w:p>
            <w:r>
              <w:rPr>
                <w:sz w:val="16"/>
                <w:szCs w:val="16"/>
              </w:rPr>
              <w:t xml:space="preserve">0.055</w:t>
            </w:r>
          </w:p>
        </w:tc>
      </w:tr>
      <w:tr>
        <w:trPr>
          <w:cantSplit/>
        </w:trPr>
        <w:tc>
          <w:tcPr>
            <w:tcW w:type="dxa" w:w="1373"/>
          </w:tcPr>
          <w:p>
            <w:r>
              <w:rPr>
                <w:sz w:val="16"/>
                <w:szCs w:val="16"/>
              </w:rPr>
              <w:t>DIMO</w:t>
            </w:r>
          </w:p>
        </w:tc>
        <w:tc>
          <w:tcPr>
            <w:tcW w:type="dxa" w:w="1453"/>
          </w:tcPr>
          <w:p>
            <w:r>
              <w:rPr>
                <w:sz w:val="16"/>
                <w:szCs w:val="16"/>
              </w:rPr>
              <w:t>License burn</w:t>
            </w:r>
          </w:p>
        </w:tc>
        <w:tc>
          <w:tcPr>
            <w:tcW w:type="dxa" w:w="888"/>
          </w:tcPr>
          <w:p>
            <w:r>
              <w:rPr>
                <w:sz w:val="16"/>
                <w:szCs w:val="16"/>
              </w:rPr>
              <w:t>4.24</w:t>
            </w:r>
          </w:p>
        </w:tc>
        <w:tc>
          <w:tcPr>
            <w:tcW w:type="dxa" w:w="1211"/>
          </w:tcPr>
          <w:p>
            <w:r>
              <w:rPr>
                <w:sz w:val="16"/>
                <w:szCs w:val="16"/>
              </w:rPr>
              <w:t>—</w:t>
            </w:r>
          </w:p>
        </w:tc>
        <w:tc>
          <w:tcPr>
            <w:tcW w:type="dxa" w:w="888"/>
          </w:tcPr>
          <w:p>
            <w:r>
              <w:rPr>
                <w:sz w:val="16"/>
                <w:szCs w:val="16"/>
              </w:rPr>
              <w:t>Feb 2026</w:t>
            </w:r>
          </w:p>
        </w:tc>
        <w:tc>
          <w:tcPr>
            <w:tcW w:type="dxa" w:w="2099"/>
          </w:tcPr>
          <w:p>
            <w:r>
              <w:rPr>
                <w:sz w:val="16"/>
                <w:szCs w:val="16"/>
              </w:rPr>
              <w:t>Dune Polygon (on-chain)</w:t>
            </w:r>
          </w:p>
        </w:tc>
        <w:tc>
          <w:tcPr>
            <w:tcW w:type="dxa" w:w="727"/>
          </w:tcPr>
          <w:p>
            <w:r>
              <w:rPr>
                <w:sz w:val="16"/>
                <w:szCs w:val="16"/>
              </w:rPr>
              <w:t xml:space="preserve">0.063</w:t>
            </w:r>
          </w:p>
        </w:tc>
      </w:tr>
      <w:tr>
        <w:trPr>
          <w:cantSplit/>
        </w:trPr>
        <w:tc>
          <w:tcPr>
            <w:tcW w:type="dxa" w:w="1373"/>
          </w:tcPr>
          <w:p>
            <w:r>
              <w:rPr>
                <w:sz w:val="16"/>
                <w:szCs w:val="16"/>
              </w:rPr>
              <w:t>IoTeX</w:t>
            </w:r>
          </w:p>
        </w:tc>
        <w:tc>
          <w:tcPr>
            <w:tcW w:type="dxa" w:w="1453"/>
          </w:tcPr>
          <w:p>
            <w:r>
              <w:rPr>
                <w:sz w:val="16"/>
                <w:szCs w:val="16"/>
              </w:rPr>
              <w:t>Gas fee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IoTeX L1 not indexed by Dune; gas fee burn active on native chain</w:t>
            </w:r>
          </w:p>
        </w:tc>
        <w:tc>
          <w:tcPr>
            <w:tcW w:type="dxa" w:w="727"/>
          </w:tcPr>
          <w:p>
            <w:r>
              <w:rPr>
                <w:sz w:val="16"/>
                <w:szCs w:val="16"/>
              </w:rPr>
              <w:t xml:space="preserve">—</w:t>
            </w:r>
          </w:p>
        </w:tc>
      </w:tr>
      <w:tr>
        <w:trPr>
          <w:cantSplit/>
        </w:trPr>
        <w:tc>
          <w:tcPr>
            <w:tcW w:type="dxa" w:w="1373"/>
          </w:tcPr>
          <w:p>
            <w:r>
              <w:rPr>
                <w:sz w:val="16"/>
                <w:szCs w:val="16"/>
              </w:rPr>
              <w:t>WeatherXM</w:t>
            </w:r>
          </w:p>
        </w:tc>
        <w:tc>
          <w:tcPr>
            <w:tcW w:type="dxa" w:w="1453"/>
          </w:tcPr>
          <w:p>
            <w:r>
              <w:rPr>
                <w:sz w:val="16"/>
                <w:szCs w:val="16"/>
              </w:rPr>
              <w:t>Subscription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Subscription burn active; volumes too small for reliable S2R computation</w:t>
            </w:r>
          </w:p>
        </w:tc>
        <w:tc>
          <w:tcPr>
            <w:tcW w:type="dxa" w:w="727"/>
          </w:tcPr>
          <w:p>
            <w:r>
              <w:rPr>
                <w:sz w:val="16"/>
                <w:szCs w:val="16"/>
              </w:rPr>
              <w:t xml:space="preserve">—</w:t>
            </w:r>
          </w:p>
        </w:tc>
      </w:tr>
      <w:tr>
        <w:trPr>
          <w:cantSplit/>
        </w:trPr>
        <w:tc>
          <w:tcPr>
            <w:tcW w:type="dxa" w:w="1373"/>
          </w:tcPr>
          <w:p>
            <w:r>
              <w:rPr>
                <w:sz w:val="16"/>
                <w:szCs w:val="16"/>
              </w:rPr>
              <w:t>Grass</w:t>
            </w:r>
          </w:p>
        </w:tc>
        <w:tc>
          <w:tcPr>
            <w:tcW w:type="dxa" w:w="1453"/>
          </w:tcPr>
          <w:p>
            <w:r>
              <w:rPr>
                <w:sz w:val="16"/>
                <w:szCs w:val="16"/>
              </w:rPr>
              <w:t>None (staking only)</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r>
        <w:trPr>
          <w:cantSplit/>
        </w:trPr>
        <w:tc>
          <w:tcPr>
            <w:tcW w:type="dxa" w:w="1373"/>
          </w:tcPr>
          <w:p>
            <w:r>
              <w:rPr>
                <w:sz w:val="16"/>
                <w:szCs w:val="16"/>
              </w:rPr>
              <w:t>Anyone</w:t>
            </w:r>
          </w:p>
        </w:tc>
        <w:tc>
          <w:tcPr>
            <w:tcW w:type="dxa" w:w="1453"/>
          </w:tcPr>
          <w:p>
            <w:r>
              <w:rPr>
                <w:sz w:val="16"/>
                <w:szCs w:val="16"/>
              </w:rPr>
              <w:t>Stake/lock</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bl>
    <w:p>
      <w:r>
        <w:rPr>
          <w:i/>
        </w:rPr>
        <w:t xml:space="preserve">Table 9. Cross-protocol S2R and demand concentration summary across the 13-protocol sample. Column 'S2R (burns)' uses the burns-only definition; 'S2R (burns+locks)' includes token lock-up mechanisms where applicable. Demand HHI computed where per-address burn data is available.</w:t>
      </w:r>
    </w:p>
    <w:p>
      <w:r>
        <w:t xml:space="preserve">Table 9 consolidates the S2R and demand concentration readings from Section 5 across the 13-protocol sample.</w:t>
      </w:r>
    </w:p>
    <w:p>
      <w:r>
        <w:rPr>
          <w:b w:val="0"/>
          <w:i/>
        </w:rPr>
        <w:t>Table 7. Cross-protocol S2R comparison (9 DePIN protocols).</w:t>
      </w:r>
    </w:p>
    <w:p>
      <w:pPr>
        <w:pStyle w:val="Heading2"/>
      </w:pPr>
      <w:r>
        <w:t>6.4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6.3)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1.84, DIMO 4.24, GEODNET 0.62).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7. CONCLUSION</w:t>
      </w:r>
    </w:p>
    <w:p>
      <w:pPr>
        <w:pStyle w:val="Heading2"/>
      </w:pPr>
      <w:r>
        <w:t>7.1 Summary</w:t>
      </w:r>
    </w:p>
    <w:p>
      <w:r>
        <w:rPr>
          <w:b w:val="0"/>
        </w:rPr>
        <w:t xml:space="preserve">The S2R data across 13 protocols reveal a three-tier sustainability hierarchy for DePIN: Helium (1.84) and DIMO (4.24) have crossed fiscal parity through demand-coupled burns; GEODNET (0.62) and Hivemapper (0.183) occupy a growth-phase middle tier with confirmed burn activity but continued subsidy dependence; and the remaining protocols cluster near S2R zero, the sector default. The Helium longitudinal case (Table 3) demonstrates the trajectory: demand-coupled burns can drive S2R above fiscal parity when paired with service-based reward transitions (HIP-147), but demand concentration (top-5 signers at approximately 90% of burns) creates a shadow risk invisible to aggregate metrics. Governance concentration in GeoDePIN tokens (HHI 0.034–0.593) materially exceeds DeFi benchmarks (0.028–0.174), consistent with the 13-protocol cross-section.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(3) a design playbook keyed to observable protocol conditions with a subtraction test for minimum viable mechanism complexity; and (4) a health dashboard with demand-concentration guardrails (Top-5 &gt; 80% AND Top-1 &gt; 35%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w:t>
      </w:r>
    </w:p>
    <w:p>
      <w:r>
        <w:rPr>
          <w:b w:val="0"/>
        </w:rPr>
        <w:t xml:space="preserve">The S2R metric as currently specified measures burns against mining emissions; it does not capture vesting-driven dilution from team, investor, and ecosystem unlocks, which for GEODNET represented 54% of total supply by Q2 2025. A comprehensive fiscal sustainability metric would incorporate all supply sources; this extension is specified as a future research direction.</w:t>
      </w:r>
    </w:p>
    <w:p>
      <w:r>
        <w:rPr>
          <w:b w:val="0"/>
        </w:rPr>
        <w:t xml:space="preserve">S2R measures fiscal sustainability and demand coupling but does not capture participant-level welfare: an S2R above 1.0 can coexist with operator financial distress when token-to-fiat conversion factors are adverse [48]. The San Jose pilot [50] demonstrates this decoupling during the pre-parity regime. Participant-level return-on-investment analysis (matching on-chain reward data with off-chain hardware costs, electricity consumption, and maintenance labor) remains a measurement priority.</w:t>
      </w:r>
    </w:p>
    <w:p>
      <w:r>
        <w:rPr/>
        <w:t xml:space="preserve">More broadly, DePIN protocols claim to deliver public infrastructure goods (cheaper wireless, broader positioning coverage, fresher mapping data), yet every evaluation metric in the present study and in the existing literature measures token economy health rather than whether participants’ quality of life actually improved. This welfare measurement gap is a structural property of on-chain data architectures, not merely a data limitation of the present study: protocols instrument token flows but not service outcomes. Connecting fiscal sustainability to participant welfare requires instrumentation that does not yet exist in the DePIN ecosystem.</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(Liu and Schweitzer, 2025) offers a complementary methodology for stress-testing the health dashboard thresholds proposed here, particularly for modeling how concentrated buyers respond to emission halvings.</w:t>
      </w:r>
    </w:p>
    <w:p>
      <w:r>
        <w:t xml:space="preserve">Longitudinal analysis of token economic failure patterns identifies tokenomics-market fit disconnect as a primary failure mode (Belkin, 2026), validating the health dashboard’s emphasis on trajectory monitoring over point-in-time assessment.</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(top-5 signers at 40.4% versus Helium’s 90%) opens a new research question: whether subscription-based demand architectures systematically produce more distributed burn patterns than carrier-contract models, testable as additional GeoDePIN protocols mature.</w:t>
      </w:r>
    </w:p>
    <w:p>
      <w:r>
        <w:t xml:space="preserve">The combination of verified demand concentration data across four protocols with Resource Dependence Theory’s causal predictions generates a testable hypothesis: DePIN protocols with subscription-based burn models (demand HHI below 0.10) should exhibit more stable S2R trajectories across market cycles than carrier or enterprise-contract models (demand HHI above 0.20), because lower demand concentration reduces the probability of simultaneous buyer exit. Longitudinal tracking of both S2R and demand HHI across halving events would provide the first empirical test of whether burn-model architecture determines fiscal resilience. Shapley value analysis of demand concentration would quantify whether the top burn addresses’ probability of being pivotal in fiscal sustainability exceeds their nominal burn share. Helium’s S2R = 1.0 threshold defines a binary characteristic function: coalitions of burn addresses whose combined contribution meets emissions earn value 1, others earn 0. The top-2 addresses (70.1% of burns) are not merely large contributors; they are the margin between self-sustaining and subsidy-dependent regimes, a distinction HHI captures in magnitude but not in pivotality.</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Declaration of Competing Interest</w:t>
      </w:r>
    </w:p>
    <w:p>
      <w:r>
        <w:t xml:space="preserve">The author served as Senior Investment Analyst at Borderless Capital through February 2026 and retains no decision-making role, carried interest, or position-dependent compensation with the firm. The author holds personal token positions in three protocols analyzed in this paper: HNT (Helium), DIMO, and GEOD (GEODNET); positions are small and were established prior to the research period. The research, analysis, and conclusions presented are the author's own; no sponsor, portfolio holding, or third party had editorial input or review rights prior to submission.</w:t>
      </w:r>
    </w:p>
    <w:p>
      <w:pPr>
        <w:pStyle w:val="Heading1"/>
      </w:pPr>
      <w:r>
        <w:t>Funding</w:t>
      </w:r>
    </w:p>
    <w:p>
      <w:r>
        <w:t xml:space="preserve">This research received no specific grant from any funding agency in the public, commercial, or not-for-profit sectors.</w:t>
      </w:r>
    </w:p>
    <w:p>
      <w:pPr>
        <w:pStyle w:val="Heading1"/>
      </w:pPr>
      <w:r>
        <w:t>CRediT Authorship Contribution Statement</w:t>
      </w:r>
    </w:p>
    <w:p>
      <w:r>
        <w:t xml:space="preserve">Zach Zukowski: Conceptualization, Methodology, Data curation, Formal analysis, Writing – original draft, Writing – review &amp; editing, Visualization.</w:t>
      </w:r>
    </w:p>
    <w:p>
      <w:pPr>
        <w:pStyle w:val="Heading1"/>
      </w:pPr>
      <w:r>
        <w:t>Data Availability</w:t>
      </w:r>
    </w:p>
    <w:p>
      <w:r>
        <w:t xml:space="preserve">The data supporting the findings of this study are publicly available from on-chain sources (Dune Analytics, Helius DAS API, Blockscout) via the queries specified in Section 3.1. Processed datasets and replication scripts are archived at the public repository https://github.com/Research-Publications-and-Data/Tokenomics-As-Institutional_Design (tag v1.0.0-frontiers-submission for the companion paper [34]; B3 replication materials will be tagged at acceptance).</w:t>
      </w:r>
    </w:p>
    <w:p>
      <w:pPr>
        <w:pStyle w:val="Heading1"/>
      </w:pPr>
      <w:r>
        <w:t>ORCID</w:t>
      </w:r>
    </w:p>
    <w:p>
      <w:r>
        <w:t xml:space="preserve">Zach Zukowski: https://orcid.org/0009-0006-3642-2450</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[29] Z. Zukowski, "Tokenomics as systems engineering: Protocols, labor, and the design of autonomous economies,"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"Governance concentration beyond token allocation: An institutional design analysis of DePIN and DeFi," SSRN Working Paper 6599278, 2026. doi: 10.2139/ssrn.6599278.</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r>
        <w:t xml:space="preserve">[45] Messari, "GEODNET Quarterly Report Q2 2025," Messari Research, Jul. 2025. [Online]. Available: https://messari.io/research (Retrieved Apr. 2026).</w:t>
      </w:r>
    </w:p>
    <w:p>
      <w:r>
        <w:t xml:space="preserve">[46] L. S. Shapley, "A value for n-person games," in H. W. Kuhn and A. W. Tucker (Eds.), Contributions to the theory of games, Volume II (Annals of Mathematics Studies 28, pp. 307–317). Princeton, NJ: Princeton University Press, 1953.</w:t>
      </w:r>
    </w:p>
    <w:p>
      <w:r>
        <w:t xml:space="preserve">[47] I. Ferreras, Firms as Political Entities: Saving Democracy through Economic Bicameralism. Cambridge, U.K.: Cambridge Univ. Press, 2017.</w:t>
      </w:r>
    </w:p>
    <w:p>
      <w:r>
        <w:t xml:space="preserve">[48] A. Sen, Development as Freedom. New York, NY: Alfred A. Knopf, 1999.</w:t>
      </w:r>
    </w:p>
    <w:p>
      <w:r>
        <w:t xml:space="preserve">[49] S. Motepalli, N. Garg, G. Zhang, and H.-A. Jacobsen, "GPoS: Geospatially-aware proof of stake," arXiv:2511.02034, 2025.</w:t>
      </w:r>
    </w:p>
    <w:p>
      <w:r>
        <w:t xml:space="preserve">[50] StateScoop, "San Jose, Calif., partnership with crypto company Helium was a flop," Sep. 26, 2022. [Online]. Available: https://statescoop.com/san-jose-calif-partnership-crypto-company-helium-flopped/</w:t>
      </w:r>
    </w:p>
    <w:p>
      <w:r>
        <w:t xml:space="preserve">[51] A. Lijphart, Patterns of Democracy: Government Forms and Performance in Thirty-Six Countries, 2nd ed. New Haven, CT: Yale Univ. Press, 2012.</w:t>
      </w:r>
    </w:p>
    <w:p>
      <w:r>
        <w:t xml:space="preserve">[52] S. Motepalli, N. Garg, G. Zhang, and H.-A. Jacobsen, "Decentralization in PoS blockchain consensus: Quantification and advancement," arXiv:2504.14351, 2025.</w:t>
      </w:r>
    </w:p>
    <w:p>
      <w:r>
        <w:t xml:space="preserve">[53] Z. Lin, T. Wang, L. Shi, S. Zhang, and B. Cao, "Decentralized physical infrastructure networks (DePIN): Challenges and opportunities," IEEE Network, 2024. doi: 10.1109/MNET.2024.3487924.</w:t>
      </w:r>
    </w:p>
    <w:p>
      <w:r>
        <w:t xml:space="preserve">[54] B. Petrenj and P. Trucco, "Decentralized physical infrastructure networks: A catalyst for critical infrastructure resilience?" in Proc. 33rd European Safety and Reliability &amp; 33rd Society for Risk Analysis Europe Conf. (ESREL SRA-E 2025), Research Publishing, Singapore, 2025. doi: 10.3850/978-981-94-3281-3_ESREL-SRA-E2025-P3352-cd.</w:t>
      </w:r>
    </w:p>
    <w:p>
      <w:r>
        <w:t xml:space="preserve">[55] Y. Wu and F. Zhu, "A paradox of utility tokens," Management Science, vol. 68, no. 6, 2022. doi: 10.1287/mnsc.2022.4314.</w:t>
      </w:r>
    </w:p>
    <w:p>
      <w:r>
        <w:t xml:space="preserve">[56] J. Milionis, J. Ernstberger, J. Bonneau, S. D. Kominers, and T. Roughgarden, "Incentive-compatible recovery from manipulated signals, with applications to decentralized physical infrastructure," arXiv:2503.07558, 2025.</w:t>
      </w:r>
    </w:p>
    <w:p>
      <w:r>
        <w:t xml:space="preserve">[57] J. von der Assen, C. Killer, A. De Carli, and B. Stiller, "Performance analysis of decentralized physical infrastructure networks and centralized clouds," in Proc. IEEE Int. Conf. Blockchain and Cryptocurrency (ICBC), 2024. doi: 10.1109/ICBC59979.2024.10634394.</w:t>
      </w:r>
    </w:p>
    <w:p>
      <w:r>
        <w:t xml:space="preserve">[58] P. Rad, M. Jozani, G. Zanella, M. Safaei Pour, and K. Abhari, "Reimagining the sharing economy through blockchain: The case of Helium’s decentralized wireless network," in Proc. 58th Hawaii Int. Conf. System Sciences (HICSS), 2025. doi: 10.24251/HICSS.2025.674.</w:t>
      </w:r>
    </w:p>
    <w:p>
      <w:r>
        <w:t xml:space="preserve">[59] H. Fiegenbaum, B. Azegele, and S. Seider, "Decentralized internet-of-things networks for environmental data pipelines: Opportunities and challenges in a community-based urban green space restoration project in Nairobi, Kenya," Frontiers in Blockchain, 2026. doi: 10.3389/fbloc.2025.1626695.</w:t>
      </w:r>
    </w:p>
    <w:p>
      <w:r>
        <w:t xml:space="preserve">[60] A. Shapira, "Helium, touted as crypto telecom of the future, brings in just $6,500 a month in usage fees," Mashable, Jul. 29, 2022. [Online]. Available: https://mashable.com/article/helium-crypto-barely-anyone-uses</w:t>
      </w:r>
    </w:p>
    <w:p>
      <w:r>
        <w:t xml:space="preserve">[61] A. Haleem, "Helium 5G network growth update," Helium Foundation Blog, 2022. [Online]. Available: https://blog.helium.com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