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80.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40-Protocol Cross-Sectional Audit of DePIN and DeFi After Protocol-Controlled-Address Exclusion</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p>
    <w:p>
      <w:pPr>
        <w:pStyle w:val="BodyText"/>
      </w:pPr>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p>
    <w:p>
      <w:pPr>
        <w:pStyle w:val="BodyText"/>
      </w:pPr>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0.45x;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thirteen-protocol governance</w:t>
      </w:r>
      <w:r>
        <w:t xml:space="preserve"> </w:t>
      </w:r>
      <w:r>
        <w:t xml:space="preserve">sample studied here, delegation amplifies concentration in nine of</w:t>
      </w:r>
      <w:r>
        <w:t xml:space="preserve"> </w:t>
      </w:r>
      <w:r>
        <w:t xml:space="preserve">thirteen protocols (range 1.6x to 9.9x above the holding baseline), with</w:t>
      </w:r>
      <w:r>
        <w:t xml:space="preserve"> </w:t>
      </w:r>
      <w:r>
        <w:t xml:space="preserve">four structural exceptions on the dispersing side (ENS 0.45x, GMX 0.87x,</w:t>
      </w:r>
      <w:r>
        <w:t xml:space="preserve"> </w:t>
      </w:r>
      <w:r>
        <w:t xml:space="preserve">HNT 0.35x to 0.53x, JUP 0.057x; Section 4.5). The cross-protocol</w:t>
      </w:r>
      <w:r>
        <w:t xml:space="preserve"> </w:t>
      </w:r>
      <w:r>
        <w:t xml:space="preserve">variation is not associated with sector membership or governance venue but</w:t>
      </w:r>
      <w:r>
        <w:t xml:space="preserve"> </w:t>
      </w:r>
      <w:r>
        <w:t xml:space="preserve">by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5.1).</w:t>
      </w:r>
    </w:p>
    <w:p>
      <w:pPr>
        <w:pStyle w:val="BodyText"/>
      </w:pPr>
      <w:r>
        <w:t xml:space="preserve">A parallel pattern emerges for subsidy economics: financial</w:t>
      </w:r>
      <w:r>
        <w:t xml:space="preserve"> </w:t>
      </w:r>
      <w:r>
        <w:t xml:space="preserve">sustainability is uninformative as a concentration indicator. Three</w:t>
      </w:r>
      <w:r>
        <w:t xml:space="preserve"> </w:t>
      </w:r>
      <w:r>
        <w:t xml:space="preserve">protocols with nearly identical subsidy ratios (Aethir 0.36, Aave 0.37,</w:t>
      </w:r>
      <w:r>
        <w:t xml:space="preserve"> </w:t>
      </w:r>
      <w:r>
        <w:t xml:space="preserve">io.net 0.40) span nearly an order of magnitude in governance HHI (0.013</w:t>
      </w:r>
      <w:r>
        <w:t xml:space="preserve"> </w:t>
      </w:r>
      <w:r>
        <w:t xml:space="preserve">to 0.125): financial sustainability is neither necessary nor sufficient</w:t>
      </w:r>
      <w:r>
        <w:t xml:space="preserve"> </w:t>
      </w:r>
      <w:r>
        <w:t xml:space="preserve">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w:t>
      </w:r>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address</w:t>
      </w:r>
      <w:r>
        <w:t xml:space="preserve"> </w:t>
      </w:r>
      <w:r>
        <w:t xml:space="preserve">inclusions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0.020, Cohen’s d = 0.94),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nine of thirteen</w:t>
      </w:r>
      <w:r>
        <w:t xml:space="preserve"> </w:t>
      </w:r>
      <w:r>
        <w:t xml:space="preserve">protocols sampled, with amplification factors of 1.6x (DRIFT), 2.7x (Uniswap), 3.1x</w:t>
      </w:r>
      <w:r>
        <w:t xml:space="preserve"> </w:t>
      </w:r>
      <w:r>
        <w:t xml:space="preserve">(Arbitrum), 3.6x (Optimism), 3.8x (WeatherXM), 4.4x (Aave), 6.3x</w:t>
      </w:r>
      <w:r>
        <w:t xml:space="preserve"> </w:t>
      </w:r>
      <w:r>
        <w:t xml:space="preserve">(Lido), 9.1x (DIMO), and 9.9x (Compound). Four protocols</w:t>
      </w:r>
      <w:r>
        <w:t xml:space="preserve"> </w:t>
      </w:r>
      <w:r>
        <w:t xml:space="preserve">(ENS at 0.45x; GMX at 0.87x; HNT at 0.35x-0.53x; JUP at 0.057x most-extreme dispersion outlier) show delegation-mediated dispersion, reflecting</w:t>
      </w:r>
      <w:r>
        <w:t xml:space="preserve"> </w:t>
      </w:r>
      <w:r>
        <w:t xml:space="preserve">mature-delegate-program (ENS), methodology-sensitive crossover (GMX), Solana VSR lockup-weighted design (HNT), and Solana delegated-vote with broad airdrop user base (JUP) patterns where holders systematically delegate to a</w:t>
      </w:r>
      <w:r>
        <w:t xml:space="preserve"> </w:t>
      </w:r>
      <w:r>
        <w:t xml:space="preserve">broader community-delegate set or vote-weight mechanism design distributes voting power below the holding baseline. 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and Balancer (vote-escrowed governance via veCRV, which is vote-escrowed CRV, and veBAL, vote-escrowed BAL) show extreme amplification (15x and 21x)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r>
        <w:t xml:space="preserve">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thirteen protocols, PCA classification is weaker on</w:t>
      </w:r>
      <w:r>
        <w:t xml:space="preserve"> </w:t>
      </w:r>
      <w:r>
        <w:t xml:space="preserve">some Solana-native tokens, and the 40-protocol sample is small for</w:t>
      </w:r>
      <w:r>
        <w:t xml:space="preserve"> </w:t>
      </w:r>
      <w:r>
        <w:t xml:space="preserve">fully specified multivariate models. Each limitation is developed in</w:t>
      </w:r>
      <w:r>
        <w:t xml:space="preserve"> </w:t>
      </w:r>
      <w:r>
        <w:t xml:space="preserve">Section 5.7 with the relevant robustness defenses.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(§2.7-§2.8).</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(Aramonte et al.,</w:t>
      </w:r>
      <w:r>
        <w:t xml:space="preserve"> </w:t>
      </w:r>
      <w:r>
        <w:t xml:space="preserve">2021; Nadler &amp; Schär, 2020) structure.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the four-contribution structure stated in</w:t>
      </w:r>
      <w:r>
        <w:t xml:space="preserve"> </w:t>
      </w:r>
      <w:r>
        <w:t xml:space="preserve">§1.1 maps to the methodology in §3 and the results in §4.</w:t>
      </w:r>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40-protocol sample (Supplementary File S6 contains</w:t>
      </w:r>
      <w:r>
        <w:t xml:space="preserve"> </w:t>
      </w:r>
      <w:r>
        <w:t xml:space="preserve">the address-by-address documentation), but the generalizable typology</w:t>
      </w:r>
      <w:r>
        <w:t xml:space="preserve"> </w:t>
      </w:r>
      <w:r>
        <w:t xml:space="preserve">that future replication and extension work can apply uniformly.</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t xml:space="preserve">Across the five classes, this paper applies 133 PCA exclusions across</w:t>
      </w:r>
      <w:r>
        <w:t xml:space="preserve"> </w:t>
      </w:r>
      <w:r>
        <w:t xml:space="preserve">38 protocols (Supplementary File S6 and the supplementary exclusions</w:t>
      </w:r>
      <w:r>
        <w:t xml:space="preserve"> </w:t>
      </w:r>
      <w:r>
        <w:t xml:space="preserve">log dataset). The five classes are unevenly populated within the cross-section:</w:t>
      </w:r>
      <w:r>
        <w:t xml:space="preserve"> </w:t>
      </w:r>
      <w:r>
        <w:t xml:space="preserve">on the N = 30 DePIN-vs-DeFi sector contrast (125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any future cross-protocol governance</w:t>
      </w:r>
      <w:r>
        <w:t xml:space="preserve"> </w:t>
      </w:r>
      <w:r>
        <w:t xml:space="preserve">HHI analysis should apply the five-class PCA exclusion uniformly before reporting</w:t>
      </w:r>
      <w:r>
        <w:t xml:space="preserve"> </w:t>
      </w:r>
      <w:r>
        <w:t xml:space="preserve">holding concentration metrics. The specific addresses depend on the protocol sample;</w:t>
      </w:r>
      <w:r>
        <w:t xml:space="preserve"> </w:t>
      </w:r>
      <w:r>
        <w:t xml:space="preserve">the methodology is sample-independent.</w:t>
      </w:r>
    </w:p>
    <w:bookmarkEnd w:id="42"/>
    <w:bookmarkEnd w:id="43"/>
    <w:bookmarkStart w:id="89"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 S6</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4.4;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HHI ranges from 0.005 to 0.199 across the full sample. Among DeFi</w:t>
      </w:r>
      <w:r>
        <w:t xml:space="preserve"> </w:t>
      </w:r>
      <w:r>
        <w:t xml:space="preserve">governance tokens, HHI ranges from 0.005 (Hyperliquid, after excluding</w:t>
      </w:r>
      <w:r>
        <w:t xml:space="preserve"> </w:t>
      </w:r>
      <w:r>
        <w:t xml:space="preserve">the Assistance Fund and burn addresses) to 0.096 (Jupiter).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and is discussed in Section 4.5.2. DePIN protocols span</w:t>
      </w:r>
      <w:r>
        <w:t xml:space="preserve"> </w:t>
      </w:r>
      <w:r>
        <w:t xml:space="preserve">a similar range: 0.018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Applying the</w:t>
      </w:r>
      <w:r>
        <w:t xml:space="preserve"> </w:t>
      </w:r>
      <w:r>
        <w:t xml:space="preserve">holder-list correction for Solana tokens (Helius DAS API enumeration</w:t>
      </w:r>
      <w:r>
        <w:t xml:space="preserve"> </w:t>
      </w:r>
      <w:r>
        <w:t xml:space="preserve">versus the systematically-undercounting Dune indexer) and the PCA</w:t>
      </w:r>
      <w:r>
        <w:t xml:space="preserve"> </w:t>
      </w:r>
      <w:r>
        <w:t xml:space="preserve">exclusion methodology (38 protocols with documented exclusions; Section</w:t>
      </w:r>
      <w:r>
        <w:t xml:space="preserve"> </w:t>
      </w:r>
      <w:r>
        <w:t xml:space="preserve">2.10.10), the DePIN-DeFi concentration gap is computed on a holder</w:t>
      </w:r>
      <w:r>
        <w:t xml:space="preserve"> </w:t>
      </w:r>
      <w:r>
        <w:t xml:space="preserve">sample materially different from the naive top-1,000 alternative. For</w:t>
      </w:r>
      <w:r>
        <w:t xml:space="preserve"> </w:t>
      </w:r>
      <w:r>
        <w:t xml:space="preserve">DRIFT, the raw holder distribution yields HHI 0.419 against the</w:t>
      </w:r>
      <w:r>
        <w:t xml:space="preserve"> </w:t>
      </w:r>
      <w:r>
        <w:t xml:space="preserve">post-exclusion value of 0.053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w:t>
      </w:r>
      <w:r>
        <w:t xml:space="preserve"> </w:t>
      </w:r>
      <w:r>
        <w:t xml:space="preserve">(</w:t>
      </w:r>
      <w:hyperlink r:id="rId33">
        <w:r>
          <w:rPr>
            <w:rStyle w:val="Hyperlink"/>
          </w:rPr>
          <w:t xml:space="preserve">Supplementary File S6</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0.05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w:t>
      </w:r>
    </w:p>
    <w:bookmarkEnd w:id="56"/>
    <w:bookmarkStart w:id="75"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thirteen protocols. Nine</w:t>
      </w:r>
      <w:r>
        <w:t xml:space="preserve"> </w:t>
      </w:r>
      <w:r>
        <w:t xml:space="preserve">protocols amplify, with ratios from 1.6x (DRIFT) to 9.9x (Compound) and</w:t>
      </w:r>
      <w:r>
        <w:t xml:space="preserve"> </w:t>
      </w:r>
      <w:r>
        <w:t xml:space="preserve">a mean of approximately 4.9x. Four protocols disperse voting power below</w:t>
      </w:r>
      <w:r>
        <w:t xml:space="preserve"> </w:t>
      </w:r>
      <w:r>
        <w:t xml:space="preserve">the holding baseline: ENS (0.45x), GMX (0.87x), HNT (0.35x to 0.53x),</w:t>
      </w:r>
      <w:r>
        <w:t xml:space="preserve"> </w:t>
      </w:r>
      <w:r>
        <w:t xml:space="preserve">and JUP (0.057x).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w:t>
      </w:r>
    </w:p>
    <w:p>
      <w:pPr>
        <w:pStyle w:val="BodyText"/>
      </w:pPr>
      <w:r>
        <w:t xml:space="preserve">Amplification varies by sector composition rather than by sector</w:t>
      </w:r>
      <w:r>
        <w:t xml:space="preserve"> </w:t>
      </w:r>
      <w:r>
        <w:t xml:space="preserve">membership. Within DeFi, the range spans 1.6x (DRIFT) to 9.9x (Compound);</w:t>
      </w:r>
      <w:r>
        <w:t xml:space="preserve"> </w:t>
      </w:r>
      <w:r>
        <w:t xml:space="preserve">DePIN spans 3.8x (WeatherXM) to 9.1x (DIMO); infrastructure spans 3.1x</w:t>
      </w:r>
      <w:r>
        <w:t xml:space="preserve"> </w:t>
      </w:r>
      <w:r>
        <w:t xml:space="preserve">(Arbitrum) to 3.6x (Optimism). The four dispersion exceptions are</w:t>
      </w:r>
      <w:r>
        <w:t xml:space="preserve"> </w:t>
      </w:r>
      <w:r>
        <w:t xml:space="preserve">discussed individually in §4.5.1 (ENS), §4.5.1.1 (GMX), and §4.5.4</w:t>
      </w:r>
      <w:r>
        <w:t xml:space="preserve"> </w:t>
      </w:r>
      <w:r>
        <w:t xml:space="preserve">(HNT and JUP under within-Solana heterogeneity).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per DRIFT cycle source memo).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0.057x ratio is the most-extreme</w:t>
      </w:r>
      <w:r>
        <w:t xml:space="preserve"> </w:t>
      </w:r>
      <w:r>
        <w:t xml:space="preserve">dispersion outlier in the cross-section.</w:t>
      </w:r>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ten Tally- and Snapshot-sourced protocols,</w:t>
      </w:r>
      <w:r>
        <w:rPr>
          <w:i/>
          <w:iCs/>
        </w:rPr>
        <w:t xml:space="preserve"> </w:t>
      </w:r>
      <w:r>
        <w:rPr>
          <w:i/>
          <w:iCs/>
        </w:rPr>
        <w:t xml:space="preserve">sorted by amplification ratio. Reading the figure: the ratio label at</w:t>
      </w:r>
      <w:r>
        <w:rPr>
          <w:i/>
          <w:iCs/>
        </w:rPr>
        <w:t xml:space="preserve"> </w:t>
      </w:r>
      <w:r>
        <w:rPr>
          <w:i/>
          <w:iCs/>
        </w:rPr>
        <w:t xml:space="preserve">the right of each pair gives voting HHI divided by holding HHI; ratios</w:t>
      </w:r>
      <w:r>
        <w:rPr>
          <w:i/>
          <w:iCs/>
        </w:rPr>
        <w:t xml:space="preserve"> </w:t>
      </w:r>
      <w:r>
        <w:rPr>
          <w:i/>
          <w:iCs/>
        </w:rPr>
        <w:t xml:space="preserve">above 1.0 indicate delegation amplifies concentration (the upper bar</w:t>
      </w:r>
      <w:r>
        <w:rPr>
          <w:i/>
          <w:iCs/>
        </w:rPr>
        <w:t xml:space="preserve"> </w:t>
      </w:r>
      <w:r>
        <w:rPr>
          <w:i/>
          <w:iCs/>
        </w:rPr>
        <w:t xml:space="preserve">is longer than the lower bar; green annotation), ratios below 1.0</w:t>
      </w:r>
      <w:r>
        <w:rPr>
          <w:i/>
          <w:iCs/>
        </w:rPr>
        <w:t xml:space="preserve"> </w:t>
      </w:r>
      <w:r>
        <w:rPr>
          <w:i/>
          <w:iCs/>
        </w:rPr>
        <w:t xml:space="preserve">indicate delegation distributes it (red annotation). Eight of ten</w:t>
      </w:r>
      <w:r>
        <w:rPr>
          <w:i/>
          <w:iCs/>
        </w:rPr>
        <w:t xml:space="preserve"> </w:t>
      </w:r>
      <w:r>
        <w:rPr>
          <w:i/>
          <w:iCs/>
        </w:rPr>
        <w:t xml:space="preserve">EVM/EVM-like protocols sampled show amplification, with ratios ranging from 2.7x</w:t>
      </w:r>
      <w:r>
        <w:rPr>
          <w:i/>
          <w:iCs/>
        </w:rPr>
        <w:t xml:space="preserve"> </w:t>
      </w:r>
      <w:r>
        <w:rPr>
          <w:i/>
          <w:iCs/>
        </w:rPr>
        <w:t xml:space="preserve">(Uniswap) to 9.9x (Compound); two protocols (ENS at 0.45x and GMX at</w:t>
      </w:r>
      <w:r>
        <w:rPr>
          <w:i/>
          <w:iCs/>
        </w:rPr>
        <w:t xml:space="preserve"> </w:t>
      </w:r>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r>
        <w:rPr>
          <w:i/>
          <w:iCs/>
        </w:rPr>
        <w:t xml:space="preserve"> </w:t>
      </w:r>
      <w:r>
        <w:rPr>
          <w:i/>
          <w:iCs/>
        </w:rPr>
        <w:t xml:space="preserve">Snapshot rows aggregate unique voters across all proposals in the 12-month rolling</w:t>
      </w:r>
      <w:r>
        <w:rPr>
          <w:i/>
          <w:iCs/>
        </w:rPr>
        <w:t xml:space="preserve"> </w:t>
      </w:r>
      <w:r>
        <w:rPr>
          <w:i/>
          <w:iCs/>
        </w:rPr>
        <w:t xml:space="preserve">window 2025-05-22 to 2026-05-22; Tally rows reflect top-1000 delegate</w:t>
      </w:r>
      <w:r>
        <w:rPr>
          <w:i/>
          <w:iCs/>
        </w:rPr>
        <w:t xml:space="preserve"> </w:t>
      </w:r>
      <w:r>
        <w:rPr>
          <w:i/>
          <w:iCs/>
        </w:rPr>
        <w:t xml:space="preserve">samples per protocol.</w:t>
      </w:r>
    </w:p>
    <w:p>
      <w:pPr>
        <w:pStyle w:val="BodyText"/>
      </w:pPr>
      <w:r>
        <w:t xml:space="preserve">Seven DeFi protocols sampled show varying delegation outcomes: JUP</w:t>
      </w:r>
      <w:r>
        <w:t xml:space="preserve"> </w:t>
      </w:r>
      <w:r>
        <w:t xml:space="preserve">(0.057x,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(1.6x, mild amplifier and the</w:t>
      </w:r>
      <w:r>
        <w:t xml:space="preserve"> </w:t>
      </w:r>
      <w:r>
        <w:t xml:space="preserve">lowest amplifier in the cross-section; Solana VSR-lockup-weighted per</w:t>
      </w:r>
      <w:r>
        <w:t xml:space="preserve"> </w:t>
      </w:r>
      <w:r>
        <w:t xml:space="preserve">Section 4.5.4), Uniswap (2.7x), Aave (4.4x), Lido</w:t>
      </w:r>
      <w:r>
        <w:t xml:space="preserve"> </w:t>
      </w:r>
      <w:r>
        <w:t xml:space="preserve">(6.3x), and Compound (9.9x; the highest in the</w:t>
      </w:r>
      <w:r>
        <w:t xml:space="preserve"> </w:t>
      </w:r>
      <w:r>
        <w:t xml:space="preserve">cross-protocol sample).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universal direction</w:t>
      </w:r>
      <w:r>
        <w:t xml:space="preserve"> </w:t>
      </w:r>
      <w:r>
        <w:t xml:space="preserve">of effect.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w:t>
      </w:r>
      <w:r>
        <w:t xml:space="preserve"> </w:t>
      </w:r>
      <w:r>
        <w:t xml:space="preserve">3.9; Bybit and Binance custody addresses excluded as Class 5 CEX</w:t>
      </w:r>
      <w:r>
        <w:t xml:space="preserve"> </w:t>
      </w:r>
      <w:r>
        <w:t xml:space="preserve">custody), Lido’s amplification ratio is the most extreme in the</w:t>
      </w:r>
      <w:r>
        <w:t xml:space="preserve"> </w:t>
      </w:r>
      <w:r>
        <w:t xml:space="preserve">sample, and the direction (concentration above stake) is consistent</w:t>
      </w:r>
      <w:r>
        <w:t xml:space="preserve"> </w:t>
      </w:r>
      <w:r>
        <w:t xml:space="preserve">with the predominant-amplification pattern documented across nine of thirteen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thirteen protocols across DeFi (Compound,</w:t>
      </w:r>
      <w:r>
        <w:t xml:space="preserve"> </w:t>
      </w:r>
      <w:r>
        <w:t xml:space="preserve">Aave, Uniswap, GMX, Lido), DePIN (DIMO, WeatherXM), and infrastructure</w:t>
      </w:r>
      <w:r>
        <w:t xml:space="preserve"> </w:t>
      </w:r>
      <w:r>
        <w:t xml:space="preserve">(Optimism, Arbitrum, ENS). Amplification factors range from 1.6x (DRIFT)</w:t>
      </w:r>
      <w:r>
        <w:t xml:space="preserve"> </w:t>
      </w:r>
      <w:r>
        <w:t xml:space="preserve">to 9.9x (Compound) across the nine amplifying protocols; ENS at 0.45x; GMX at 0.87x; HNT at 0.35x-0.53x; and JUP at 0.057x are</w:t>
      </w:r>
      <w:r>
        <w:t xml:space="preserve"> </w:t>
      </w:r>
      <w:r>
        <w:t xml:space="preserve">the four structural exceptions (ENS: mature delegate program where holders</w:t>
      </w:r>
      <w:r>
        <w:t xml:space="preserve"> </w:t>
      </w:r>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r>
        <w:t xml:space="preserve"> </w:t>
      </w:r>
      <w:r>
        <w:t xml:space="preserve">sample, the 1.6x to 9.9x amplification range is distributed across</w:t>
      </w:r>
      <w:r>
        <w:t xml:space="preserve"> </w:t>
      </w:r>
      <w:r>
        <w:t xml:space="preserve">sectors with no clear concentration in any one; sector membership does</w:t>
      </w:r>
      <w:r>
        <w:t xml:space="preserve"> </w:t>
      </w:r>
      <w:r>
        <w:t xml:space="preserve">is 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determine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since hardware deployed for one network cannot be</w:t>
      </w:r>
      <w:r>
        <w:t xml:space="preserve"> </w:t>
      </w:r>
      <w:r>
        <w:t xml:space="preserve">redeployed to a competing protocol the way liquidity can move between</w:t>
      </w:r>
      <w:r>
        <w:t xml:space="preserve"> </w:t>
      </w:r>
      <w:r>
        <w:t xml:space="preserve">DeFi pools.</w:t>
      </w:r>
    </w:p>
    <w:p>
      <w:pPr>
        <w:pStyle w:val="BodyText"/>
      </w:pPr>
      <w:r>
        <w:t xml:space="preserve">A power-index extension across the N = 16 cross-source voting-HHI sample (Tally + Snapshot + Solana proper-weight; Phase 1 of the post-R2 R3 data collection per</w:t>
      </w:r>
      <w:r>
        <w:t xml:space="preserve"> </w:t>
      </w:r>
      <w:hyperlink r:id="rId60">
        <w:r>
          <w:rPr>
            <w:rStyle w:val="Hyperlink"/>
          </w:rPr>
          <w:t xml:space="preserve">Supplementary File S14</w:t>
        </w:r>
      </w:hyperlink>
      <w:r>
        <w:t xml:space="preserve">) refines the binary amplify-versus-disperse framing into a three-class amplification typology (Finding F-B2-17 in</w:t>
      </w:r>
      <w:r>
        <w:t xml:space="preserve"> </w:t>
      </w:r>
      <w:r>
        <w:rPr>
          <w:rStyle w:val="VerbatimChar"/>
        </w:rPr>
        <w:t xml:space="preserve">docs/KEY_FINDINGS.md</w:t>
      </w:r>
      <w:r>
        <w:t xml:space="preserve">).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 The Phase 1 acceptance test (Pearson r between SS-HHI and Voting-HHI greater than 0.95 across the N = 16 sample) passes at r = 0.9756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 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r>
        <w:t xml:space="preserve"> </w:t>
      </w:r>
      <w:hyperlink r:id="rId60">
        <w:r>
          <w:rPr>
            <w:rStyle w:val="Hyperlink"/>
          </w:rPr>
          <w:t xml:space="preserve">Supplementary File S14 full closure</w:t>
        </w:r>
      </w:hyperlink>
      <w:r>
        <w:t xml:space="preserve">.</w:t>
      </w:r>
    </w:p>
    <w:bookmarkStart w:id="61" w:name="X5aa57646c4396d747e0131ec008a4e3f93d4422"/>
    <w:p>
      <w:pPr>
        <w:pStyle w:val="Heading3"/>
      </w:pPr>
      <w:r>
        <w:t xml:space="preserve">4.5.1 ENS as institutional-design counterexample</w:t>
      </w:r>
    </w:p>
    <w:p>
      <w:pPr>
        <w:pStyle w:val="FirstParagraph"/>
      </w:pPr>
      <w:r>
        <w:t xml:space="preserve">ENS is one of two protocols in the cross-section where delegation</w:t>
      </w:r>
      <w:r>
        <w:t xml:space="preserve"> </w:t>
      </w:r>
      <w:r>
        <w:t xml:space="preserve">empirically disperses voting power below the holding-HHI baseline</w:t>
      </w:r>
      <w:r>
        <w:t xml:space="preserve"> </w:t>
      </w:r>
      <w:r>
        <w:t xml:space="preserve">(ratio 0.45x; voting HHI 0.022 vs holding HHI 0.049,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nine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thirteen-protocol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1"/>
    <w:bookmarkStart w:id="62" w:name="Xb9bb0c744c0c00d44da48b17d4f1856fc3d061c"/>
    <w:p>
      <w:pPr>
        <w:pStyle w:val="Heading3"/>
      </w:pPr>
      <w:r>
        <w:t xml:space="preserve">4.5.1.1 GMX as second structural-exception counterexample</w:t>
      </w:r>
    </w:p>
    <w:p>
      <w:pPr>
        <w:pStyle w:val="FirstParagraph"/>
      </w:pPr>
      <w:r>
        <w:t xml:space="preserve">GMX is the second protocol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two structural-exception cases</w:t>
      </w:r>
      <w:r>
        <w:t xml:space="preserve"> </w:t>
      </w:r>
      <w:r>
        <w:t xml:space="preserve">(ENS at 0.45x; GMX at 0.87x) together preserve the dispersion pattern</w:t>
      </w:r>
      <w:r>
        <w:t xml:space="preserve"> </w:t>
      </w:r>
      <w:r>
        <w:t xml:space="preserve">as informative counterexample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2"/>
    <w:bookmarkStart w:id="63" w:name="X8d1154e760574033fc3a8977858a046cb4bc3d4"/>
    <w:p>
      <w:pPr>
        <w:pStyle w:val="Heading3"/>
      </w:pPr>
      <w:r>
        <w:t xml:space="preserve">4.5.2 Secondary extension: vote-escrowed governance</w:t>
      </w:r>
    </w:p>
    <w:p>
      <w:pPr>
        <w:pStyle w:val="FirstParagraph"/>
      </w:pPr>
      <w:r>
        <w:t xml:space="preserve">Two protocols using vote-escrowed governance (Curve veCRV; Balancer</w:t>
      </w:r>
      <w:r>
        <w:t xml:space="preserve"> </w:t>
      </w:r>
      <w:r>
        <w:t xml:space="preserve">veBAL)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(15-21x</w:t>
      </w:r>
      <w:r>
        <w:t xml:space="preserve"> </w:t>
      </w:r>
      <w:r>
        <w:t xml:space="preserve">versus the 2.7x-9.9x range observed in delegate-program-based</w:t>
      </w:r>
      <w:r>
        <w:t xml:space="preserve"> </w:t>
      </w:r>
      <w:r>
        <w:t xml:space="preserve">amplification across the nine amplifying protocols).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3"/>
    <w:bookmarkStart w:id="64" w:name="Xfa73bc062c432381afdcb5f5da2b521607734ad"/>
    <w:p>
      <w:pPr>
        <w:pStyle w:val="Heading3"/>
      </w:pPr>
      <w:r>
        <w:t xml:space="preserve">4.5.3 Foundation and aggregation-contract top-delegate pattern</w:t>
      </w:r>
    </w:p>
    <w:p>
      <w:pPr>
        <w:pStyle w:val="FirstParagraph"/>
      </w:pPr>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64"/>
    <w:bookmarkStart w:id="65"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65"/>
    <w:bookmarkStart w:id="66"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66"/>
    <w:bookmarkStart w:id="74" w:name="Xda4e3333e40fedc6b9410bb7d5d5381feb9baec"/>
    <w:p>
      <w:pPr>
        <w:pStyle w:val="Heading3"/>
      </w:pPr>
      <w:r>
        <w:t xml:space="preserve">4.5.5 Secondary extension: cross-protocol delegate overlap</w:t>
      </w:r>
    </w:p>
    <w:p>
      <w:pPr>
        <w:pStyle w:val="FirstParagraph"/>
      </w:pPr>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p>
    <w:p>
      <w:pPr>
        <w:pStyle w:val="BodyText"/>
      </w:pPr>
      <w:r>
        <w:t xml:space="preserve">The top three institutional cross-protocol delegators collectively exert 17.0 percent combined Snapshot voting power across the L1 DeFi suite. PGov (</w:t>
      </w:r>
      <w:r>
        <w:rPr>
          <w:rStyle w:val="VerbatimChar"/>
        </w:rPr>
        <w:t xml:space="preserve">0x3fb19771...</w:t>
      </w:r>
      <w:r>
        <w:t xml:space="preserve">; pgov.eth) participates in 7 DAOs (ARB, COMP, ENS, GMX, GTC, LDO, UNI) at 10.16 percent combined summed share. Tane Governance (</w:t>
      </w:r>
      <w:r>
        <w:rPr>
          <w:rStyle w:val="VerbatimChar"/>
        </w:rPr>
        <w:t xml:space="preserve">0xb79294d0...</w:t>
      </w:r>
      <w:r>
        <w:t xml:space="preserve">; tanegov.eth) participates in 6 DAOs at 4.83 percent. Arana Digital (</w:t>
      </w:r>
      <w:r>
        <w:rPr>
          <w:rStyle w:val="VerbatimChar"/>
        </w:rPr>
        <w:t xml:space="preserve">0x0579a616...</w:t>
      </w:r>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p>
    <w:p>
      <w:pPr>
        <w:pStyle w:val="BodyText"/>
      </w:pPr>
      <w:r>
        <w:t xml:space="preserve">The pattern is not Snapshot-specific. A parallel Tally-side audit across the four EVM Tally protocols at all-delegates depth (AAVE N = 150,911; COMP N = 18,627; UNI N = 48,707; ARB N = 437,453) confirms PGov, Tane Governance, and Arana Digital all appear in the Tally delegate registries with substantial cross-protocol presence: combined summed share of 8.11 percent across ARB + COMP + UNI delegate weight. The Tally audit also surfaces seven additional institutional governance firms operating cross-protocol at material delegated weight: Blockworks Advisory, Wintermute Governance, L2BEAT, Humpy, Gauntlet, GFX Labs, and olimpio. These firms operate as professional-delegate service providers whose business model is cross-protocol delegation aggregation rather than single-protocol participation; the Tally-side and Snapshot-side audits jointly establish the cross-protocol institutional pattern across both major EVM-governance surfaces in the cross-section.</w:t>
      </w:r>
    </w:p>
    <w:p>
      <w:pPr>
        <w:pStyle w:val="BodyText"/>
      </w:pPr>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A single entity (PGov) operating across 7 Snapshot DAOs + at least 3 of the 4 Tally protocols audited represents a meaningfully concentrated cross-protocol governance position that no per-protocol HHI metric captures.</w:t>
      </w:r>
    </w:p>
    <w:p>
      <w:pPr>
        <w:pStyle w:val="BodyText"/>
      </w:pPr>
      <w:r>
        <w:t xml:space="preserve">The voter-axis cross-protocol pattern documented above has a structural-mechanical counterpart at the holder-axis surface (Finding F-B2-16 in</w:t>
      </w:r>
      <w:r>
        <w:t xml:space="preserve"> </w:t>
      </w:r>
      <w:r>
        <w:rPr>
          <w:rStyle w:val="VerbatimChar"/>
        </w:rPr>
        <w:t xml:space="preserve">docs/KEY_FINDINGS.md</w:t>
      </w:r>
      <w:r>
        <w:t xml:space="preserve">; Solana-side Sim API verification of 7 cross-protocol candidate addresses in</w:t>
      </w:r>
      <w:r>
        <w:t xml:space="preserve"> </w:t>
      </w:r>
      <w:hyperlink r:id="rId67">
        <w:r>
          <w:rPr>
            <w:rStyle w:val="Hyperlink"/>
          </w:rPr>
          <w:t xml:space="preserve">Supplementary File S13 addendum</w:t>
        </w:r>
      </w:hyperlink>
      <w:r>
        <w:t xml:space="preserve">; EVM-side universal CEX hot-wallet sweep across the N = 40 cross-section in</w:t>
      </w:r>
      <w:r>
        <w:t xml:space="preserve"> </w:t>
      </w:r>
      <w:hyperlink r:id="rId68">
        <w:r>
          <w:rPr>
            <w:rStyle w:val="Hyperlink"/>
          </w:rPr>
          <w:t xml:space="preserve">Supplementary File S19 phase 4 scope expansion</w:t>
        </w:r>
      </w:hyperlink>
      <w:r>
        <w:t xml:space="preserve">). The EVM sweep identifies 89 cross-protocol holder-address hits across 21 protocols, with 8 producing material post-exclusion HHI shifts above 0.0005 (largest: Aethir +0.0033). The Bitpanda hot wallet</w:t>
      </w:r>
      <w:r>
        <w:t xml:space="preserve"> </w:t>
      </w:r>
      <w:r>
        <w:rPr>
          <w:rStyle w:val="VerbatimChar"/>
        </w:rPr>
        <w:t xml:space="preserve">0x18...</w:t>
      </w:r>
      <w:r>
        <w:t xml:space="preserve"> </w:t>
      </w:r>
      <w:r>
        <w:t xml:space="preserve">appears in 20 of 40 protocols (50 percent sample coverage), the most widespread cross-protocol CEX presence in the cross-section. The pattern is structurally distinct from the voter-axis pattern (PGov, Tane, Arana, et al. are professional governance firms whose business model is deliberate cross-protocol delegation; CEX hot wallets are mechanical custody routing that produces cross-protocol address overlap without coordinated governance intent), but the two patterns share the structural-mechanical character: per-protocol HHI metrics undercount the cross-protocol-aggregated concentration that emerges when the same operator (PGov-class governance firm OR exchange-custody routing) holds material weight at multiple protocols simultaneously. Both patterns converge on the same conclusion: a fifth concentration axis (cross-protocol institutional concentration; covering both governance-coordination and custody-routing mechanisms) is load-bearing for the cross-section’s concentration story and is not captured by any per-protocol HHI metric.</w:t>
      </w:r>
    </w:p>
    <w:p>
      <w:pPr>
        <w:pStyle w:val="BodyText"/>
      </w:pPr>
      <w:r>
        <w:t xml:space="preserve">A second, structurally-distinct evidence path converges on the cross-protocol CEX-mediated concentration pattern at the Substrate validator-set layer. On Polkadot (Nominated Proof-of-Stake; standard holder-HHI returns 0.0017 mechanically by Phragmen-equalization design and is not the analytical surface where concentration manifests), a five-axis operator-attribution methodology combining Subscan Identity Pallet + Web3 Foundation Thousand Validators Programme registry + Layer-2 funding-source clustering + Polkawatch display-name matching + direct Polkawatch DDP API access lifts cumulative attribution from 16 percent of bonded stake (Identity Pallet baseline) to 53 percent (300 of 600 validators attributed) and surfaces Binance at 15 validators (3.72 percent of bonded stake), Coinbase at 12 validators, and EXNESS at 6 validators (the latter two invisible to all four on-chain attribution axes; operational accounts funded via relay-mixing patterns). Combined CEX-validator footprint is at least 27 validators across the Polkadot active set, a 69 percent increase in counted CEX presence relative to on-chain-only verification. The Polkadot evidence demonstrates that the EVM universal CEX-sweep pattern is not EVM-specific: cross-protocol CEX-mediated concentration generalizes to Substrate NPoS chains under appropriate methodology adaptation. Sister-finding: TAO (Bittensor) exhibits validator-network-layer concentration patterns analogous to Polkadot, suggesting the substrate-native L1+DePIN class warrants methodology adaptation as a coherent class rather than ad-hoc per-protocol treatment. Full multi-axis methodology + per-axis attribution decomposition + 47 percent structural attribution ceiling discussion + per-operator stake breakdown + operator-infrastructure-axis candidate (Hetzner / AWS / colocation / self-hosted classification surfaced via Polkawatch LastNetwork field) in</w:t>
      </w:r>
      <w:r>
        <w:t xml:space="preserve"> </w:t>
      </w:r>
      <w:hyperlink r:id="rId69">
        <w:r>
          <w:rPr>
            <w:rStyle w:val="Hyperlink"/>
          </w:rPr>
          <w:t xml:space="preserve">Supplementary File S16 DOT addendum</w:t>
        </w:r>
      </w:hyperlink>
      <w:r>
        <w:t xml:space="preserve">,</w:t>
      </w:r>
      <w:r>
        <w:t xml:space="preserve"> </w:t>
      </w:r>
      <w:hyperlink r:id="rId70">
        <w:r>
          <w:rPr>
            <w:rStyle w:val="Hyperlink"/>
          </w:rPr>
          <w:t xml:space="preserve">Supplementary File S19 verification execution</w:t>
        </w:r>
      </w:hyperlink>
      <w:r>
        <w:t xml:space="preserve">,</w:t>
      </w:r>
      <w:r>
        <w:t xml:space="preserve"> </w:t>
      </w:r>
      <w:hyperlink r:id="rId71">
        <w:r>
          <w:rPr>
            <w:rStyle w:val="Hyperlink"/>
          </w:rPr>
          <w:t xml:space="preserve">Polkawatch synthesis</w:t>
        </w:r>
      </w:hyperlink>
      <w:r>
        <w:t xml:space="preserve">,</w:t>
      </w:r>
      <w:r>
        <w:t xml:space="preserve"> </w:t>
      </w:r>
      <w:hyperlink r:id="rId72">
        <w:r>
          <w:rPr>
            <w:rStyle w:val="Hyperlink"/>
          </w:rPr>
          <w:t xml:space="preserve">Polkawatch API discovery</w:t>
        </w:r>
      </w:hyperlink>
      <w:r>
        <w:t xml:space="preserve">, and</w:t>
      </w:r>
      <w:r>
        <w:t xml:space="preserve"> </w:t>
      </w:r>
      <w:hyperlink r:id="rId73">
        <w:r>
          <w:rPr>
            <w:rStyle w:val="Hyperlink"/>
          </w:rPr>
          <w:t xml:space="preserve">Subscan refresh finding</w:t>
        </w:r>
      </w:hyperlink>
      <w:r>
        <w:t xml:space="preserve">; Section 5.7 documents the cross-architecture attribution-coverage asymmetry as a methodological limitation.</w:t>
      </w:r>
    </w:p>
    <w:p>
      <w:pPr>
        <w:pStyle w:val="BodyText"/>
      </w:pPr>
      <w:r>
        <w:t xml:space="preserve">The Solana-side cross-protocol audit (whether the same institutional class operates on Realms and SPL Governance surfaces alongside its EVM presence) and the extension to off-Snapshot off-Tally governance surfaces remain measurement-priority items, with the Phase 5 PCA verification cycle (</w:t>
      </w:r>
      <w:hyperlink r:id="rId67">
        <w:r>
          <w:rPr>
            <w:rStyle w:val="Hyperlink"/>
          </w:rPr>
          <w:t xml:space="preserve">Supplementary File S13</w:t>
        </w:r>
      </w:hyperlink>
      <w:r>
        <w:t xml:space="preserve"> </w:t>
      </w:r>
      <w:r>
        <w:t xml:space="preserve">Sim API verification of 7 cross-protocol Solana candidate addresses) closing the immediate Solana-side cross-protocol gap.</w:t>
      </w:r>
    </w:p>
    <w:bookmarkEnd w:id="74"/>
    <w:bookmarkEnd w:id="75"/>
    <w:bookmarkStart w:id="88"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0.020, Cohen’s d = 0.94) is robust to sample composition. The test remains significant</w:t>
      </w:r>
      <w:r>
        <w:t xml:space="preserve"> </w:t>
      </w:r>
      <w:r>
        <w:t xml:space="preserve">in all 30 of 30 leave-one-out iterations (per-iteration p range: 0.008</w:t>
      </w:r>
      <w:r>
        <w:t xml:space="preserve"> </w:t>
      </w:r>
      <w:r>
        <w:t xml:space="preserve">to 0.034; Cohen’s d range: 0.84 to 1.10; per-iteration LOO data (see Supplementary Figure S5b in Supplementary File S5 for the LOO forest plot) covers the per-</w:t>
      </w:r>
      <w:r>
        <w:t xml:space="preserve"> </w:t>
      </w:r>
      <w:r>
        <w:t xml:space="preserve">iteration forest plot with bootstrap 95% CI on the headline d). Seven</w:t>
      </w:r>
      <w:r>
        <w:t xml:space="preserve"> </w:t>
      </w:r>
      <w:r>
        <w:t xml:space="preserve">protocols, when individually dropped, push the p-value to 0.034:</w:t>
      </w:r>
      <w:r>
        <w:t xml:space="preserve"> </w:t>
      </w:r>
      <w:r>
        <w:t xml:space="preserve">Compound, Uniswap, Lido, Hyperliquid, WeatherXM, Livepeer, and io.net.</w:t>
      </w:r>
      <w:r>
        <w:t xml:space="preserve"> </w:t>
      </w:r>
      <w:r>
        <w:t xml:space="preserve">No single protocol uniquely drives the result. A two-sided permutation</w:t>
      </w:r>
      <w:r>
        <w:t xml:space="preserve"> </w:t>
      </w:r>
      <w:r>
        <w:t xml:space="preserve">test (100,000 random reassignments of sector labels) yields p = 0.012,</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[+0.012,</w:t>
      </w:r>
      <w:r>
        <w:t xml:space="preserve"> </w:t>
      </w:r>
      <w:r>
        <w:t xml:space="preserve">+0.069] HHI points, strictly excluding zero; the Cohen’s d 95%</w:t>
      </w:r>
      <w:r>
        <w:t xml:space="preserve"> </w:t>
      </w:r>
      <w:r>
        <w:t xml:space="preserve">percentile interval is [0.32, 1.68], strictly above the small-effect</w:t>
      </w:r>
      <w:r>
        <w:t xml:space="preserve"> </w:t>
      </w:r>
      <w:r>
        <w:t xml:space="preserve">threshold and including the conventional large-effect threshold (d =</w:t>
      </w:r>
      <w:r>
        <w:t xml:space="preserve"> </w:t>
      </w:r>
      <w:r>
        <w:t xml:space="preserve">0.8) within the upper portion of the interval. We characterize this finding as robust under</w:t>
      </w:r>
      <w:r>
        <w:t xml:space="preserve"> </w:t>
      </w:r>
      <w:r>
        <w:t xml:space="preserve">sample composition, resampling, and rank-based and parametric tests.</w:t>
      </w:r>
    </w:p>
    <w:p>
      <w:pPr>
        <w:pStyle w:val="BodyText"/>
      </w:pPr>
      <w:r>
        <w:drawing>
          <wp:inline>
            <wp:extent cx="5334000" cy="2927348"/>
            <wp:effectExtent b="0" l="0" r="0" t="0"/>
            <wp:docPr descr="" title="" id="77" name="Picture"/>
            <a:graphic>
              <a:graphicData uri="http://schemas.openxmlformats.org/drawingml/2006/picture">
                <pic:pic>
                  <pic:nvPicPr>
                    <pic:cNvPr descr="media/fig9_loo_forest.png" id="78" name="Picture"/>
                    <pic:cNvPicPr>
                      <a:picLocks noChangeArrowheads="1" noChangeAspect="1"/>
                    </pic:cNvPicPr>
                  </pic:nvPicPr>
                  <pic:blipFill>
                    <a:blip r:embed="rId76"/>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specification-robustness check addresses whether the 88.5x ratio is sensitive to alternative non-native fee specifications. Token Terminal reports Livepeer revenue at zero because TT does not capture the ETH-denominated transcoding fees that LPT-staking orchestrators earn directly via the TicketBroker contract on Arbitrum; the canonical 88.5x uses revenue_onchain_usd = $838,701 from TicketBroker ETH-fee aggregation per the methodology codified at commit</w:t>
      </w:r>
      <w:r>
        <w:t xml:space="preserve"> </w:t>
      </w:r>
      <w:r>
        <w:rPr>
          <w:rStyle w:val="VerbatimChar"/>
        </w:rPr>
        <w:t xml:space="preserve">a31b69c</w:t>
      </w:r>
      <w:r>
        <w:t xml:space="preserve"> </w:t>
      </w:r>
      <w:r>
        <w:t xml:space="preserve">(2026-03-31).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r>
        <w:t xml:space="preserve"> </w:t>
      </w:r>
      <w:r>
        <w:t xml:space="preserve">“driven by Livepeer”</w:t>
      </w:r>
      <w:r>
        <w:t xml:space="preserve"> </w:t>
      </w:r>
      <w:r>
        <w:t xml:space="preserve">framing, is robust to alternative non-native fee specification. A parallel cross-protocol symmetry audit of the 23-protocol subsidy sample confirms that 11 of 11 priority protocols with non-native fee streams (Helium USDC Data Credit burns; GEODNET USDC subscription burns;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0.59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0.016) while subsidy</w:t>
      </w:r>
      <w:r>
        <w:t xml:space="preserve"> </w:t>
      </w:r>
      <w:r>
        <w:t xml:space="preserve">is not (p = 0.36; Adj R-squared = 0.47); excluding Livepeer, the</w:t>
      </w:r>
      <w:r>
        <w:t xml:space="preserve"> </w:t>
      </w:r>
      <w:r>
        <w:t xml:space="preserve">subsidy coefficient is strongly non-significant (p = 0.94) while the</w:t>
      </w:r>
      <w:r>
        <w:t xml:space="preserve"> </w:t>
      </w:r>
      <w:r>
        <w:t xml:space="preserve">DePIN sector indicator is significant (p = 0.007),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79">
        <w:r>
          <w:rPr>
            <w:rStyle w:val="Hyperlink"/>
          </w:rPr>
          <w:t xml:space="preserve">Supplementary File S8</w:t>
        </w:r>
      </w:hyperlink>
      <w:r>
        <w:t xml:space="preserve">.</w:t>
      </w:r>
    </w:p>
    <w:p>
      <w:pPr>
        <w:pStyle w:val="BodyText"/>
      </w:pPr>
      <w:r>
        <w:drawing>
          <wp:inline>
            <wp:extent cx="5334000" cy="4186514"/>
            <wp:effectExtent b="0" l="0" r="0" t="0"/>
            <wp:docPr descr="" title="" id="81" name="Picture"/>
            <a:graphic>
              <a:graphicData uri="http://schemas.openxmlformats.org/drawingml/2006/picture">
                <pic:pic>
                  <pic:nvPicPr>
                    <pic:cNvPr descr="media/fig7_subsidy_scatter.png" id="82" name="Picture"/>
                    <pic:cNvPicPr>
                      <a:picLocks noChangeArrowheads="1" noChangeAspect="1"/>
                    </pic:cNvPicPr>
                  </pic:nvPicPr>
                  <pic:blipFill>
                    <a:blip r:embed="rId80"/>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9">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4" w:name="voting-hhi-methodology-robustness"/>
    <w:p>
      <w:pPr>
        <w:pStyle w:val="Heading3"/>
      </w:pPr>
      <w:r>
        <w:t xml:space="preserve">4.6.1 Voting-HHI methodology robustness</w:t>
      </w:r>
    </w:p>
    <w:p>
      <w:pPr>
        <w:pStyle w:val="FirstParagraph"/>
      </w:pPr>
      <w:r>
        <w:t xml:space="preserve">The Section 4.5 amplification finding is sensitive to three methodology choices: delegate-sample depth on Tally, symmetric PCA exclusion on Snapshot, and proper-weight versus vote-count methodology on Solana VSR protocols. We address each in turn.</w:t>
      </w:r>
    </w:p>
    <w:p>
      <w:pPr>
        <w:pStyle w:val="BodyText"/>
      </w:pPr>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introduced in this revision via the sibling canonical store</w:t>
      </w:r>
      <w:r>
        <w:t xml:space="preserve"> </w:t>
      </w:r>
      <w:r>
        <w:rPr>
          <w:rStyle w:val="VerbatimChar"/>
        </w:rPr>
        <w:t xml:space="preserve">exclusions_log_signer.csv</w:t>
      </w:r>
      <w:r>
        <w:t xml:space="preserve">); and off-Realms custody multisigs for Solana protocols, which do not appear in either on-Realms voter sets or Snapshot voter pools because Solana PCAs structurally separate custody from governance signing. Per-address detail for all three classes is in</w:t>
      </w:r>
      <w:r>
        <w:t xml:space="preserve"> </w:t>
      </w:r>
      <w:hyperlink r:id="rId83">
        <w:r>
          <w:rPr>
            <w:rStyle w:val="Hyperlink"/>
          </w:rPr>
          <w:t xml:space="preserve">Supplementary File S12</w:t>
        </w:r>
      </w:hyperlink>
      <w:r>
        <w:t xml:space="preserve">.</w:t>
      </w:r>
    </w:p>
    <w:p>
      <w:pPr>
        <w:pStyle w:val="BodyText"/>
      </w:pPr>
      <w:r>
        <w:rPr>
          <w:b/>
          <w:bCs/>
        </w:rPr>
        <w:t xml:space="preserve">Tally delegate-sample depth.</w:t>
      </w:r>
      <w:r>
        <w:t xml:space="preserve"> </w:t>
      </w:r>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p>
    <w:p>
      <w:pPr>
        <w:pStyle w:val="BodyText"/>
      </w:pPr>
      <w:r>
        <w:rPr>
          <w:b/>
          <w:bCs/>
        </w:rPr>
        <w:t xml:space="preserve">Snapshot signer-side functional PCAs.</w:t>
      </w:r>
      <w:r>
        <w:t xml:space="preserve"> </w:t>
      </w:r>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r>
        <w:t xml:space="preserve"> </w:t>
      </w:r>
      <w:r>
        <w:rPr>
          <w:rStyle w:val="VerbatimChar"/>
        </w:rPr>
        <w:t xml:space="preserve">exclusions_log_signer.csv</w:t>
      </w:r>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p>
    <w:p>
      <w:pPr>
        <w:pStyle w:val="BodyText"/>
      </w:pPr>
      <w:r>
        <w:t xml:space="preserve">The Snapshot signer-side pattern generalizes to a broader institutional-provider dual-account class that complicates on-chain attribution beyond Snapshot governance specifically. The Polkadot operator-attribution audit (Section 4.5.5; supplements S19) surfaces the analogous structure on a different surface: institutional staking providers (Blockdaemon, KILN, pos.dog, Iceberg Nodes, ParaNodes) register Subscan Identity Pallet attestation on their funding</w:t>
      </w:r>
      <w:r>
        <w:t xml:space="preserve"> </w:t>
      </w:r>
      <w:r>
        <w:t xml:space="preserve">“warm wallet”</w:t>
      </w:r>
      <w:r>
        <w:t xml:space="preserve"> </w:t>
      </w:r>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p>
    <w:p>
      <w:pPr>
        <w:pStyle w:val="BodyText"/>
      </w:pPr>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r>
        <w:t xml:space="preserve"> </w:t>
      </w:r>
      <w:r>
        <w:rPr>
          <w:i/>
          <w:iCs/>
        </w:rPr>
        <w:t xml:space="preserve">increases</w:t>
      </w:r>
      <w:r>
        <w:t xml:space="preserve"> </w:t>
      </w:r>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p>
    <w:p>
      <w:pPr>
        <w:pStyle w:val="BodyText"/>
      </w:pPr>
      <w:r>
        <w:rPr>
          <w:b/>
          <w:bCs/>
        </w:rPr>
        <w:t xml:space="preserve">Solana proper-weight methodology.</w:t>
      </w:r>
      <w:r>
        <w:t xml:space="preserve"> </w:t>
      </w:r>
      <w:r>
        <w:t xml:space="preserve">Three Solana protocols supply apples-to-apples voting HHI under proper-weight methodology: JUP at 0.00546 (per-signer max(weight) on</w:t>
      </w:r>
      <w:r>
        <w:t xml:space="preserve"> </w:t>
      </w:r>
      <w:r>
        <w:rPr>
          <w:rStyle w:val="VerbatimChar"/>
        </w:rPr>
        <w:t xml:space="preserve">jupiter_solana.govern_call_setvote</w:t>
      </w:r>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p>
    <w:p>
      <w:pPr>
        <w:pStyle w:val="BodyText"/>
      </w:pPr>
      <w:r>
        <w:rPr>
          <w:b/>
          <w:bCs/>
        </w:rPr>
        <w:t xml:space="preserve">Synthesis.</w:t>
      </w:r>
      <w:r>
        <w:t xml:space="preserve"> </w:t>
      </w:r>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r>
        <w:t xml:space="preserve"> </w:t>
      </w:r>
      <w:hyperlink r:id="rId83">
        <w:r>
          <w:rPr>
            <w:rStyle w:val="Hyperlink"/>
          </w:rPr>
          <w:t xml:space="preserve">Supplementary File S12</w:t>
        </w:r>
      </w:hyperlink>
      <w:r>
        <w:t xml:space="preserve">.</w:t>
      </w:r>
    </w:p>
    <w:bookmarkEnd w:id="84"/>
    <w:bookmarkStart w:id="86" w:name="pca-exclusion-strictness-robustness"/>
    <w:p>
      <w:pPr>
        <w:pStyle w:val="Heading3"/>
      </w:pPr>
      <w:r>
        <w:t xml:space="preserve">4.6.2 PCA exclusion strictness robustness</w:t>
      </w:r>
    </w:p>
    <w:p>
      <w:pPr>
        <w:pStyle w:val="FirstParagraph"/>
      </w:pPr>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p>
    <w:p>
      <w:pPr>
        <w:pStyle w:val="BodyText"/>
      </w:pPr>
      <w:r>
        <w:t xml:space="preserve">Two per-class findings from the sweep carry downstream methodology implications. Class 3 (staking-aggregation contracts) carries disproportionate sector-distinguishing signal: dropping Class 3 in addition to Classes 4 and 5 collapses Cohen’s d from 0.60 to 0.17 (a 3.5x reduction), even though Class 3 contributes only 12 of the 125 total exclusion addresses. Future researchers operationalizing this methodology should treat Class 3 identification as load-bearing for sector-comparative inference rather than a minor procedural step. Class 5 (CEX custody) is approximately sector-neutral: retaining CEX preserves significance (p = 0.039 versus the canonical p = 0.029) and only marginally reduces Cohen’s d (0.84 versus 0.94), consistent with comparable CEX listing rates across DePIN and DeFi at the top-token level. CEX exclusion is methodologically defensible for cross-section consistency but is not load-bearing for the sector contrast in this sample.</w:t>
      </w:r>
    </w:p>
    <w:p>
      <w:pPr>
        <w:pStyle w:val="BodyText"/>
      </w:pPr>
      <w:r>
        <w:t xml:space="preserve">Full per-specification table and per-cell numerical detail are in</w:t>
      </w:r>
      <w:r>
        <w:t xml:space="preserve"> </w:t>
      </w:r>
      <w:hyperlink r:id="rId85">
        <w:r>
          <w:rPr>
            <w:rStyle w:val="Hyperlink"/>
          </w:rPr>
          <w:t xml:space="preserve">Supplementary File S10</w:t>
        </w:r>
      </w:hyperlink>
      <w:r>
        <w:t xml:space="preserve">.</w:t>
      </w:r>
    </w:p>
    <w:bookmarkEnd w:id="86"/>
    <w:bookmarkStart w:id="87" w:name="Xae9e455893dd4d58abdf64eb7fc07743fcf6bf6"/>
    <w:p>
      <w:pPr>
        <w:pStyle w:val="Heading3"/>
      </w:pPr>
      <w:r>
        <w:t xml:space="preserve">4.6.3 Cross-metric and supplementary robustness</w:t>
      </w:r>
    </w:p>
    <w:p>
      <w:pPr>
        <w:pStyle w:val="FirstParagraph"/>
      </w:pPr>
      <w:r>
        <w:t xml:space="preserve">Rank ordering across concentration metrics is stable: HHI-Theil Pearson r = 0.77 and HHI-Gini Pearson r = 0.59 (p &lt; 0.001, N = 40)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p>
    <w:p>
      <w:pPr>
        <w:pStyle w:val="BodyText"/>
      </w:pPr>
      <w:r>
        <w:t xml:space="preserve">Other extended robustness analyses live in supplementary materials rather than the main body: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87"/>
    <w:bookmarkEnd w:id="88"/>
    <w:bookmarkEnd w:id="89"/>
    <w:bookmarkStart w:id="101" w:name="discussion"/>
    <w:p>
      <w:pPr>
        <w:pStyle w:val="Heading1"/>
      </w:pPr>
      <w:r>
        <w:t xml:space="preserve">5 Discussion</w:t>
      </w:r>
    </w:p>
    <w:bookmarkStart w:id="90" w:name="measurement-implications"/>
    <w:p>
      <w:pPr>
        <w:pStyle w:val="Heading2"/>
      </w:pPr>
      <w:r>
        <w:t xml:space="preserve">5.1 Measurement Implications</w:t>
      </w:r>
    </w:p>
    <w:p>
      <w:pPr>
        <w:pStyle w:val="FirstParagraph"/>
      </w:pPr>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p>
    <w:p>
      <w:pPr>
        <w:pStyle w:val="BodyText"/>
      </w:pPr>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p>
    <w:bookmarkEnd w:id="90"/>
    <w:bookmarkStart w:id="91"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Two counterexamples operating in different mechanism domains</w:t>
      </w:r>
      <w:r>
        <w:t xml:space="preserve"> </w:t>
      </w:r>
      <w:r>
        <w:t xml:space="preserve">illustrate that concentration variation is design-tractable rather than</w:t>
      </w:r>
      <w:r>
        <w:t xml:space="preserve"> </w:t>
      </w:r>
      <w:r>
        <w:t xml:space="preserve">mechanically inevitable: Anyone Protocol shows that low DePIN holding</w:t>
      </w:r>
      <w:r>
        <w:t xml:space="preserve"> </w:t>
      </w:r>
      <w:r>
        <w:t xml:space="preserve">concentration is possible despite sector-level concentration risk, and</w:t>
      </w:r>
      <w:r>
        <w:t xml:space="preserve"> </w:t>
      </w:r>
      <w:r>
        <w:t xml:space="preserve">ENS shows that delegation can disperse voting power below the holding</w:t>
      </w:r>
      <w:r>
        <w:t xml:space="preserve"> </w:t>
      </w:r>
      <w:r>
        <w:t xml:space="preserve">baseline under a mature delegate program. GMX, HNT, and JUP extend the</w:t>
      </w:r>
      <w:r>
        <w:t xml:space="preserve"> </w:t>
      </w:r>
      <w:r>
        <w:t xml:space="preserve">delegation-dispersion case under different mechanism designs, while</w:t>
      </w:r>
      <w:r>
        <w:t xml:space="preserve"> </w:t>
      </w:r>
      <w:r>
        <w:t xml:space="preserve">Curve and Balancer show that vote-escrowed governance can amplify voting</w:t>
      </w:r>
      <w:r>
        <w:t xml:space="preserve"> </w:t>
      </w:r>
      <w:r>
        <w:t xml:space="preserve">concentration far above raw token holdings.</w:t>
      </w:r>
    </w:p>
    <w:p>
      <w:pPr>
        <w:pStyle w:val="BodyText"/>
      </w:pPr>
      <w:r>
        <w:t xml:space="preserve">For practitioners, the immediate design lesson is to measure current</w:t>
      </w:r>
      <w:r>
        <w:t xml:space="preserve"> </w:t>
      </w:r>
      <w:r>
        <w:t xml:space="preserve">governance power rather than infer it from launch documents.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bookmarkEnd w:id="91"/>
    <w:bookmarkStart w:id="92"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p>
    <w:p>
      <w:pPr>
        <w:pStyle w:val="BodyText"/>
      </w:pPr>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p>
    <w:bookmarkEnd w:id="92"/>
    <w:bookmarkStart w:id="93" w:name="position-in-literature"/>
    <w:p>
      <w:pPr>
        <w:pStyle w:val="Heading2"/>
      </w:pPr>
      <w:r>
        <w:t xml:space="preserve">5.4 Position in Literature</w:t>
      </w:r>
    </w:p>
    <w:p>
      <w:pPr>
        <w:pStyle w:val="FirstParagraph"/>
      </w:pPr>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93"/>
    <w:bookmarkStart w:id="94" w:name="summary-of-findings"/>
    <w:p>
      <w:pPr>
        <w:pStyle w:val="Heading2"/>
      </w:pPr>
      <w:r>
        <w:t xml:space="preserve">5.5 Summary of Findings</w:t>
      </w:r>
    </w:p>
    <w:p>
      <w:pPr>
        <w:pStyle w:val="FirstParagraph"/>
      </w:pPr>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p>
    <w:p>
      <w:pPr>
        <w:pStyle w:val="BodyText"/>
      </w:pPr>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w:t>
      </w:r>
    </w:p>
    <w:bookmarkEnd w:id="94"/>
    <w:bookmarkStart w:id="95" w:name="contributions"/>
    <w:p>
      <w:pPr>
        <w:pStyle w:val="Heading2"/>
      </w:pPr>
      <w:r>
        <w:t xml:space="preserve">5.6 Contributions</w:t>
      </w:r>
    </w:p>
    <w:p>
      <w:pPr>
        <w:pStyle w:val="FirstParagraph"/>
      </w:pPr>
      <w:r>
        <w:t xml:space="preserve">The paper makes four empirical contributions.</w:t>
      </w:r>
    </w:p>
    <w:p>
      <w:pPr>
        <w:pStyle w:val="BodyText"/>
      </w:pPr>
      <w:r>
        <w:rPr>
          <w:b/>
          <w:bCs/>
        </w:rPr>
        <w:t xml:space="preserve">First, generalizable PCA exclusion methodology</w:t>
      </w:r>
      <w:r>
        <w:t xml:space="preserve"> </w:t>
      </w:r>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and should be read with the Model 3 attenuation and small-sample limits in view.</w:t>
      </w:r>
    </w:p>
    <w:p>
      <w:pPr>
        <w:pStyle w:val="BodyText"/>
      </w:pPr>
      <w:r>
        <w:rPr>
          <w:b/>
          <w:bCs/>
        </w:rPr>
        <w:t xml:space="preserve">Fourth, delegation-amplification measurement</w:t>
      </w:r>
      <w:r>
        <w:t xml:space="preserve"> </w:t>
      </w:r>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p>
    <w:bookmarkEnd w:id="95"/>
    <w:bookmarkStart w:id="96" w:name="limitations"/>
    <w:p>
      <w:pPr>
        <w:pStyle w:val="Heading2"/>
      </w:pPr>
      <w:r>
        <w:t xml:space="preserve">5.7 Limitations</w:t>
      </w:r>
    </w:p>
    <w:p>
      <w:pPr>
        <w:pStyle w:val="FirstParagraph"/>
      </w:pPr>
      <w:r>
        <w:t xml:space="preserve">The evidence reported here carries three main limitations and three documented-as-resolved or partially-resolved methodology cases. First, the analysis is a March 2026 cross-section, so it supports descriptive association rather than causal inference or trajectory claims; partial longitudinal evidence is reported in Supplementary File S7 (14-protocol quarterly HHI panel; 11 of 14 monotonic-decay) and Supplementary File S17 (14-protocol Q1/Q8 trajectory analysis; 85.7 percent monotonic-decay; HALT-3.2 PASS), but a full 40-protocol monthly panel remains future work (Section 5.8). Second, the 40-protocol sample is large enough for descriptive comparison but small for fully specified multivariate regression; Model 3 has only 35 observations, and the Phase 4 mini-batch extension to 45 protocols (Supplementary File S16) closes the sample-size limitation pending Token Terminal covariate availability for the 5 added protocols (revenue + FDV + treasury + incentives). Third, operator-attribution coverage is asymmetric across chain architectures: Etherscan + Nansen labels yield roughly 95 percent high-share holder attribution on EVM protocols; Helius DAS + Sim API yields roughly 80 percent on Solana protocols (Phase 5 cross-protocol candidate verification cycle closed at 7 of 7 candidates per S13 addendum); Substrate NPoS protocols (Polkadot; sister substrate-native L1+DePIN)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in Section 4.5.5 are therefore reported as lower bounds for Substrate NPoS protocols; the same is not true for the EVM and Solana CEX-overlap findings, which use near-complete-coverage attribution data.</w:t>
      </w:r>
    </w:p>
    <w:p>
      <w:pPr>
        <w:pStyle w:val="BodyText"/>
      </w:pPr>
      <w:r>
        <w:t xml:space="preserve">Three originally-identified limitations have been substantively resolved across the post-R2 data-collection arc and are noted here for review-process completeness rather than as standing limitations. The voting-HHI coverage gap (originally 13 protocols) has been extended to 17 protocols via the Phase 2 voting-HHI expansion (Supplementary File S15 addendum: BAL + GTC + POKT + MPL_SYRUP added through Snapshot Hub voter-pool extension); the predominant-amplification fraction 68.75 percent on the extended sample remains above the conventional two-thirds threshold supporting the Section 4.5 finding. The HHI-versus-pivotal-power gap has been closed via the Phase 1 Shapley-Shubik + Banzhaf full-sample extension to N = 16 (Supplementary File S14 full closure); the 3-class amplification typology in Section 4.5 (structural-majority; coordinated-amplification; track-share) replaces the originally-identified gap with a methodologically-stronger framework, with the Phase 1 acceptance test (Pearson r SS-HHI versus Voting-HHI greater than 0.95) passing at r = 0.9756 across the full N = 16 sample with rank-stability holding across all six quorum thresholds from 0.33 through 0.75. The Solana PCA classification gap has been closed via the Phase 5 cross-protocol Solana candidate verification cycle: 7 of 7 candidates verified via Sim API balance + token-portfolio analysis (6 classified as CEX hot wallet; 1 as institutional investor; HONEY exclusion-attribution mismatch and IO holder-data gap both resolved per supplements S13 and S13 addendum).</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w:t>
      </w:r>
      <w:r>
        <w:t xml:space="preserve"> </w:t>
      </w:r>
      <w:r>
        <w:t xml:space="preserve">sector can be isolated from correlated controls.</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Measurement extensions that would refine these findings without changing</w:t>
      </w:r>
      <w:r>
        <w:t xml:space="preserve"> </w:t>
      </w:r>
      <w:r>
        <w:t xml:space="preserve">the core claim are enumerated in Section 5.8.</w:t>
      </w:r>
    </w:p>
    <w:bookmarkEnd w:id="96"/>
    <w:bookmarkStart w:id="99" w:name="future-research"/>
    <w:p>
      <w:pPr>
        <w:pStyle w:val="Heading2"/>
      </w:pPr>
      <w:r>
        <w:t xml:space="preserve">5.8 Future Research</w:t>
      </w:r>
    </w:p>
    <w:p>
      <w:pPr>
        <w:pStyle w:val="FirstParagraph"/>
      </w:pPr>
      <w:r>
        <w:t xml:space="preserve">Three research directions have highest priority. First, longitudinal governance tracking: monthly snapshots of HHI and Gini across the full 40-protocol sample would convert the current cross-section into a panel dataset, enabling analysis of deconcentration trajectories and the governance effects of specific reform events (delegation program launches, vesting cliff expirations). Partial closure of this direction has already shipped via a 14-protocol quarterly panel (</w:t>
      </w:r>
      <w:hyperlink r:id="rId97">
        <w:r>
          <w:rPr>
            <w:rStyle w:val="Hyperlink"/>
          </w:rPr>
          <w:t xml:space="preserve">Supplementary File S7</w:t>
        </w:r>
      </w:hyperlink>
      <w:r>
        <w:t xml:space="preserve">; 11 of 14 protocols exhibit monotonic governance HHI decay over 24 months post-token-generation event with vote-escrow CRV, reservoir-drip COMP, and claim-window ENS as exceptions) and a 14-protocol Q1/Q8 trajectory analysis (</w:t>
      </w:r>
      <w:hyperlink r:id="rId98">
        <w:r>
          <w:rPr>
            <w:rStyle w:val="Hyperlink"/>
          </w:rPr>
          <w:t xml:space="preserve">Supplementary File S17</w:t>
        </w:r>
      </w:hyperlink>
      <w:r>
        <w:t xml:space="preserve">; 85.7 percent monotonic-decay; HALT-3.2 PASS); both are consistent with the cross-sectional allocation null reported in Section 4.4. Full 40-protocol monthly extraction remains a dedicated multi-cycle dispatch.</w:t>
      </w:r>
    </w:p>
    <w:p>
      <w:pPr>
        <w:pStyle w:val="BodyText"/>
      </w:pPr>
      <w:r>
        <w:t xml:space="preserve">Second, sample expansion: the current cross-section of 40 protocols supports descriptive analysis. A Phase 4 mini-batch already extends the sample to 45 protocols (FXS, SNX, GNO, TAO, DOT added; PCA classification + holder distributions + top-N values shipped to Supplementary File S16); the remaining expansion to N = 50-60 plus the multivariate regression on the extended sample is the natural next step (the latter pending Dune extraction of revenue + treasury covariates for the 5 added protocols, since Token Terminal coverage is not yet available for these protocols).</w:t>
      </w:r>
    </w:p>
    <w:p>
      <w:pPr>
        <w:pStyle w:val="BodyText"/>
      </w:pPr>
      <w:r>
        <w:t xml:space="preserve">Third, operator-infrastructure concentration as candidate sixth concentration axis. The Polkadot operator-attribution audit (Section 4.5.5; supplements S19) surfaces a candidate axis specific to validator-network infrastructure: cloud-provider / colocation / self-hosted classification of the underlying compute substrate, computable from external sources (Polkawatch records include LastRegion + LastCountry + LastNetwork + Nominators + TokenRewards fields). Validator-infrastructure HHI at the ISP-tier (Hetzner Online GmbH vs AWS vs DigitalOcean vs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future-cycle expansion target.</w:t>
      </w:r>
    </w:p>
    <w:p>
      <w:pPr>
        <w:pStyle w:val="BodyText"/>
      </w:pPr>
      <w:r>
        <w:t xml:space="preserve">Three originally-identified future directions have been substantively addressed across the post-R2 data-collection arc and are noted here for review-process completeness. The cross-protocol delegate overlap research direction is closed at the Snapshot + Tally surfaces via Section 4.5.5 (PGov + Tane Governance + Arana Digital cross-platform attestation; 7 additional Tally-side institutional firms surfaced including Blockworks Advisory, Wintermute Governance, L2BEAT, Humpy, Gauntlet, GFX Labs, olimpio) and via the Polkadot sister-evidence (Coinbase 12 + EXNESS 6 + Binance 15 cross-protocol CEX-validator footprint at least 27); extension to Solana governance surfaces (Realms, SPL Governance) and to off-Snapshot off-Tally surfaces (governance forums, off-chain coordination mechanisms) remains the natural next step. The coalition-based power-index extension (Shapley &amp; Shubik, 1954; Banzhaf, 1968) is closed via the Phase 1 full-sample extension to N = 16 (Supplementary File S14 full closure); the 3-class amplification typology in Section 4.5 (structural-majority; coordinated-amplification; track-share) is the substantive contribution. Recent game-theoretic results (Kiayias et al., 2025) indicate Shapley-based reward distributions achieve bounded Price of Stability (4/3) in oceanic staking models while resisting Sybil stake-splitting attacks, supporting the measurement extension’s theoretical grounding. The voting-HHI coverage gap has been extended from 13 to 17 protocols via the Phase 2 expansion (Supplementary File S15 addendum: BAL + GTC + POKT + MPL_SYRUP added through Snapshot Hub voter-pool extension); the predominant-amplification fraction 68.75 percent on the extended sample remains above the conventional two-thirds threshold supporting the Section 4.5 finding.</w:t>
      </w:r>
    </w:p>
    <w:p>
      <w:pPr>
        <w:pStyle w:val="BodyText"/>
      </w:pPr>
      <w:r>
        <w:t xml:space="preserve">B2’s forward agenda is empirical: convert the current cross-section into panel evidence, complete the sample expansion to N = 50-60 with multivariate regression on the extended sample, and evaluate operator-infrastructure as candidate sixth axis.</w:t>
      </w:r>
    </w:p>
    <w:p>
      <w:pPr>
        <w:pStyle w:val="BodyText"/>
      </w:pPr>
      <w:r>
        <w:t xml:space="preserve">Falsifiable forward claims. The cross-sectional design supports four</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FirstParagraph"/>
      </w:pPr>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98">
        <w:r>
          <w:rPr>
            <w:rStyle w:val="Hyperlink"/>
          </w:rPr>
          <w:t xml:space="preserve">Supplementary File S17</w:t>
        </w:r>
      </w:hyperlink>
      <w:r>
        <w:t xml:space="preserve">.</w:t>
      </w:r>
    </w:p>
    <w:bookmarkEnd w:id="99"/>
    <w:bookmarkStart w:id="100" w:name="reproducibility-and-data-availability"/>
    <w:p>
      <w:pPr>
        <w:pStyle w:val="Heading2"/>
      </w:pPr>
      <w:r>
        <w:t xml:space="preserve">5.9 Reproducibility and Data Availability</w:t>
      </w:r>
    </w:p>
    <w:p>
      <w:pPr>
        <w:pStyle w:val="FirstParagraph"/>
      </w:pPr>
      <w:r>
        <w:t xml:space="preserve">The 40-protocol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Supplementary</w:t>
      </w:r>
      <w:r>
        <w:t xml:space="preserve"> </w:t>
      </w:r>
      <w:r>
        <w:t xml:space="preserve">File S6.</w:t>
      </w:r>
    </w:p>
    <w:bookmarkEnd w:id="100"/>
    <w:bookmarkEnd w:id="101"/>
    <w:bookmarkStart w:id="102"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p>
    <w:p>
      <w:pPr>
        <w:pStyle w:val="BodyText"/>
      </w:pPr>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p>
    <w:bookmarkEnd w:id="102"/>
    <w:bookmarkStart w:id="103"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raw holder-data workflow,</w:t>
      </w:r>
      <w:r>
        <w:t xml:space="preserve"> </w:t>
      </w:r>
      <w:r>
        <w:t xml:space="preserve">and address-level PCA documentation.</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S15: Optimism worked example retained as a supplementary case.</w:t>
      </w:r>
    </w:p>
    <w:p>
      <w:pPr>
        <w:pStyle w:val="BodyText"/>
      </w:pPr>
      <w:r>
        <w:t xml:space="preserve">S16: Aethir, IoTeX, and ENS sensitivity analyses.</w:t>
      </w:r>
    </w:p>
    <w:p>
      <w:pPr>
        <w:pStyle w:val="BodyText"/>
      </w:pPr>
      <w:r>
        <w:t xml:space="preserve">S17: Falsifiable predictions and pre-registration specification.</w:t>
      </w:r>
    </w:p>
    <w:p>
      <w:pPr>
        <w:pStyle w:val="BodyText"/>
      </w:pPr>
      <w:r>
        <w:t xml:space="preserve">Replication data:</w:t>
      </w:r>
      <w:r>
        <w:t xml:space="preserve"> </w:t>
      </w:r>
      <w:r>
        <w:t xml:space="preserve">https://github.com/Research-Publications-and-Data/Tokenomics-As-Institutional_Design</w:t>
      </w:r>
    </w:p>
    <w:bookmarkEnd w:id="103"/>
    <w:bookmarkStart w:id="104"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04"/>
    <w:bookmarkStart w:id="105"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Cohen, J. (1989). Deliberation and democratic legitimacy. In A. Hamlin</w:t>
      </w:r>
      <w:r>
        <w:t xml:space="preserve"> </w:t>
      </w:r>
      <w:r>
        <w:t xml:space="preserve">&amp; P. Pettit (Eds.), The good polity: Normative analysis of the state</w:t>
      </w:r>
      <w:r>
        <w:t xml:space="preserve"> </w:t>
      </w:r>
      <w:r>
        <w:t xml:space="preserve">(pp. 17-34). Blackwell.</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7" Target="https://github.com/Research-Publications-and-Data/Tokenomics-As-Institutional_Design/blob/main/b2/paper/supplements/S13_solana_pca_audit_addendum_2026-05-27.md" TargetMode="External" /><Relationship Type="http://schemas.openxmlformats.org/officeDocument/2006/relationships/hyperlink" Id="rId60" Target="https://github.com/Research-Publications-and-Data/Tokenomics-As-Institutional_Design/blob/main/b2/paper/supplements/S14_power_indices_full_closure_2026-05-27.md" TargetMode="External" /><Relationship Type="http://schemas.openxmlformats.org/officeDocument/2006/relationships/hyperlink" Id="rId69" Target="https://github.com/Research-Publications-and-Data/Tokenomics-As-Institutional_Design/blob/main/b2/paper/supplements/S16_phase4_minibatch_2026-05-27.md" TargetMode="External" /><Relationship Type="http://schemas.openxmlformats.org/officeDocument/2006/relationships/hyperlink" Id="rId98" Target="https://github.com/Research-Publications-and-Data/Tokenomics-As-Institutional_Design/blob/main/b2/paper/supplements/S17_falsifiable_predictions.md" TargetMode="External" /><Relationship Type="http://schemas.openxmlformats.org/officeDocument/2006/relationships/hyperlink" Id="rId71" Target="https://github.com/Research-Publications-and-Data/Tokenomics-As-Institutional_Design/blob/main/b2/paper/supplements/S19_dot_polkawatch_synthesis_2026-05-27.md" TargetMode="External" /><Relationship Type="http://schemas.openxmlformats.org/officeDocument/2006/relationships/hyperlink" Id="rId70" Target="https://github.com/Research-Publications-and-Data/Tokenomics-As-Institutional_Design/blob/main/b2/paper/supplements/S19_dot_verification_execution_2026-05-27.md" TargetMode="External" /><Relationship Type="http://schemas.openxmlformats.org/officeDocument/2006/relationships/hyperlink" Id="rId68" Target="https://github.com/Research-Publications-and-Data/Tokenomics-As-Institutional_Design/blob/main/b2/paper/supplements/S19_phase4_scope_expansion_2026-05-27.md" TargetMode="External" /><Relationship Type="http://schemas.openxmlformats.org/officeDocument/2006/relationships/hyperlink" Id="rId72" Target="https://github.com/Research-Publications-and-Data/Tokenomics-As-Institutional_Design/blob/main/b2/paper/supplements/S19_polkawatch_api_discovery_2026-05-27.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73" Target="https://github.com/Research-Publications-and-Data/Tokenomics-As-Institutional_Design/blob/main/b2/paper/supplements/S20_dot_subscan_refresh_finding_2026-05-27.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97"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7" Target="https://github.com/Research-Publications-and-Data/Tokenomics-As-Institutional_Design/blob/main/b2/paper/supplements/S13_solana_pca_audit_addendum_2026-05-27.md" TargetMode="External" /><Relationship Type="http://schemas.openxmlformats.org/officeDocument/2006/relationships/hyperlink" Id="rId60" Target="https://github.com/Research-Publications-and-Data/Tokenomics-As-Institutional_Design/blob/main/b2/paper/supplements/S14_power_indices_full_closure_2026-05-27.md" TargetMode="External" /><Relationship Type="http://schemas.openxmlformats.org/officeDocument/2006/relationships/hyperlink" Id="rId69" Target="https://github.com/Research-Publications-and-Data/Tokenomics-As-Institutional_Design/blob/main/b2/paper/supplements/S16_phase4_minibatch_2026-05-27.md" TargetMode="External" /><Relationship Type="http://schemas.openxmlformats.org/officeDocument/2006/relationships/hyperlink" Id="rId98" Target="https://github.com/Research-Publications-and-Data/Tokenomics-As-Institutional_Design/blob/main/b2/paper/supplements/S17_falsifiable_predictions.md" TargetMode="External" /><Relationship Type="http://schemas.openxmlformats.org/officeDocument/2006/relationships/hyperlink" Id="rId71" Target="https://github.com/Research-Publications-and-Data/Tokenomics-As-Institutional_Design/blob/main/b2/paper/supplements/S19_dot_polkawatch_synthesis_2026-05-27.md" TargetMode="External" /><Relationship Type="http://schemas.openxmlformats.org/officeDocument/2006/relationships/hyperlink" Id="rId70" Target="https://github.com/Research-Publications-and-Data/Tokenomics-As-Institutional_Design/blob/main/b2/paper/supplements/S19_dot_verification_execution_2026-05-27.md" TargetMode="External" /><Relationship Type="http://schemas.openxmlformats.org/officeDocument/2006/relationships/hyperlink" Id="rId68" Target="https://github.com/Research-Publications-and-Data/Tokenomics-As-Institutional_Design/blob/main/b2/paper/supplements/S19_phase4_scope_expansion_2026-05-27.md" TargetMode="External" /><Relationship Type="http://schemas.openxmlformats.org/officeDocument/2006/relationships/hyperlink" Id="rId72" Target="https://github.com/Research-Publications-and-Data/Tokenomics-As-Institutional_Design/blob/main/b2/paper/supplements/S19_polkawatch_api_discovery_2026-05-27.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73" Target="https://github.com/Research-Publications-and-Data/Tokenomics-As-Institutional_Design/blob/main/b2/paper/supplements/S20_dot_subscan_refresh_finding_2026-05-27.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97"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2026-05-27T10:01:15Z</dcterms:created>
  <dcterms:modified xsi:type="dcterms:W3CDTF">2026-05-27T10:01:15Z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