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0.023,</w:t>
      </w:r>
      <w:r>
        <w:t xml:space="preserve"> </w:t>
      </w:r>
      <w:r>
        <w:t xml:space="preserve">Cohen’s d = 1.00),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0.023, Cohen’s d = 1.00),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four-class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69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(69 addresses across 20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four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t xml:space="preserve">Across the four classes, this paper excludes 69 PCA addresses across</w:t>
      </w:r>
      <w:r>
        <w:t xml:space="preserve"> </w:t>
      </w:r>
      <w:r>
        <w:t xml:space="preserve">20 protocols (Supplementary File S6).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four-class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69 protocol-controlled addresses excluded across 20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0.043; Mann-Whitney p = 0.023,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0.006.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0.023, d = 1.00)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0.023, Cohen’s</w:t>
      </w:r>
      <w:r>
        <w:t xml:space="preserve"> </w:t>
      </w:r>
      <w:r>
        <w:t xml:space="preserve">d = 1.00)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0.023; Cohen’s d = 0.96 to 1.00;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0.023, d = 1.00),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69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four-class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0.023, Cohen’s</w:t>
      </w:r>
      <w:r>
        <w:t xml:space="preserve"> </w:t>
      </w:r>
      <w:r>
        <w:t xml:space="preserve">d = 1.00;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(69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2026-05-19T04:28:52Z</dcterms:created>
  <dcterms:modified xsi:type="dcterms:W3CDTF">2026-05-19T04:28:52Z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