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 Token allocation is a launch document. Governance concentration is a live institutional state. We turn that standard into a method and run it across a 52-protocol cross-section spanning DePIN, DeFi, infrastructure, and social tokens, computing Herfindahl-Hirschman Index (HHI) concentration after excluding protocol-controlled addresses (PCAs). Under audit, launch-design and protocol-financial covariates (insider, team, and investor allocation; protocol maturity; circulating float; valuation ratios) are each uninformative about steady-state concentration (insider allocation Pearson r = 0.10, p = 0.49, N = 50); current insider retention is the holder-side correlate that survives. Protocols with more insider wallets among top holders are more concentrated (Spearman rho = 0.44, p = 0.005, N = 39, surviving a non-insider HHI tautology check at rho = 0.54). Voting mechanisms then move power away from holdings: delegation amplifies voting power above token holdings in thirteen of eighteen protocols with sufficient governance data, with five design-driven exceptions (ENS, GMX, HNT, JUP, LPT), and a subsidy-to-concentration association appears only through a single outlier (Pearson r = 0.62 including Livepeer, r = 0.07 excluding it). The same audit applied across sectors yields one demonstration of its discriminating power: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that illustrates the method rather than the paper’s central claim (Section 4.6.2).</w:t>
      </w:r>
    </w:p>
    <w:p>
      <w:pPr>
        <w:pStyle w:val="BodyText"/>
      </w:pPr>
      <w:r>
        <w:t xml:space="preserve">The methodological core is that holder-list concentration is meaningless until the unit of control is identified. The generalizable five-class PCA-exclusion typology is therefore not data cleaning but control attribution: excluding protocol-controlled addresses attributes the unit of governance control rather than scrubbing noise, and it corrects systematic inflation in prior holder-list concentration studies (median inflation factor 2.3x, maximum approximately 18x). Once control is correctly attributed,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audit standard and the current-control thesis are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the current control state that post-distribution institutional design produces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p>
    <w:p>
      <w:pPr>
        <w:pStyle w:val="BodyText"/>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over a 12-month rolling window (2025-05-22 to</w:t>
      </w:r>
      <w:r>
        <w:t xml:space="preserve"> </w:t>
      </w:r>
      <w:r>
        <w:t xml:space="preserve">2026-05-22) of Tally and Snapshot governance data, while the Table 3</w:t>
      </w:r>
      <w:r>
        <w:t xml:space="preserve"> </w:t>
      </w:r>
      <w:r>
        <w:t xml:space="preserve">holding HHI uses a March 2026 holder-list snapshot. Voting-power</w:t>
      </w:r>
      <w:r>
        <w:t xml:space="preserve"> </w:t>
      </w:r>
      <w:r>
        <w:t xml:space="preserve">distributions can drift over multi-month windows, so replication runs</w:t>
      </w:r>
      <w:r>
        <w:t xml:space="preserve"> </w:t>
      </w:r>
      <w:r>
        <w:t xml:space="preserve">using fresh data should expect comparable but not identical voting HHI</w:t>
      </w:r>
      <w:r>
        <w:t xml:space="preserve"> </w:t>
      </w:r>
      <w:r>
        <w:t xml:space="preserve">values, with rank ordering across protocols the more durable inferential</w:t>
      </w:r>
      <w:r>
        <w:t xml:space="preserve"> </w:t>
      </w:r>
      <w:r>
        <w:t xml:space="preserve">property than absolute magnitude. Two robustness checks support this</w:t>
      </w:r>
      <w:r>
        <w:t xml:space="preserve"> </w:t>
      </w:r>
      <w:r>
        <w:t xml:space="preserve">durability claim. First, Table 6b recomputes pooled voting HHI over each</w:t>
      </w:r>
      <w:r>
        <w:t xml:space="preserve"> </w:t>
      </w:r>
      <w:r>
        <w:t xml:space="preserve">protocol’s complete same-surface proposal history for the twelve</w:t>
      </w:r>
      <w:r>
        <w:t xml:space="preserve"> </w:t>
      </w:r>
      <w:r>
        <w:t xml:space="preserve">protocols with a same-surface full-history pool; the 12-month and</w:t>
      </w:r>
      <w:r>
        <w:t xml:space="preserve"> </w:t>
      </w:r>
      <w:r>
        <w:t xml:space="preserve">full-history values are rank-stable (Spearman rho = 0.87) and preserve</w:t>
      </w:r>
      <w:r>
        <w:t xml:space="preserve"> </w:t>
      </w:r>
      <w:r>
        <w:t xml:space="preserve">every amplify-or-disperse classification. Second, Section 4.5.4.2 reports</w:t>
      </w:r>
      <w:r>
        <w:t xml:space="preserve"> </w:t>
      </w:r>
      <w:r>
        <w:t xml:space="preserve">per-period voting-HHI trajectories that are stable across multi-year</w:t>
      </w:r>
      <w:r>
        <w:t xml:space="preserve"> </w:t>
      </w:r>
      <w:r>
        <w:t xml:space="preserve">windows of normal participation. Section 4.6 reports a PCA-symmetric</w:t>
      </w:r>
      <w:r>
        <w:t xml:space="preserve"> </w:t>
      </w:r>
      <w:r>
        <w:t xml:space="preserve">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Voter Stake Registry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Protocol-controlled-address (PCA) exclusion is best understood as</w:t>
      </w:r>
      <w:r>
        <w:t xml:space="preserve"> </w:t>
      </w:r>
      <w:r>
        <w:t xml:space="preserve">control attribution rather than data cleaning. Holder-list</w:t>
      </w:r>
      <w:r>
        <w:t xml:space="preserve"> </w:t>
      </w:r>
      <w:r>
        <w:t xml:space="preserve">concentration is uninformative until the unit of control is identified:</w:t>
      </w:r>
      <w:r>
        <w:t xml:space="preserve"> </w:t>
      </w:r>
      <w:r>
        <w:t xml:space="preserve">the same address list yields a different concentration reading</w:t>
      </w:r>
      <w:r>
        <w:t xml:space="preserve"> </w:t>
      </w:r>
      <w:r>
        <w:t xml:space="preserve">depending on which positions represent an independent governance</w:t>
      </w:r>
      <w:r>
        <w:t xml:space="preserve"> </w:t>
      </w:r>
      <w:r>
        <w:t xml:space="preserve">holder and which represent burn sinks, foundation custody, staking</w:t>
      </w:r>
      <w:r>
        <w:t xml:space="preserve"> </w:t>
      </w:r>
      <w:r>
        <w:t xml:space="preserve">aggregators, bridge accounting, or exchange deposits. Excluding</w:t>
      </w:r>
      <w:r>
        <w:t xml:space="preserve"> </w:t>
      </w:r>
      <w:r>
        <w:t xml:space="preserve">protocol-controlled addresses is the step that attributes the unit of</w:t>
      </w:r>
      <w:r>
        <w:t xml:space="preserve"> </w:t>
      </w:r>
      <w:r>
        <w:t xml:space="preserve">control; it is not a tidying pass applied to otherwise-meaningful</w:t>
      </w:r>
      <w:r>
        <w:t xml:space="preserve"> </w:t>
      </w:r>
      <w:r>
        <w:t xml:space="preserve">numbers. The PCA-exclusion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because the classes mark the addresses whose</w:t>
      </w:r>
      <w:r>
        <w:t xml:space="preserve"> </w:t>
      </w:r>
      <w:r>
        <w:t xml:space="preserve">holdings are not independent units of control.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is the control-attribution step itself,</w:t>
      </w:r>
      <w:r>
        <w:t xml:space="preserve"> </w:t>
      </w:r>
      <w:r>
        <w:t xml:space="preserve">not a data-cleaning convenience: any future cross-protocol governance</w:t>
      </w:r>
      <w:r>
        <w:t xml:space="preserve"> </w:t>
      </w:r>
      <w:r>
        <w:t xml:space="preserve">HHI analysis should apply the five-class PCA exclusion uniformly before reporting</w:t>
      </w:r>
      <w:r>
        <w:t xml:space="preserve"> </w:t>
      </w:r>
      <w:r>
        <w:t xml:space="preserve">holding concentration metrics, because until protocol-controlled addresses are</w:t>
      </w:r>
      <w:r>
        <w:t xml:space="preserve"> </w:t>
      </w:r>
      <w:r>
        <w:t xml:space="preserve">removed the holder list has not yet identified its unit of control and the resulting</w:t>
      </w:r>
      <w:r>
        <w:t xml:space="preserve"> </w:t>
      </w:r>
      <w:r>
        <w:t xml:space="preserve">concentration figure measures custody arrangements rather than governance holding.</w:t>
      </w:r>
      <w:r>
        <w:t xml:space="preserve"> </w:t>
      </w:r>
      <w:r>
        <w:t xml:space="preserve">The specific addresses depend on the protocol sample;</w:t>
      </w:r>
      <w:r>
        <w:t xml:space="preserve"> </w:t>
      </w:r>
      <w:r>
        <w:t xml:space="preserve">the methodology is sample-independent.</w:t>
      </w:r>
    </w:p>
    <w:bookmarkEnd w:id="43"/>
    <w:bookmarkEnd w:id="44"/>
    <w:bookmarkStart w:id="94"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This section demonstrates the audit method on a sector comparison: the DePIN-versus-DeFi contrast is a demonstration of the audit method applied to a cross-protocol cut, not the paper’s core contribution, which is the audit method together with the allocation-null and insider-retention contrast. With that ranking made explicit, the contrast reads as follows. 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percent while leading</w:t>
      </w:r>
      <w:r>
        <w:t xml:space="preserve"> </w:t>
      </w:r>
      <w:r>
        <w:t xml:space="preserve">DeFi protocol fees declined 27 to 70 percent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w:t>
      </w:r>
      <w:r>
        <w:t xml:space="preserve"> </w:t>
      </w:r>
      <w:r>
        <w:rPr>
          <w:b/>
          <w:bCs/>
        </w:rPr>
        <w:t xml:space="preserve">Before versus after correction.</w:t>
      </w:r>
      <w:r>
        <w:t xml:space="preserve"> </w:t>
      </w:r>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 The percentage of total supply allocated to team and</w:t>
      </w:r>
      <w:r>
        <w:t xml:space="preserve"> </w:t>
      </w:r>
      <w:r>
        <w:t xml:space="preserve">investors at launch shows no significant association with</w:t>
      </w:r>
      <w:r>
        <w:t xml:space="preserve"> </w:t>
      </w:r>
      <w:r>
        <w:t xml:space="preserve">post-distribution HHI (Pearson r = 0.10, p = 0.49, N = 50; Spearman rho</w:t>
      </w:r>
      <w:r>
        <w:t xml:space="preserve"> </w:t>
      </w:r>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4.6 percent of the variance in post-exclusion HHI (F(3, 41) = 0.66, p = 0.58),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-0.11, Spearman rho = 0.04, N = 13; both non-significant), with the three-month value (Pearson r = -0.23), and with the three-to-twenty-four-month change (Pearson r = -0.23), and the null is robust to dropping the two most influential protocols (Curve, a structural vote-escrow outlier, and Aave, the only zero-insider-allocation protocol)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Consistent with the paper’s scope (Section 5.7), these panel correlations are descriptive and do not support causal or trajectory claims; the full panel analysis is specified as future work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The null relationship (Pearson r = 0.10, p = 0.49; Spearman rho = 0.16, p = 0.27)</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0.10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2"/>
    <w:bookmarkStart w:id="79"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rPr>
          <w:b/>
          <w:bCs/>
        </w:rPr>
        <w:t xml:space="preserve">Table 6b. Full-history voting-HHI robustness.</w:t>
      </w:r>
      <w:r>
        <w:t xml:space="preserve"> </w:t>
      </w:r>
      <w:r>
        <w:t xml:space="preserve">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p>
    <w:tbl>
      <w:tblPr>
        <w:tblStyle w:val="Table"/>
        <w:tblW w:type="pct" w:w="5000"/>
        <w:tblLayout w:type="fixed"/>
        <w:tblLook w:firstRow="1" w:lastRow="0" w:firstColumn="0" w:lastColumn="0" w:noHBand="0" w:noVBand="0" w:val="0020"/>
      </w:tblPr>
      <w:tblGrid>
        <w:gridCol w:w="845"/>
        <w:gridCol w:w="1307"/>
        <w:gridCol w:w="1307"/>
        <w:gridCol w:w="1922"/>
        <w:gridCol w:w="999"/>
        <w:gridCol w:w="1537"/>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1000</w:t>
            </w:r>
          </w:p>
        </w:tc>
        <w:tc>
          <w:tcPr/>
          <w:p>
            <w:pPr>
              <w:pStyle w:val="Compact"/>
            </w:pPr>
            <w:r>
              <w:t xml:space="preserve">top-1,000 registry</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6" w:name="X3e309855b03a6d16c692cf733d7205e5f5ddaa9"/>
    <w:p>
      <w:pPr>
        <w:pStyle w:val="Heading3"/>
      </w:pPr>
      <w:r>
        <w:t xml:space="preserve">4.5.4.2 Multi-year voting-concentration trajectories</w:t>
      </w:r>
    </w:p>
    <w:p>
      <w:pPr>
        <w:pStyle w:val="FirstParagraph"/>
      </w:pPr>
      <w:r>
        <w:t xml:space="preserve">For the protocols where a true per-period voting series is recoverable, voting concentration is stable across multi-year windows of normal participation (Figure 7), and the only large excursions occur in late, low-turnout periods where a collapsing voter count mechanically inflates per-period HHI. This confirms that the Table 6 figures reflect full-history voting behavior rather than a single-snapshot artifact.</w:t>
      </w:r>
    </w:p>
    <w:tbl>
      <w:tblPr>
        <w:tblStyle w:val="Table"/>
        <w:tblW w:type="pct" w:w="5000"/>
        <w:tblLayout w:type="fixed"/>
        <w:tblLook w:firstRow="1" w:lastRow="0" w:firstColumn="0" w:lastColumn="0" w:noHBand="0" w:noVBand="0" w:val="0020"/>
      </w:tblPr>
      <w:tblGrid>
        <w:gridCol w:w="754"/>
        <w:gridCol w:w="1056"/>
        <w:gridCol w:w="678"/>
        <w:gridCol w:w="678"/>
        <w:gridCol w:w="905"/>
        <w:gridCol w:w="678"/>
        <w:gridCol w:w="3168"/>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r>
              <w:t xml:space="preserve">GP15 spike is post-rewards regime change</w:t>
            </w:r>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r>
              <w:t xml:space="preserve">GIP-13 rise is 23-voter low turnout</w:t>
            </w:r>
          </w:p>
        </w:tc>
      </w:tr>
      <w:tr>
        <w:tc>
          <w:tcPr/>
          <w:p>
            <w:pPr>
              <w:pStyle w:val="Compact"/>
            </w:pPr>
            <w:r>
              <w:t xml:space="preserve">HNT</w:t>
            </w:r>
          </w:p>
        </w:tc>
        <w:tc>
          <w:tcPr/>
          <w:p>
            <w:pPr>
              <w:pStyle w:val="Compact"/>
            </w:pPr>
            <w:r>
              <w:t xml:space="preserve">per-proposal</w:t>
            </w:r>
          </w:p>
        </w:tc>
        <w:tc>
          <w:tcPr/>
          <w:p>
            <w:pPr>
              <w:pStyle w:val="Compact"/>
              <w:jc w:val="right"/>
            </w:pPr>
            <w:r>
              <w:t xml:space="preserve">46</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0.8655</w:t>
            </w:r>
          </w:p>
        </w:tc>
        <w:tc>
          <w:tcPr/>
          <w:p>
            <w:pPr>
              <w:pStyle w:val="Compact"/>
            </w:pPr>
            <w:r>
              <w:t xml:space="preserve">post-HIP-141 rise is turnout collapse</w:t>
            </w:r>
          </w:p>
        </w:tc>
      </w:tr>
    </w:tbl>
    <w:p>
      <w:pPr>
        <w:pStyle w:val="BodyText"/>
      </w:pPr>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p>
    <w:p>
      <w:pPr>
        <w:pStyle w:val="BodyText"/>
      </w:pPr>
      <w:r>
        <w:drawing>
          <wp:inline>
            <wp:extent cx="5334000" cy="2820880"/>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820880"/>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Per-period voting-HHI trajectories (log scale, by period index) for the three protocols with a true per-period governance series (Algorand, GEODNET, Helium; per-period values in the table above).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r>
        <w:rPr>
          <w:i/>
          <w:iCs/>
        </w:rPr>
        <w:t xml:space="preserve"> </w:t>
      </w:r>
      <w:r>
        <w:rPr>
          <w:rStyle w:val="VerbatimChar"/>
          <w:i/>
          <w:iCs/>
        </w:rPr>
        <w:t xml:space="preserve">b2_voting_timeseries_reproduce_2026-06-03.py</w:t>
      </w:r>
      <w:r>
        <w:rPr>
          <w:i/>
          <w:iCs/>
        </w:rPr>
        <w:t xml:space="preserve">.</w:t>
      </w:r>
    </w:p>
    <w:bookmarkEnd w:id="76"/>
    <w:bookmarkStart w:id="78"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7">
        <w:r>
          <w:rPr>
            <w:rStyle w:val="Hyperlink"/>
          </w:rPr>
          <w:t xml:space="preserve">Supplementary File S25</w:t>
        </w:r>
      </w:hyperlink>
      <w:r>
        <w:t xml:space="preserve">.</w:t>
      </w:r>
    </w:p>
    <w:bookmarkEnd w:id="78"/>
    <w:bookmarkEnd w:id="79"/>
    <w:bookmarkStart w:id="93"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3">
        <w:r>
          <w:rPr>
            <w:rStyle w:val="Hyperlink"/>
          </w:rPr>
          <w:t xml:space="preserve">Supplementary File S8</w:t>
        </w:r>
      </w:hyperlink>
      <w:r>
        <w:t xml:space="preserve">.</w:t>
      </w:r>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7">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7">
        <w:r>
          <w:rPr>
            <w:rStyle w:val="Hyperlink"/>
          </w:rPr>
          <w:t xml:space="preserve">Supplementary File S12</w:t>
        </w:r>
      </w:hyperlink>
      <w:r>
        <w:t xml:space="preserve">.</w:t>
      </w:r>
    </w:p>
    <w:bookmarkEnd w:id="88"/>
    <w:bookmarkStart w:id="90"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89">
        <w:r>
          <w:rPr>
            <w:rStyle w:val="Hyperlink"/>
          </w:rPr>
          <w:t xml:space="preserve">Supplementary File S10</w:t>
        </w:r>
      </w:hyperlink>
      <w:r>
        <w:t xml:space="preserve">.</w:t>
      </w:r>
    </w:p>
    <w:bookmarkEnd w:id="90"/>
    <w:bookmarkStart w:id="91"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91"/>
    <w:bookmarkStart w:id="92"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2"/>
    <w:bookmarkEnd w:id="93"/>
    <w:bookmarkEnd w:id="94"/>
    <w:bookmarkStart w:id="107" w:name="discussion"/>
    <w:p>
      <w:pPr>
        <w:pStyle w:val="Heading1"/>
      </w:pPr>
      <w:r>
        <w:t xml:space="preserve">5 Discussion</w:t>
      </w:r>
    </w:p>
    <w:bookmarkStart w:id="95" w:name="measurement-implications"/>
    <w:p>
      <w:pPr>
        <w:pStyle w:val="Heading2"/>
      </w:pPr>
      <w:r>
        <w:t xml:space="preserve">5.1 Measurement Implications</w:t>
      </w:r>
    </w:p>
    <w:p>
      <w:pPr>
        <w:pStyle w:val="FirstParagraph"/>
      </w:pPr>
      <w:r>
        <w:t xml:space="preserve">A decentralization claim is not supported by launch allocation or raw holder lists; it requires a live-governance audit of PCA-corrected holdings, insider retention, and voting power. 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5"/>
    <w:bookmarkStart w:id="96"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6"/>
    <w:bookmarkStart w:id="97"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7"/>
    <w:bookmarkStart w:id="98"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8"/>
    <w:bookmarkStart w:id="99"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9"/>
    <w:bookmarkStart w:id="100" w:name="contributions"/>
    <w:p>
      <w:pPr>
        <w:pStyle w:val="Heading2"/>
      </w:pPr>
      <w:r>
        <w:t xml:space="preserve">5.6 Contributions</w:t>
      </w:r>
    </w:p>
    <w:p>
      <w:pPr>
        <w:pStyle w:val="FirstParagraph"/>
      </w:pPr>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 as a demonstration of the audit method</w:t>
      </w:r>
      <w:r>
        <w:t xml:space="preserve"> </w:t>
      </w:r>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100"/>
    <w:bookmarkStart w:id="101"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p>
    <w:p>
      <w:pPr>
        <w:pStyle w:val="BodyText"/>
      </w:pPr>
      <w:r>
        <w:t xml:space="preserve">Second, the magnitude and significance of the balanced sector contrast depend on the completeness and consistency of the exclusion.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The directional claim that DePIN central tendency exceeds DeFi is robust across every exclusion specification; the magnitude is medium, and the significance, robust under the uniform exclusion, sits closer to the margin under the headline pass-through treatment (Section 4.6.2).</w:t>
      </w:r>
    </w:p>
    <w:p>
      <w:pPr>
        <w:pStyle w:val="BodyText"/>
      </w:pPr>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p>
    <w:p>
      <w:pPr>
        <w:pStyle w:val="BodyText"/>
      </w:pPr>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p>
    <w:p>
      <w:pPr>
        <w:pStyle w:val="BodyText"/>
      </w:pPr>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p>
    <w:p>
      <w:pPr>
        <w:pStyle w:val="BodyText"/>
      </w:pPr>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p>
    <w:p>
      <w:pPr>
        <w:pStyle w:val="BodyText"/>
      </w:pPr>
      <w:r>
        <w:t xml:space="preserve">Measurement extensions that would refine these findings without changing</w:t>
      </w:r>
      <w:r>
        <w:t xml:space="preserve"> </w:t>
      </w:r>
      <w:r>
        <w:t xml:space="preserve">the core claim are enumerated in Section 5.8.</w:t>
      </w:r>
    </w:p>
    <w:bookmarkEnd w:id="101"/>
    <w:bookmarkStart w:id="105"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102">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103">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4">
        <w:r>
          <w:rPr>
            <w:rStyle w:val="Hyperlink"/>
          </w:rPr>
          <w:t xml:space="preserve">Supplementary File S17</w:t>
        </w:r>
      </w:hyperlink>
      <w:r>
        <w:t xml:space="preserve">.</w:t>
      </w:r>
    </w:p>
    <w:bookmarkEnd w:id="105"/>
    <w:bookmarkStart w:id="106"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6"/>
    <w:bookmarkEnd w:id="107"/>
    <w:bookmarkStart w:id="108"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08"/>
    <w:bookmarkStart w:id="109"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9"/>
    <w:bookmarkStart w:id="110"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0"/>
    <w:bookmarkStart w:id="111"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2026-06-03T08:19:01Z</dcterms:created>
  <dcterms:modified xsi:type="dcterms:W3CDTF">2026-06-03T08:19:01Z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/private/tmp/b2_build2_wt/_build/research_content/papers/B2_governance_concentration/_bibliography.bib</vt:lpwstr>
  </property>
  <property fmtid="{D5CDD505-2E9C-101B-9397-08002B2CF9AE}" pid="3" name="csl">
    <vt:lpwstr>/private/tmp/b2_build2_wt/tools/content-build/citeproc_config/apa.csl</vt:lpwstr>
  </property>
</Properties>
</file>