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rPr>
          <w:sz w:val="20"/>
          <w:szCs w:val="20"/>
        </w:rPr>
        <w:t>Replication data: github.com/Research-Publications-and-Data/Tokenomics-As-Institutional_Design/tree/main/b3</w:t>
      </w:r>
    </w:p>
    <w:p>
      <w:pPr>
        <w:jc w:val="center"/>
      </w:pPr>
      <w:r>
        <w:t>March 2026</w:t>
      </w:r>
    </w:p>
    <w:p>
      <w:pPr>
        <w:jc w:val="left"/>
        <w:spacing w:before="240"/>
      </w:pPr>
      <w:r>
        <w:rPr>
          <w:b/>
          <w:bCs/>
        </w:rPr>
        <w:t xml:space="preserve">Keywords: </w:t>
      </w:r>
      <w:r>
        <w:t>DePIN; GeoDePIN; demand concentration; fiscal sustainability; burn-and-mint equilibrium; Spend-to-Reward ratio; Helium; Resource Dependence Theory</w:t>
      </w:r>
    </w:p>
    <w:p>
      <w:pPr>
        <w:jc w:val="left"/>
        <w:spacing w:before="120"/>
      </w:pPr>
      <w:r>
        <w:rPr>
          <w:b/>
          <w:bCs/>
        </w:rPr>
        <w:t xml:space="preserve">JEL Codes: </w:t>
      </w:r>
      <w:r>
        <w:t>D47, L14, L22, O33, R12</w:t>
      </w:r>
    </w:p>
    <w:p>
      <w:pPr>
        <w:pStyle w:val="Heading1"/>
      </w:pPr>
      <w:r>
        <w:t>Abstract</w:t>
      </w:r>
    </w:p>
    <w:p>
      <w:r>
        <w:rPr>
          <w:b w:val="0"/>
        </w:rPr>
        <w:t>Decentralized Physical Infrastructure Networks (DePIN) pay participants in tokens to deploy hardware and deliver real-world services such as wireless coverage, satellite positioning, and street-level mapping. When these networks depend on geographic coverage, location determines value: a hotspot in an unserved area is worth more than one in a saturated city center. This paper terms these location-dependent protocols GeoDePIN and identifies design pressures absent from compute-only alternatives: incentives must direct hardware to specific places, verification must prove physical presence under adversarial conditions, and token subsidy reductions threaten network contraction when paid usage is thin. The paper tests a four-loop design architecture against descriptive evidence from 13 DePIN protocols and a 34-month longitudinal case study of Helium (May 2023 to February 2026). The four loops govern token flows (economic), hardware quality (operational), fraud prevention (integrity), and rule-making authority (governance). The central metric is the Subsidy-to-Revenue ratio (S2R): the fraction of operator income that comes from token subsidies rather than paid usage, where S2R below 1.0 means paid usage has overtaken token subsidies.</w:t>
      </w:r>
    </w:p>
    <w:p>
      <w:r>
        <w:rPr>
          <w:b w:val="0"/>
        </w:rPr>
        <w:t xml:space="preserve">Helium’s transition from coverage-based to usage-based rewards coincided with S2R rising from 0.013 (subsidy-dominated) to 2.06 (revenue-dominant, with DC burns exceeding HNT emissions by approximately 2:1 and net annual deflation of approximately 3–4%), making it the first GeoDePIN protocol where demand-side burns fully offset supply-side emissions. However, demand-concentration analysis reveals that approximately five purchasers account for 90% of Helium’s token burns (the mechanism that removes tokens from circulation when services are consumed), a concentration invisible to aggregate S2R. GEODNET (S2R 0.62) and Hivemapper (S2R 0.183) occupy a growth-phase tier with confirmed revenue activity but continued subsidy dependence. Governance concentration across GeoDePIN tokens, measured by the Herfindahl-Hirschman Index (where 0 is perfectly distributed and 1 is monopoly), ranges from 0.034 to 0.593, materially exceeding decentralized finance benchmarks (0.028 to 0.174).</w:t>
      </w:r>
    </w:p>
    <w:p>
      <w:r>
        <w:rPr>
          <w:b w:val="0"/>
        </w:rPr>
        <w:t>Four outputs organize the findings: a classification distinguishing GeoDePIN (location-dependent) from DeVIN (location-independent) protocols with testable predictions, a design playbook mapping recommended mechanisms to protocol maturity stages, a health dashboard with demand-concentration guardrails, and a subtraction test that identifies which mechanisms a protocol can remove without degrading performance.</w:t>
      </w:r>
    </w:p>
    <w:p>
      <w:pPr>
        <w:pStyle w:val="Heading2"/>
        <w:spacing w:before="240"/>
      </w:pPr>
      <w:r>
        <w:rPr>
          <w:b/>
        </w:rPr>
        <w:t>Index Terms: DePIN, token economics, mechanism design, infrastructure governance, Helium, Subsidy-to-Revenue ratio</w:t>
      </w:r>
      <w:r>
        <w:rPr/>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2"/>
      </w:pPr>
      <w:r>
        <w:t>List of Abbreviations</w:t>
      </w:r>
    </w:p>
    <w:p>
      <w:pPr>
        <w:pStyle w:val="Heading1"/>
      </w:pPr>
      <w:r>
        <w:t>I. INTRODUCTION</w:t>
      </w:r>
    </w:p>
    <w:p>
      <w:pPr>
        <w:pStyle w:val="Heading2"/>
      </w:pPr>
      <w:r>
        <w:t>1.1 The Coordination Problem</w:t>
      </w:r>
    </w:p>
    <w:p>
      <w:r>
        <w:rPr>
          <w:b w:val="0"/>
        </w:rPr>
        <w:t>DePIN systems coordinate physical infrastructure through token incentives, leveraging the reduced verification and networking costs that blockchain enables [22]. When the design works, retail participants deploy hardware, deliver measurable service, and earn rewards proportional to their contribution. When it fails, the result is coverage mining (rewarding mere presence), subsidy dependence (paying operators more than the network earns), and governance capture (concentrated token holdings overriding community interests). The practical question is: what institutional mechanisms distinguish sustainable DePIN protocols from fragile ones?</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confirming that geographic saturation imposes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VI develops these into a playbook; the taxonomy is formalized in Section IV.</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II. DESIGN ARCHITECTURE</w:t>
      </w:r>
    </w:p>
    <w:p>
      <w:r>
        <w:rPr>
          <w:b w:val="0"/>
        </w:rPr>
        <w:t xml:space="preserve">The normative framework motivating these design choices, including constraints derived from publicity, fairness, non-domination, and knowledge-use, is developed in a companion study [34].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r>
        <w:t xml:space="preserve">The normative framework motivating these design choices, including constraints derived from Kantian publicity, Rawlsian fairness, republican non-domination, and Hayekian knowledge-use, is developed in a companion study [34]. This paper retains Ostrom’s polycentric governance framework [14] as directly relevant to the geographic heterogeneity that distinguishes DePIN from other token-coordinated systems.</w:t>
      </w:r>
    </w:p>
    <w:p>
      <w:pPr>
        <w:pStyle w:val="Heading2"/>
      </w:pPr>
      <w:r>
        <w:t>2.2 The Prime Directive: Sinks Before Faucets</w:t>
      </w:r>
    </w:p>
    <w:p>
      <w:r>
        <w:rPr/>
        <w:t>The sinks-before-faucets principle, formalized as a design hypothesis in a companion study [34], motivates the following architectural constraint: A repeated fragility pattern across token systems is reward-first bootstrapping without durable demand coupling [20]. This paper formalizes the directive:</w:t>
      </w:r>
    </w:p>
    <w:p>
      <w:r>
        <w:rPr>
          <w:b w:val="0"/>
        </w:rPr>
        <w:t>Principle 4.1 (Sinks Before Faucets): A system should deploy and verify at least one usage-linked sink before scaling emissions; burns per unit service,</w:t>
      </w:r>
      <w:r>
        <w:rPr/>
      </w:r>
    </w:p>
    <w:p>
      <w:r>
        <w:t xml:space="preserve">Alshater [41] synthesizes the DePIN flywheel mechanism and the necessity of fiat-denominated pricing rails in a recent survey; the longitudinal S2R analysis developed here provides the empirical validation that survey identifies as missing from the current literature.</w:t>
      </w:r>
    </w:p>
    <w:p>
      <w:r>
        <w:rPr/>
        <w:t>fee routing to treasuries that reduce circulating float.</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4.1 (Dual-Asset Model). Let (T) be a governance/stake token and (C) be non-transferable usage credits priced in stable units. [20]</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4.2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4.2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 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4.3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confirms adaptive emission reduces node-count deviation by 68-76% under supply shocks, but emission model choice determines the monetary regime under stress: PID-controlled protocols produce deflation (circulating supply falls 23-45%), while static protocols produce inflation (supply rises 12-47%).</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9360"/>
        <w:tblLook w:firstColumn="1" w:firstRow="1" w:lastColumn="0" w:lastRow="0" w:noHBand="0" w:noVBand="1" w:val="04A0"/>
      </w:tblPr>
      <w:tblGrid>
        <w:gridCol w:w="2800"/>
        <w:gridCol w:w="1600"/>
        <w:gridCol w:w="2800"/>
        <w:gridCol w:w="2160"/>
      </w:tblGrid>
      <w:tr>
        <w:trPr>
          <w:cantSplit/>
        </w:trPr>
        <w:tc>
          <w:tcPr>
            <w:tcW w:type="dxa" w:w="2800"/>
          </w:tcPr>
          <w:p>
            <w:r>
              <w:rPr>
                <w:b/>
              </w:rPr>
              <w:t>Condition</w:t>
            </w:r>
          </w:p>
        </w:tc>
        <w:tc>
          <w:tcPr>
            <w:tcW w:type="dxa" w:w="1600"/>
          </w:tcPr>
          <w:p>
            <w:r>
              <w:rPr>
                <w:b/>
              </w:rPr>
              <w:t>Trigger</w:t>
            </w:r>
          </w:p>
        </w:tc>
        <w:tc>
          <w:tcPr>
            <w:tcW w:type="dxa" w:w="2800"/>
          </w:tcPr>
          <w:p>
            <w:r>
              <w:rPr>
                <w:b/>
              </w:rPr>
              <w:t>Proposed Action</w:t>
            </w:r>
          </w:p>
        </w:tc>
        <w:tc>
          <w:tcPr>
            <w:tcW w:type="dxa" w:w="2160"/>
          </w:tcPr>
          <w:p>
            <w:r>
              <w:rPr>
                <w:b/>
              </w:rPr>
              <w:t>Precedent</w:t>
            </w:r>
          </w:p>
        </w:tc>
      </w:tr>
      <w:tr>
        <w:trPr>
          <w:cantSplit/>
        </w:trPr>
        <w:tc>
          <w:tcPr>
            <w:tcW w:type="dxa" w:w="2800"/>
          </w:tcPr>
          <w:p>
            <w:r>
              <w:t>Token burns fall below half of new issuance for N consecutive periods (S2R &lt; 0.5)</w:t>
            </w:r>
          </w:p>
        </w:tc>
        <w:tc>
          <w:tcPr>
            <w:tcW w:type="dxa" w:w="1600"/>
          </w:tcPr>
          <w:p>
            <w:r>
              <w:t>Emission reduction</w:t>
            </w:r>
          </w:p>
        </w:tc>
        <w:tc>
          <w:tcPr>
            <w:tcW w:type="dxa" w:w="2800"/>
          </w:tcPr>
          <w:p>
            <w:r>
              <w:t xml:space="preserve">Reduce new token issuance by up to 10% per period until burns recover</w:t>
            </w:r>
          </w:p>
        </w:tc>
        <w:tc>
          <w:tcPr>
            <w:tcW w:type="dxa" w:w="2160"/>
          </w:tcPr>
          <w:p>
            <w:r>
              <w:t>Ethereum EIP-1559 [5]: base fee adjusts automatically when demand changes</w:t>
            </w:r>
          </w:p>
        </w:tc>
      </w:tr>
      <w:tr>
        <w:trPr>
          <w:cantSplit/>
        </w:trPr>
        <w:tc>
          <w:tcPr>
            <w:tcW w:type="dxa" w:w="2800"/>
          </w:tcPr>
          <w:p>
            <w:r>
              <w:t>Less than 20% of network capacity serves paying customers</w:t>
            </w:r>
          </w:p>
        </w:tc>
        <w:tc>
          <w:tcPr>
            <w:tcW w:type="dxa" w:w="1600"/>
          </w:tcPr>
          <w:p>
            <w:r>
              <w:t>Reward rebalance</w:t>
            </w:r>
          </w:p>
        </w:tc>
        <w:tc>
          <w:tcPr>
            <w:tcW w:type="dxa" w:w="2800"/>
          </w:tcPr>
          <w:p>
            <w:r>
              <w:t xml:space="preserve">Shift 10 percentage points of operator rewards from base (being online) to usage (serving customers)</w:t>
            </w:r>
          </w:p>
        </w:tc>
        <w:tc>
          <w:tcPr>
            <w:tcW w:type="dxa" w:w="2160"/>
          </w:tcPr>
          <w:p>
            <w:r>
              <w:t>Helium HIP-147 [9]: community vote shifted from coverage-based to service-weighted rewards</w:t>
            </w:r>
          </w:p>
        </w:tc>
      </w:tr>
      <w:tr>
        <w:trPr>
          <w:cantSplit/>
        </w:trPr>
        <w:tc>
          <w:tcPr>
            <w:tcW w:type="dxa" w:w="2800"/>
          </w:tcPr>
          <w:p>
            <w:r>
              <w:t>95th-percentile node uptime drops below 95%</w:t>
            </w:r>
          </w:p>
        </w:tc>
        <w:tc>
          <w:tcPr>
            <w:tcW w:type="dxa" w:w="1600"/>
          </w:tcPr>
          <w:p>
            <w:r>
              <w:t>Stake floor increase</w:t>
            </w:r>
          </w:p>
        </w:tc>
        <w:tc>
          <w:tcPr>
            <w:tcW w:type="dxa" w:w="2800"/>
          </w:tcPr>
          <w:p>
            <w:r>
              <w:t xml:space="preserve">Raise minimum operator collateral by 20%, filtering out unreliable operators</w:t>
            </w:r>
          </w:p>
        </w:tc>
        <w:tc>
          <w:tcPr>
            <w:tcW w:type="dxa" w:w="2160"/>
          </w:tcPr>
          <w:p>
            <w: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4.4 (Stake-to-Earn with Contestability). Operators must post collateral and face slashing for fraud or repeated SLA failure, but enforcement must be contestable to prevent domination.</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 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150-357M tokens from circulation to treasury across all parameterizations,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capital/ownership (token holders), and</w:t>
      </w:r>
    </w:p>
    <w:p>
      <w:r>
        <w:rPr/>
        <w:t>A bicameral governance rule requires major economic changes to be approved by:</w:t>
      </w:r>
    </w:p>
    <w:p>
      <w:r>
        <w:rPr/>
        <w:t xml:space="preserve">a </w:t>
      </w:r>
      <w:r>
        <w:rPr>
          <w:b/>
        </w:rPr>
        <w:t>Token House</w:t>
      </w:r>
      <w:r>
        <w:rPr/>
        <w:t xml:space="preserve"> (e.g., locked governance token holders), and</w:t>
      </w:r>
    </w:p>
    <w:p>
      <w:r>
        <w:rPr/>
        <w:t xml:space="preserve">an </w:t>
      </w:r>
      <w:r>
        <w:rPr>
          <w:b/>
        </w:rPr>
        <w:t>Operator/Contributor House</w:t>
      </w:r>
      <w:r>
        <w:rPr/>
        <w:t xml:space="preserve"> (verified service providers).</w:t>
      </w:r>
    </w:p>
    <w:p>
      <w:r>
        <w:rPr/>
        <w:t>This addresses two capture risks: plutocracy (capital overrides service quality), and</w:t>
      </w:r>
    </w:p>
    <w:p>
      <w:r>
        <w:rPr/>
        <w:t>producer capture (operators subsidize themselves unsustainably).</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Pr>
      <w:tblGrid>
        <w:gridCol w:w="1800"/>
        <w:gridCol w:w="2400"/>
        <w:gridCol w:w="2400"/>
        <w:gridCol w:w="2040"/>
      </w:tblGrid>
      <w:tr>
        <w:trPr>
          <w:cantSplit/>
        </w:trPr>
        <w:tc>
          <w:tcPr>
            <w:tcW w:type="dxa" w:w="2160"/>
          </w:tcPr>
          <w:p>
            <w:r>
              <w:rPr>
                <w:b/>
              </w:rPr>
              <w:t>Protocol</w:t>
            </w:r>
          </w:p>
        </w:tc>
        <w:tc>
          <w:tcPr>
            <w:tcW w:type="dxa" w:w="2160"/>
          </w:tcPr>
          <w:p>
            <w:r>
              <w:rPr>
                <w:b/>
              </w:rPr>
              <w:t>Verification Mechanism</w:t>
            </w:r>
          </w:p>
        </w:tc>
        <w:tc>
          <w:tcPr>
            <w:tcW w:type="dxa" w:w="2160"/>
          </w:tcPr>
          <w:p>
            <w:r>
              <w:rPr>
                <w:b/>
              </w:rPr>
              <w:t>Anti-Gaming Evidence</w:t>
            </w:r>
          </w:p>
        </w:tc>
        <w:tc>
          <w:tcPr>
            <w:tcW w:type="dxa" w:w="2160"/>
          </w:tcPr>
          <w:p>
            <w:r>
              <w:rPr>
                <w:b/>
              </w:rPr>
              <w:t>Posture</w:t>
            </w:r>
          </w:p>
        </w:tc>
      </w:tr>
      <w:tr>
        <w:trPr>
          <w:cantSplit/>
        </w:trPr>
        <w:tc>
          <w:tcPr>
            <w:tcW w:type="dxa" w:w="2160"/>
          </w:tcPr>
          <w:p>
            <w:r>
              <w:t>Helium</w:t>
            </w:r>
          </w:p>
        </w:tc>
        <w:tc>
          <w:tcPr>
            <w:tcW w:type="dxa" w:w="2160"/>
          </w:tcPr>
          <w:p>
            <w:r>
              <w:t>Proof-of-Coverage + community denylist</w:t>
            </w:r>
          </w:p>
        </w:tc>
        <w:tc>
          <w:tcPr>
            <w:tcW w:type="dxa" w:w="2160"/>
          </w:tcPr>
          <w:p>
            <w:r>
              <w:t>3,500+ rogue hotspots removed (2021-22)</w:t>
            </w:r>
          </w:p>
        </w:tc>
        <w:tc>
          <w:tcPr>
            <w:tcW w:type="dxa" w:w="2160"/>
          </w:tcPr>
          <w:p>
            <w:r>
              <w:t>Strong</w:t>
            </w:r>
          </w:p>
        </w:tc>
      </w:tr>
      <w:tr>
        <w:trPr>
          <w:cantSplit/>
        </w:trPr>
        <w:tc>
          <w:tcPr>
            <w:tcW w:type="dxa" w:w="2160"/>
          </w:tcPr>
          <w:p>
            <w:r>
              <w:t>Helium 5G</w:t>
            </w:r>
          </w:p>
        </w:tc>
        <w:tc>
          <w:tcPr>
            <w:tcW w:type="dxa" w:w="2160"/>
          </w:tcPr>
          <w:p>
            <w:r>
              <w:t>Discovery Mapping (user device audits)</w:t>
            </w:r>
          </w:p>
        </w:tc>
        <w:tc>
          <w:tcPr>
            <w:tcW w:type="dxa" w:w="2160"/>
          </w:tcPr>
          <w:p>
            <w:r>
              <w:t>Real-time coverage verification via subscribers</w:t>
            </w:r>
          </w:p>
        </w:tc>
        <w:tc>
          <w:tcPr>
            <w:tcW w:type="dxa" w:w="2160"/>
          </w:tcPr>
          <w:p>
            <w:r>
              <w:t>Moderate</w:t>
            </w:r>
          </w:p>
        </w:tc>
      </w:tr>
      <w:tr>
        <w:trPr>
          <w:cantSplit/>
        </w:trPr>
        <w:tc>
          <w:tcPr>
            <w:tcW w:type="dxa" w:w="2160"/>
          </w:tcPr>
          <w:p>
            <w:r>
              <w:t>Filecoin</w:t>
            </w:r>
          </w:p>
        </w:tc>
        <w:tc>
          <w:tcPr>
            <w:tcW w:type="dxa" w:w="2160"/>
          </w:tcPr>
          <w:p>
            <w:r>
              <w:t>Proof-of-Spacetime + Proof-of-Replication</w:t>
            </w:r>
          </w:p>
        </w:tc>
        <w:tc>
          <w:tcPr>
            <w:tcW w:type="dxa" w:w="2160"/>
          </w:tcPr>
          <w:p>
            <w:r>
              <w:t>Cryptographic enforcement; slashing for failure</w:t>
            </w:r>
          </w:p>
        </w:tc>
        <w:tc>
          <w:tcPr>
            <w:tcW w:type="dxa" w:w="2160"/>
          </w:tcPr>
          <w:p>
            <w:r>
              <w:t>Strong</w:t>
            </w:r>
          </w:p>
        </w:tc>
      </w:tr>
      <w:tr>
        <w:trPr>
          <w:cantSplit/>
        </w:trPr>
        <w:tc>
          <w:tcPr>
            <w:tcW w:type="dxa" w:w="2160"/>
          </w:tcPr>
          <w:p>
            <w:r>
              <w:t>Livepeer</w:t>
            </w:r>
          </w:p>
        </w:tc>
        <w:tc>
          <w:tcPr>
            <w:tcW w:type="dxa" w:w="2160"/>
          </w:tcPr>
          <w:p>
            <w:r>
              <w:t>Random test transcoding jobs</w:t>
            </w:r>
          </w:p>
        </w:tc>
        <w:tc>
          <w:tcPr>
            <w:tcW w:type="dxa" w:w="2160"/>
          </w:tcPr>
          <w:p>
            <w:r>
              <w:t>Output compared to reference; staked orchestrators</w:t>
            </w:r>
          </w:p>
        </w:tc>
        <w:tc>
          <w:tcPr>
            <w:tcW w:type="dxa" w:w="2160"/>
          </w:tcPr>
          <w:p>
            <w:r>
              <w:t>Moderate</w:t>
            </w:r>
          </w:p>
        </w:tc>
      </w:tr>
      <w:tr>
        <w:trPr>
          <w:cantSplit/>
        </w:trPr>
        <w:tc>
          <w:tcPr>
            <w:tcW w:type="dxa" w:w="2160"/>
          </w:tcPr>
          <w:p>
            <w:r>
              <w:t>Hivemapper</w:t>
            </w:r>
          </w:p>
        </w:tc>
        <w:tc>
          <w:tcPr>
            <w:tcW w:type="dxa" w:w="2160"/>
          </w:tcPr>
          <w:p>
            <w:r>
              <w:t>Authenticated dashcam hardware</w:t>
            </w:r>
          </w:p>
        </w:tc>
        <w:tc>
          <w:tcPr>
            <w:tcW w:type="dxa" w:w="2160"/>
          </w:tcPr>
          <w:p>
            <w:r>
              <w:t>Hardware-enforced image provenance</w:t>
            </w:r>
          </w:p>
        </w:tc>
        <w:tc>
          <w:tcPr>
            <w:tcW w:type="dxa" w:w="2160"/>
          </w:tcPr>
          <w:p>
            <w:r>
              <w:t>Moderate</w:t>
            </w:r>
          </w:p>
        </w:tc>
      </w:tr>
    </w:tbl>
    <w:p>
      <w:pPr>
        <w:pStyle w:val="Heading1"/>
      </w:pPr>
      <w:r>
        <w:t>III.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tbl>
      <w:tblPr>
        <w:tblStyle w:val="TableGrid"/>
        <w:tblW w:type="dxa" w:w="8640"/>
        <w:tblLook w:firstColumn="1" w:firstRow="1" w:lastColumn="0" w:lastRow="0" w:noHBand="0" w:noVBand="1" w:val="04A0"/>
      </w:tblPr>
      <w:tblGrid>
        <w:gridCol w:w="2200"/>
        <w:gridCol w:w="2000"/>
        <w:gridCol w:w="2200"/>
        <w:gridCol w:w="2240"/>
      </w:tblGrid>
      <w:tr>
        <w:trPr>
          <w:cantSplit/>
        </w:trPr>
        <w:tc>
          <w:tcPr>
            <w:tcW w:type="dxa" w:w="2160"/>
          </w:tcPr>
          <w:p>
            <w:r>
              <w:rPr>
                <w:b/>
              </w:rPr>
              <w:t>Protocol</w:t>
            </w:r>
          </w:p>
        </w:tc>
        <w:tc>
          <w:tcPr>
            <w:tcW w:type="dxa" w:w="2160"/>
          </w:tcPr>
          <w:p>
            <w:r>
              <w:rPr>
                <w:b/>
              </w:rPr>
              <w:t>Burn data source</w:t>
            </w:r>
          </w:p>
        </w:tc>
        <w:tc>
          <w:tcPr>
            <w:tcW w:type="dxa" w:w="2160"/>
          </w:tcPr>
          <w:p>
            <w:r>
              <w:rPr>
                <w:b/>
              </w:rPr>
              <w:t>Issuance data source</w:t>
            </w:r>
          </w:p>
        </w:tc>
        <w:tc>
          <w:tcPr>
            <w:tcW w:type="dxa" w:w="2160"/>
          </w:tcPr>
          <w:p>
            <w:r>
              <w:rPr>
                <w:b/>
              </w:rPr>
              <w:t>Price source</w:t>
            </w:r>
          </w:p>
        </w:tc>
      </w:tr>
      <w:tr>
        <w:trPr>
          <w:cantSplit/>
        </w:trPr>
        <w:tc>
          <w:tcPr>
            <w:tcW w:type="dxa" w:w="2160"/>
          </w:tcPr>
          <w:p>
            <w:r>
              <w:t>Helium</w:t>
            </w:r>
          </w:p>
        </w:tc>
        <w:tc>
          <w:tcPr>
            <w:tcW w:type="dxa" w:w="2160"/>
          </w:tcPr>
          <w:p>
            <w:r>
              <w:t>Dune Analytics (Solana: action = 'burn', 149 weeks)</w:t>
            </w:r>
          </w:p>
        </w:tc>
        <w:tc>
          <w:tcPr>
            <w:tcW w:type="dxa" w:w="2160"/>
          </w:tcPr>
          <w:p>
            <w:r>
              <w:t>Dune Analytics (Solana: action = 'mint'</w:t>
            </w:r>
          </w:p>
        </w:tc>
        <w:tc>
          <w:tcPr>
            <w:tcW w:type="dxa" w:w="2160"/>
          </w:tcPr>
          <w:p>
            <w:r>
              <w:t>) CoinGecko</w:t>
            </w:r>
          </w:p>
        </w:tc>
      </w:tr>
      <w:tr>
        <w:trPr>
          <w:cantSplit/>
        </w:trPr>
        <w:tc>
          <w:tcPr>
            <w:tcW w:type="dxa" w:w="2160"/>
          </w:tcPr>
          <w:p>
            <w:r>
              <w:t>Filecoin</w:t>
            </w:r>
          </w:p>
        </w:tc>
        <w:tc>
          <w:tcPr>
            <w:tcW w:type="dxa" w:w="2160"/>
          </w:tcPr>
          <w:p>
            <w:r>
              <w:t>Filfox (burnt supply field)</w:t>
            </w:r>
          </w:p>
        </w:tc>
        <w:tc>
          <w:tcPr>
            <w:tcW w:type="dxa" w:w="2160"/>
          </w:tcPr>
          <w:p>
            <w:r>
              <w:t>Filfox (daily coins mined)</w:t>
            </w:r>
          </w:p>
        </w:tc>
        <w:tc>
          <w:tcPr>
            <w:tcW w:type="dxa" w:w="2160"/>
          </w:tcPr>
          <w:p>
            <w:r>
              <w:t>CoinGecko</w:t>
            </w:r>
          </w:p>
        </w:tc>
      </w:tr>
      <w:tr>
        <w:trPr>
          <w:cantSplit/>
        </w:trPr>
        <w:tc>
          <w:tcPr>
            <w:tcW w:type="dxa" w:w="2160"/>
          </w:tcPr>
          <w:p>
            <w:r>
              <w:t>Livepeer</w:t>
            </w:r>
          </w:p>
        </w:tc>
        <w:tc>
          <w:tcPr>
            <w:tcW w:type="dxa" w:w="2160"/>
          </w:tcPr>
          <w:p>
            <w:r>
              <w:t>N/A (no LPT burn)</w:t>
            </w:r>
          </w:p>
        </w:tc>
        <w:tc>
          <w:tcPr>
            <w:tcW w:type="dxa" w:w="2160"/>
          </w:tcPr>
          <w:p>
            <w:r>
              <w:t>Subgraph (inflation parameter)</w:t>
            </w:r>
          </w:p>
        </w:tc>
        <w:tc>
          <w:tcPr>
            <w:tcW w:type="dxa" w:w="2160"/>
          </w:tcPr>
          <w:p>
            <w:r>
              <w:t>CoinGecko</w:t>
            </w:r>
          </w:p>
        </w:tc>
      </w:tr>
      <w:tr>
        <w:trPr>
          <w:cantSplit/>
        </w:trPr>
        <w:tc>
          <w:tcPr>
            <w:tcW w:type="dxa" w:w="2160"/>
          </w:tcPr>
          <w:p>
            <w:r>
              <w:t>Ethereum</w:t>
            </w:r>
          </w:p>
        </w:tc>
        <w:tc>
          <w:tcPr>
            <w:tcW w:type="dxa" w:w="2160"/>
          </w:tcPr>
          <w:p>
            <w:r>
              <w:t>Etherscan / Ultrasound.money</w:t>
            </w:r>
          </w:p>
        </w:tc>
        <w:tc>
          <w:tcPr>
            <w:tcW w:type="dxa" w:w="2160"/>
          </w:tcPr>
          <w:p>
            <w:r>
              <w:t>Etherscan (beacon chain issuance)</w:t>
            </w:r>
          </w:p>
        </w:tc>
        <w:tc>
          <w:tcPr>
            <w:tcW w:type="dxa" w:w="2160"/>
          </w:tcPr>
          <w:p>
            <w: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Governance concentration: 8 protocols reported here (5 DePIN + 3 DeFi benchmarks) from the full 13-protocol sample. See [34].</w:t>
      </w:r>
    </w:p>
    <w:p>
      <w:r>
        <w:rPr>
          <w:b w:val="0"/>
        </w:rPr>
        <w:t>DePIN S2R cross-section: 9 protocols with observable burn or fee data. See Table 8.</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IV.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Pr>
      <w:tblGrid>
        <w:gridCol w:w="1600"/>
        <w:gridCol w:w="1600"/>
        <w:gridCol w:w="1600"/>
        <w:gridCol w:w="1700"/>
        <w:gridCol w:w="2140"/>
      </w:tblGrid>
      <w:tr>
        <w:trPr>
          <w:cantSplit/>
        </w:trPr>
        <w:tc>
          <w:tcPr>
            <w:tcW w:type="dxa" w:w="1728"/>
          </w:tcPr>
          <w:p>
            <w:r>
              <w:rPr>
                <w:b/>
              </w:rPr>
              <w:t>Protocol</w:t>
            </w:r>
          </w:p>
        </w:tc>
        <w:tc>
          <w:tcPr>
            <w:tcW w:type="dxa" w:w="1728"/>
          </w:tcPr>
          <w:p>
            <w:r>
              <w:rPr>
                <w:b/>
              </w:rPr>
              <w:t>Category</w:t>
            </w:r>
          </w:p>
        </w:tc>
        <w:tc>
          <w:tcPr>
            <w:tcW w:type="dxa" w:w="1728"/>
          </w:tcPr>
          <w:p>
            <w:r>
              <w:rPr>
                <w:b/>
              </w:rPr>
              <w:t>Operator Type</w:t>
            </w:r>
          </w:p>
        </w:tc>
        <w:tc>
          <w:tcPr>
            <w:tcW w:type="dxa" w:w="1728"/>
          </w:tcPr>
          <w:p>
            <w:r>
              <w:rPr>
                <w:b/>
              </w:rPr>
              <w:t>Deployment Unit</w:t>
            </w:r>
          </w:p>
        </w:tc>
        <w:tc>
          <w:tcPr>
            <w:tcW w:type="dxa" w:w="1728"/>
          </w:tcPr>
          <w:p>
            <w:r>
              <w:rPr>
                <w:b/>
              </w:rPr>
              <w:t>Coverage Verification</w:t>
            </w:r>
          </w:p>
        </w:tc>
        <w:trPr>
          <w:cantSplit/>
          <w:tblHeader/>
        </w:trPr>
      </w:tr>
      <w:tr>
        <w:trPr>
          <w:cantSplit/>
        </w:trPr>
        <w:tc>
          <w:tcPr>
            <w:tcW w:type="dxa" w:w="1728"/>
          </w:tcPr>
          <w:p>
            <w:r>
              <w:t>Helium</w:t>
            </w:r>
          </w:p>
        </w:tc>
        <w:tc>
          <w:tcPr>
            <w:tcW w:type="dxa" w:w="1728"/>
          </w:tcPr>
          <w:p>
            <w:r>
              <w:t>GeoDePIN</w:t>
            </w:r>
          </w:p>
        </w:tc>
        <w:tc>
          <w:tcPr>
            <w:tcW w:type="dxa" w:w="1728"/>
          </w:tcPr>
          <w:p>
            <w:r>
              <w:t>Individual hotspot owners</w:t>
            </w:r>
          </w:p>
        </w:tc>
        <w:tc>
          <w:tcPr>
            <w:tcW w:type="dxa" w:w="1728"/>
          </w:tcPr>
          <w:p>
            <w:r>
              <w:t>LoRa/5G hotspot</w:t>
            </w:r>
          </w:p>
        </w:tc>
        <w:tc>
          <w:tcPr>
            <w:tcW w:type="dxa" w:w="1728"/>
          </w:tcPr>
          <w:p>
            <w:r>
              <w:t>HIP-147 service-based</w:t>
            </w:r>
          </w:p>
        </w:tc>
      </w:tr>
      <w:tr>
        <w:trPr>
          <w:cantSplit/>
        </w:trPr>
        <w:tc>
          <w:tcPr>
            <w:tcW w:type="dxa" w:w="1728"/>
          </w:tcPr>
          <w:p>
            <w:r>
              <w:t>Hivemapper</w:t>
            </w:r>
          </w:p>
        </w:tc>
        <w:tc>
          <w:tcPr>
            <w:tcW w:type="dxa" w:w="1728"/>
          </w:tcPr>
          <w:p>
            <w:r>
              <w:t>GeoDePIN</w:t>
            </w:r>
          </w:p>
        </w:tc>
        <w:tc>
          <w:tcPr>
            <w:tcW w:type="dxa" w:w="1728"/>
          </w:tcPr>
          <w:p>
            <w:r>
              <w:t>Individual drivers</w:t>
            </w:r>
          </w:p>
        </w:tc>
        <w:tc>
          <w:tcPr>
            <w:tcW w:type="dxa" w:w="1728"/>
          </w:tcPr>
          <w:p>
            <w:r>
              <w:t>Dashcam</w:t>
            </w:r>
          </w:p>
        </w:tc>
        <w:tc>
          <w:tcPr>
            <w:tcW w:type="dxa" w:w="1728"/>
          </w:tcPr>
          <w:p>
            <w:r>
              <w:t>Image authenticity + GPS</w:t>
            </w:r>
          </w:p>
        </w:tc>
      </w:tr>
      <w:tr>
        <w:trPr>
          <w:cantSplit/>
        </w:trPr>
        <w:tc>
          <w:tcPr>
            <w:tcW w:type="dxa" w:w="1728"/>
          </w:tcPr>
          <w:p>
            <w:r>
              <w:t>WeatherXM</w:t>
            </w:r>
          </w:p>
        </w:tc>
        <w:tc>
          <w:tcPr>
            <w:tcW w:type="dxa" w:w="1728"/>
          </w:tcPr>
          <w:p>
            <w:r>
              <w:t>GeoDePIN</w:t>
            </w:r>
          </w:p>
        </w:tc>
        <w:tc>
          <w:tcPr>
            <w:tcW w:type="dxa" w:w="1728"/>
          </w:tcPr>
          <w:p>
            <w:r>
              <w:t>Individual station owners</w:t>
            </w:r>
          </w:p>
        </w:tc>
        <w:tc>
          <w:tcPr>
            <w:tcW w:type="dxa" w:w="1728"/>
          </w:tcPr>
          <w:p>
            <w:r>
              <w:t>Weather station</w:t>
            </w:r>
          </w:p>
        </w:tc>
        <w:tc>
          <w:tcPr>
            <w:tcW w:type="dxa" w:w="1728"/>
          </w:tcPr>
          <w:p>
            <w:r>
              <w:t>Cross-station validation</w:t>
            </w:r>
          </w:p>
        </w:tc>
      </w:tr>
      <w:tr>
        <w:trPr>
          <w:cantSplit/>
        </w:trPr>
        <w:tc>
          <w:tcPr>
            <w:tcW w:type="dxa" w:w="1728"/>
          </w:tcPr>
          <w:p>
            <w:r>
              <w:t>DIMO</w:t>
            </w:r>
          </w:p>
        </w:tc>
        <w:tc>
          <w:tcPr>
            <w:tcW w:type="dxa" w:w="1728"/>
          </w:tcPr>
          <w:p>
            <w:r>
              <w:t>GeoDePIN</w:t>
            </w:r>
          </w:p>
        </w:tc>
        <w:tc>
          <w:tcPr>
            <w:tcW w:type="dxa" w:w="1728"/>
          </w:tcPr>
          <w:p>
            <w:r>
              <w:t>Individual vehicle owners</w:t>
            </w:r>
          </w:p>
        </w:tc>
        <w:tc>
          <w:tcPr>
            <w:tcW w:type="dxa" w:w="1728"/>
          </w:tcPr>
          <w:p>
            <w:r>
              <w:t>OBD dongle / app</w:t>
            </w:r>
          </w:p>
        </w:tc>
        <w:tc>
          <w:tcPr>
            <w:tcW w:type="dxa" w:w="1728"/>
          </w:tcPr>
          <w:p>
            <w:r>
              <w:t>Hardware attestation</w:t>
            </w:r>
          </w:p>
        </w:tc>
      </w:tr>
      <w:tr>
        <w:trPr>
          <w:cantSplit/>
        </w:trPr>
        <w:tc>
          <w:tcPr>
            <w:tcW w:type="dxa" w:w="1728"/>
          </w:tcPr>
          <w:p>
            <w:r>
              <w:t>GEODNET</w:t>
            </w:r>
          </w:p>
        </w:tc>
        <w:tc>
          <w:tcPr>
            <w:tcW w:type="dxa" w:w="1728"/>
          </w:tcPr>
          <w:p>
            <w:r>
              <w:t>GeoDePIN</w:t>
            </w:r>
          </w:p>
        </w:tc>
        <w:tc>
          <w:tcPr>
            <w:tcW w:type="dxa" w:w="1728"/>
          </w:tcPr>
          <w:p>
            <w:r>
              <w:t>Individual station owners</w:t>
            </w:r>
          </w:p>
        </w:tc>
        <w:tc>
          <w:tcPr>
            <w:tcW w:type="dxa" w:w="1728"/>
          </w:tcPr>
          <w:p>
            <w:r>
              <w:t>RTK base station</w:t>
            </w:r>
          </w:p>
        </w:tc>
        <w:tc>
          <w:tcPr>
            <w:tcW w:type="dxa" w:w="1728"/>
          </w:tcPr>
          <w:p>
            <w:r>
              <w:t>Satellite cross-check</w:t>
            </w:r>
          </w:p>
        </w:tc>
      </w:tr>
      <w:tr>
        <w:trPr>
          <w:cantSplit/>
        </w:trPr>
        <w:tc>
          <w:tcPr>
            <w:tcW w:type="dxa" w:w="1728"/>
          </w:tcPr>
          <w:p>
            <w:r>
              <w:t>Anyone</w:t>
            </w:r>
          </w:p>
        </w:tc>
        <w:tc>
          <w:tcPr>
            <w:tcW w:type="dxa" w:w="1728"/>
          </w:tcPr>
          <w:p>
            <w:r>
              <w:t>GeoDePIN</w:t>
            </w:r>
          </w:p>
        </w:tc>
        <w:tc>
          <w:tcPr>
            <w:tcW w:type="dxa" w:w="1728"/>
          </w:tcPr>
          <w:p>
            <w:r>
              <w:t>Individual relay operators</w:t>
            </w:r>
          </w:p>
        </w:tc>
        <w:tc>
          <w:tcPr>
            <w:tcW w:type="dxa" w:w="1728"/>
          </w:tcPr>
          <w:p>
            <w:r>
              <w:t>VPN relay node</w:t>
            </w:r>
          </w:p>
        </w:tc>
        <w:tc>
          <w:tcPr>
            <w:tcW w:type="dxa" w:w="1728"/>
          </w:tcPr>
          <w:p>
            <w:r>
              <w:t>Bandwidth verification</w:t>
            </w:r>
          </w:p>
        </w:tc>
      </w:tr>
      <w:tr>
        <w:trPr>
          <w:cantSplit/>
        </w:trPr>
        <w:tc>
          <w:tcPr>
            <w:tcW w:type="dxa" w:w="1728"/>
          </w:tcPr>
          <w:p>
            <w:r>
              <w:t>Wayru / WiFiDabba</w:t>
            </w:r>
          </w:p>
        </w:tc>
        <w:tc>
          <w:tcPr>
            <w:tcW w:type="dxa" w:w="1728"/>
          </w:tcPr>
          <w:p>
            <w:r>
              <w:t>GeoDePIN</w:t>
            </w:r>
          </w:p>
        </w:tc>
        <w:tc>
          <w:tcPr>
            <w:tcW w:type="dxa" w:w="1728"/>
          </w:tcPr>
          <w:p>
            <w:r>
              <w:t>Community WiFi hosts</w:t>
            </w:r>
          </w:p>
        </w:tc>
        <w:tc>
          <w:tcPr>
            <w:tcW w:type="dxa" w:w="1728"/>
          </w:tcPr>
          <w:p>
            <w:r>
              <w:t>Router / access point</w:t>
            </w:r>
          </w:p>
        </w:tc>
        <w:tc>
          <w:tcPr>
            <w:tcW w:type="dxa" w:w="1728"/>
          </w:tcPr>
          <w:p>
            <w:r>
              <w:t>Usage metering</w:t>
            </w:r>
          </w:p>
        </w:tc>
      </w:tr>
      <w:tr>
        <w:trPr>
          <w:cantSplit/>
        </w:trPr>
        <w:tc>
          <w:tcPr>
            <w:tcW w:type="dxa" w:w="1728"/>
          </w:tcPr>
          <w:p>
            <w:r>
              <w:t>CUDIS</w:t>
            </w:r>
          </w:p>
        </w:tc>
        <w:tc>
          <w:tcPr>
            <w:tcW w:type="dxa" w:w="1728"/>
          </w:tcPr>
          <w:p>
            <w:r>
              <w:t>GeoDePIN</w:t>
            </w:r>
          </w:p>
        </w:tc>
        <w:tc>
          <w:tcPr>
            <w:tcW w:type="dxa" w:w="1728"/>
          </w:tcPr>
          <w:p>
            <w:r>
              <w:t>Individual wearers</w:t>
            </w:r>
          </w:p>
        </w:tc>
        <w:tc>
          <w:tcPr>
            <w:tcW w:type="dxa" w:w="1728"/>
          </w:tcPr>
          <w:p>
            <w:r>
              <w:t>Smart ring</w:t>
            </w:r>
          </w:p>
        </w:tc>
        <w:tc>
          <w:tcPr>
            <w:tcW w:type="dxa" w:w="1728"/>
          </w:tcPr>
          <w:p>
            <w:r>
              <w:t>Device attestation</w:t>
            </w:r>
          </w:p>
        </w:tc>
      </w:tr>
      <w:tr>
        <w:trPr>
          <w:cantSplit/>
        </w:trPr>
        <w:tc>
          <w:tcPr>
            <w:tcW w:type="dxa" w:w="1728"/>
          </w:tcPr>
          <w:p>
            <w:r>
              <w:t>Grass</w:t>
            </w:r>
          </w:p>
        </w:tc>
        <w:tc>
          <w:tcPr>
            <w:tcW w:type="dxa" w:w="1728"/>
          </w:tcPr>
          <w:p>
            <w:r>
              <w:t>GeoDePIN*</w:t>
            </w:r>
          </w:p>
        </w:tc>
        <w:tc>
          <w:tcPr>
            <w:tcW w:type="dxa" w:w="1728"/>
          </w:tcPr>
          <w:p>
            <w:r>
              <w:t>Individual bandwidth sharers</w:t>
            </w:r>
          </w:p>
        </w:tc>
        <w:tc>
          <w:tcPr>
            <w:tcW w:type="dxa" w:w="1728"/>
          </w:tcPr>
          <w:p>
            <w:r>
              <w:t>Browser extension</w:t>
            </w:r>
          </w:p>
        </w:tc>
        <w:tc>
          <w:tcPr>
            <w:tcW w:type="dxa" w:w="1728"/>
          </w:tcPr>
          <w:p>
            <w:r>
              <w:t>Task completion</w:t>
            </w:r>
          </w:p>
        </w:tc>
      </w:tr>
      <w:tr>
        <w:trPr>
          <w:cantSplit/>
        </w:trPr>
        <w:tc>
          <w:tcPr>
            <w:tcW w:type="dxa" w:w="1728"/>
          </w:tcPr>
          <w:p>
            <w:r>
              <w:t>UpRock</w:t>
            </w:r>
          </w:p>
        </w:tc>
        <w:tc>
          <w:tcPr>
            <w:tcW w:type="dxa" w:w="1728"/>
          </w:tcPr>
          <w:p>
            <w:r>
              <w:t>GeoDePIN*</w:t>
            </w:r>
          </w:p>
        </w:tc>
        <w:tc>
          <w:tcPr>
            <w:tcW w:type="dxa" w:w="1728"/>
          </w:tcPr>
          <w:p>
            <w:r>
              <w:t>Individual proxy providers</w:t>
            </w:r>
          </w:p>
        </w:tc>
        <w:tc>
          <w:tcPr>
            <w:tcW w:type="dxa" w:w="1728"/>
          </w:tcPr>
          <w:p>
            <w:r>
              <w:t>App / daemon</w:t>
            </w:r>
          </w:p>
        </w:tc>
        <w:tc>
          <w:tcPr>
            <w:tcW w:type="dxa" w:w="1728"/>
          </w:tcPr>
          <w:p>
            <w:r>
              <w:t>Request verification</w:t>
            </w:r>
          </w:p>
        </w:tc>
      </w:tr>
      <w:tr>
        <w:trPr>
          <w:cantSplit/>
        </w:trPr>
        <w:tc>
          <w:tcPr>
            <w:tcW w:type="dxa" w:w="1728"/>
          </w:tcPr>
          <w:p>
            <w:r>
              <w:t>Filecoin</w:t>
            </w:r>
          </w:p>
        </w:tc>
        <w:tc>
          <w:tcPr>
            <w:tcW w:type="dxa" w:w="1728"/>
          </w:tcPr>
          <w:p>
            <w:r>
              <w:t>DeVIN</w:t>
            </w:r>
          </w:p>
        </w:tc>
        <w:tc>
          <w:tcPr>
            <w:tcW w:type="dxa" w:w="1728"/>
          </w:tcPr>
          <w:p>
            <w:r>
              <w:t>Storage providers (institutional)</w:t>
            </w:r>
          </w:p>
        </w:tc>
        <w:tc>
          <w:tcPr>
            <w:tcW w:type="dxa" w:w="1728"/>
          </w:tcPr>
          <w:p>
            <w:r>
              <w:t>Server rack</w:t>
            </w:r>
          </w:p>
        </w:tc>
        <w:tc>
          <w:tcPr>
            <w:tcW w:type="dxa" w:w="1728"/>
          </w:tcPr>
          <w:p>
            <w:r>
              <w:t>Proof-of-Spacetime</w:t>
            </w:r>
          </w:p>
        </w:tc>
      </w:tr>
      <w:tr>
        <w:trPr>
          <w:cantSplit/>
        </w:trPr>
        <w:tc>
          <w:tcPr>
            <w:tcW w:type="dxa" w:w="1728"/>
          </w:tcPr>
          <w:p>
            <w:r>
              <w:t>Livepeer</w:t>
            </w:r>
          </w:p>
        </w:tc>
        <w:tc>
          <w:tcPr>
            <w:tcW w:type="dxa" w:w="1728"/>
          </w:tcPr>
          <w:p>
            <w:r>
              <w:t>DeVIN</w:t>
            </w:r>
          </w:p>
        </w:tc>
        <w:tc>
          <w:tcPr>
            <w:tcW w:type="dxa" w:w="1728"/>
          </w:tcPr>
          <w:p>
            <w:r>
              <w:t>Orchestrators (semi-institutional)</w:t>
            </w:r>
          </w:p>
        </w:tc>
        <w:tc>
          <w:tcPr>
            <w:tcW w:type="dxa" w:w="1728"/>
          </w:tcPr>
          <w:p>
            <w:r>
              <w:t>GPU server</w:t>
            </w:r>
          </w:p>
        </w:tc>
        <w:tc>
          <w:tcPr>
            <w:tcW w:type="dxa" w:w="1728"/>
          </w:tcPr>
          <w:p>
            <w:r>
              <w:t>Random test transcode</w:t>
            </w:r>
          </w:p>
        </w:tc>
      </w:tr>
      <w:tr>
        <w:trPr>
          <w:cantSplit/>
        </w:trPr>
        <w:tc>
          <w:tcPr>
            <w:tcW w:type="dxa" w:w="1728"/>
          </w:tcPr>
          <w:p>
            <w:r>
              <w:t>Render</w:t>
            </w:r>
          </w:p>
        </w:tc>
        <w:tc>
          <w:tcPr>
            <w:tcW w:type="dxa" w:w="1728"/>
          </w:tcPr>
          <w:p>
            <w:r>
              <w:t>DeVIN</w:t>
            </w:r>
          </w:p>
        </w:tc>
        <w:tc>
          <w:tcPr>
            <w:tcW w:type="dxa" w:w="1728"/>
          </w:tcPr>
          <w:p>
            <w:r>
              <w:t>GPU operators</w:t>
            </w:r>
          </w:p>
        </w:tc>
        <w:tc>
          <w:tcPr>
            <w:tcW w:type="dxa" w:w="1728"/>
          </w:tcPr>
          <w:p>
            <w:r>
              <w:t>GPU cluster</w:t>
            </w:r>
          </w:p>
        </w:tc>
        <w:tc>
          <w:tcPr>
            <w:tcW w:type="dxa" w:w="1728"/>
          </w:tcPr>
          <w:p>
            <w: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II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6.2 should be read with this distinction in mind: they are calibrated primarily to GeoDePIN coordination challenges.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V.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 is the most mature DePIN protocol and the primary longitudinal case in this study. The network operates a decentralized wireless infrastructure spanning 190+ countries, with two active subnetworks: IoT (LoRaWAN) and Mobile (5G/CBRS). After migrating from its own L1 to Solana in April 2023, Helium underwent a series of governance reforms that transformed its fiscal trajectory.</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2.06 (using total issuance; excluding delegation rewards, S2R = 1.96),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Pr>
      <w:tblGrid>
        <w:gridCol w:w="1400"/>
        <w:gridCol w:w="1200"/>
        <w:gridCol w:w="1200"/>
        <w:gridCol w:w="1200"/>
        <w:gridCol w:w="3640"/>
      </w:tblGrid>
      <w:tr>
        <w:trPr>
          <w:cantSplit/>
        </w:trPr>
        <w:tc>
          <w:tcPr>
            <w:tcW w:type="dxa" w:w="1728"/>
          </w:tcPr>
          <w:p>
            <w:r>
              <w:rPr>
                <w:b/>
              </w:rPr>
              <w:t>Period</w:t>
            </w:r>
          </w:p>
        </w:tc>
        <w:tc>
          <w:tcPr>
            <w:tcW w:type="dxa" w:w="1728"/>
          </w:tcPr>
          <w:p>
            <w:r>
              <w:rPr>
                <w:b/>
              </w:rPr>
              <w:t>S2R (burns only)</w:t>
            </w:r>
          </w:p>
        </w:tc>
        <w:tc>
          <w:tcPr>
            <w:tcW w:type="dxa" w:w="1728"/>
          </w:tcPr>
          <w:p>
            <w:r>
              <w:rPr>
                <w:b/>
              </w:rPr>
              <w:t>HNT Burned</w:t>
            </w:r>
          </w:p>
        </w:tc>
        <w:tc>
          <w:tcPr>
            <w:tcW w:type="dxa" w:w="1728"/>
          </w:tcPr>
          <w:p>
            <w:r>
              <w:rPr>
                <w:b/>
              </w:rPr>
              <w:t>HNT Issued</w:t>
            </w:r>
          </w:p>
        </w:tc>
        <w:tc>
          <w:tcPr>
            <w:tcW w:type="dxa" w:w="1728"/>
          </w:tcPr>
          <w:p>
            <w:r>
              <w:rPr>
                <w:b/>
              </w:rPr>
              <w:t>Context</w:t>
            </w:r>
          </w:p>
        </w:tc>
        <w:trPr>
          <w:cantSplit/>
          <w:tblHeader/>
        </w:trPr>
      </w:tr>
      <w:tr>
        <w:trPr>
          <w:cantSplit/>
        </w:trPr>
        <w:tc>
          <w:tcPr>
            <w:tcW w:type="dxa" w:w="1728"/>
          </w:tcPr>
          <w:p>
            <w:r>
              <w:t>May 2023</w:t>
            </w:r>
          </w:p>
        </w:tc>
        <w:tc>
          <w:tcPr>
            <w:tcW w:type="dxa" w:w="1728"/>
          </w:tcPr>
          <w:p>
            <w:r>
              <w:t>0.013</w:t>
            </w:r>
          </w:p>
        </w:tc>
        <w:tc>
          <w:tcPr>
            <w:tcW w:type="dxa" w:w="1728"/>
          </w:tcPr>
          <w:p>
            <w:r>
              <w:t>37,204</w:t>
            </w:r>
          </w:p>
        </w:tc>
        <w:tc>
          <w:tcPr>
            <w:tcW w:type="dxa" w:w="1728"/>
          </w:tcPr>
          <w:p>
            <w:r>
              <w:t>2,877,911</w:t>
            </w:r>
          </w:p>
        </w:tc>
        <w:tc>
          <w:tcPr>
            <w:tcW w:type="dxa" w:w="1728"/>
          </w:tcPr>
          <w:p>
            <w:r>
              <w:t>Post-migration baseline, IoT only</w:t>
            </w:r>
          </w:p>
        </w:tc>
      </w:tr>
      <w:tr>
        <w:trPr>
          <w:cantSplit/>
        </w:trPr>
        <w:tc>
          <w:tcPr>
            <w:tcW w:type="dxa" w:w="1728"/>
          </w:tcPr>
          <w:p>
            <w:r>
              <w:t>Sep 2023</w:t>
            </w:r>
          </w:p>
        </w:tc>
        <w:tc>
          <w:tcPr>
            <w:tcW w:type="dxa" w:w="1728"/>
          </w:tcPr>
          <w:p>
            <w:r>
              <w:t>0.119</w:t>
            </w:r>
          </w:p>
        </w:tc>
        <w:tc>
          <w:tcPr>
            <w:tcW w:type="dxa" w:w="1728"/>
          </w:tcPr>
          <w:p>
            <w:r>
              <w:t>138,660</w:t>
            </w:r>
          </w:p>
        </w:tc>
        <w:tc>
          <w:tcPr>
            <w:tcW w:type="dxa" w:w="1728"/>
          </w:tcPr>
          <w:p>
            <w:r>
              <w:t>1,170,115</w:t>
            </w:r>
          </w:p>
        </w:tc>
        <w:tc>
          <w:tcPr>
            <w:tcW w:type="dxa" w:w="1728"/>
          </w:tcPr>
          <w:p>
            <w:r>
              <w:t>Early 5G traction, first meaningful burns</w:t>
            </w:r>
          </w:p>
        </w:tc>
      </w:tr>
      <w:tr>
        <w:trPr>
          <w:cantSplit/>
        </w:trPr>
        <w:tc>
          <w:tcPr>
            <w:tcW w:type="dxa" w:w="1728"/>
          </w:tcPr>
          <w:p>
            <w:r>
              <w:t>Jan 2024</w:t>
            </w:r>
          </w:p>
        </w:tc>
        <w:tc>
          <w:tcPr>
            <w:tcW w:type="dxa" w:w="1728"/>
          </w:tcPr>
          <w:p>
            <w:r>
              <w:t>0.052</w:t>
            </w:r>
          </w:p>
        </w:tc>
        <w:tc>
          <w:tcPr>
            <w:tcW w:type="dxa" w:w="1728"/>
          </w:tcPr>
          <w:p>
            <w:r>
              <w:t>75,592</w:t>
            </w:r>
          </w:p>
        </w:tc>
        <w:tc>
          <w:tcPr>
            <w:tcW w:type="dxa" w:w="1728"/>
          </w:tcPr>
          <w:p>
            <w:r>
              <w:t>1,458,899</w:t>
            </w:r>
          </w:p>
        </w:tc>
        <w:tc>
          <w:tcPr>
            <w:tcW w:type="dxa" w:w="1728"/>
          </w:tcPr>
          <w:p>
            <w:r>
              <w:t>Steady-state pre-carrier-burn</w:t>
            </w:r>
          </w:p>
        </w:tc>
      </w:tr>
      <w:tr>
        <w:trPr>
          <w:cantSplit/>
        </w:trPr>
        <w:tc>
          <w:tcPr>
            <w:tcW w:type="dxa" w:w="1728"/>
          </w:tcPr>
          <w:p>
            <w:r>
              <w:t>Jun 2024</w:t>
            </w:r>
          </w:p>
        </w:tc>
        <w:tc>
          <w:tcPr>
            <w:tcW w:type="dxa" w:w="1728"/>
          </w:tcPr>
          <w:p>
            <w:r>
              <w:t>0.024</w:t>
            </w:r>
          </w:p>
        </w:tc>
        <w:tc>
          <w:tcPr>
            <w:tcW w:type="dxa" w:w="1728"/>
          </w:tcPr>
          <w:p>
            <w:r>
              <w:t>28,152</w:t>
            </w:r>
          </w:p>
        </w:tc>
        <w:tc>
          <w:tcPr>
            <w:tcW w:type="dxa" w:w="1728"/>
          </w:tcPr>
          <w:p>
            <w:r>
              <w:t>1,162,966</w:t>
            </w:r>
          </w:p>
        </w:tc>
        <w:tc>
          <w:tcPr>
            <w:tcW w:type="dxa" w:w="1728"/>
          </w:tcPr>
          <w:p>
            <w:r>
              <w:t>Mid-cycle trough</w:t>
            </w:r>
          </w:p>
        </w:tc>
      </w:tr>
      <w:tr>
        <w:trPr>
          <w:cantSplit/>
        </w:trPr>
        <w:tc>
          <w:tcPr>
            <w:tcW w:type="dxa" w:w="1728"/>
          </w:tcPr>
          <w:p>
            <w:r>
              <w:t>Nov 2024</w:t>
            </w:r>
          </w:p>
        </w:tc>
        <w:tc>
          <w:tcPr>
            <w:tcW w:type="dxa" w:w="1728"/>
          </w:tcPr>
          <w:p>
            <w:r>
              <w:t>0.137</w:t>
            </w:r>
          </w:p>
        </w:tc>
        <w:tc>
          <w:tcPr>
            <w:tcW w:type="dxa" w:w="1728"/>
          </w:tcPr>
          <w:p>
            <w:r>
              <w:t>159,517</w:t>
            </w:r>
          </w:p>
        </w:tc>
        <w:tc>
          <w:tcPr>
            <w:tcW w:type="dxa" w:w="1728"/>
          </w:tcPr>
          <w:p>
            <w:r>
              <w:t>1,163,406</w:t>
            </w:r>
          </w:p>
        </w:tc>
        <w:tc>
          <w:tcPr>
            <w:tcW w:type="dxa" w:w="1728"/>
          </w:tcPr>
          <w:p>
            <w:r>
              <w:t>Spike month (possible large DC purchase)</w:t>
            </w:r>
          </w:p>
        </w:tc>
      </w:tr>
      <w:tr>
        <w:trPr>
          <w:cantSplit/>
        </w:trPr>
        <w:tc>
          <w:tcPr>
            <w:tcW w:type="dxa" w:w="1728"/>
          </w:tcPr>
          <w:p>
            <w:r>
              <w:t>Mar 2025</w:t>
            </w:r>
          </w:p>
        </w:tc>
        <w:tc>
          <w:tcPr>
            <w:tcW w:type="dxa" w:w="1728"/>
          </w:tcPr>
          <w:p>
            <w:r>
              <w:t>0.107</w:t>
            </w:r>
          </w:p>
        </w:tc>
        <w:tc>
          <w:tcPr>
            <w:tcW w:type="dxa" w:w="1728"/>
          </w:tcPr>
          <w:p>
            <w:r>
              <w:t>200,362</w:t>
            </w:r>
          </w:p>
        </w:tc>
        <w:tc>
          <w:tcPr>
            <w:tcW w:type="dxa" w:w="1728"/>
          </w:tcPr>
          <w:p>
            <w:r>
              <w:t>1,876,522</w:t>
            </w:r>
          </w:p>
        </w:tc>
        <w:tc>
          <w:tcPr>
            <w:tcW w:type="dxa" w:w="1728"/>
          </w:tcPr>
          <w:p>
            <w:r>
              <w:t>Pre carrier-burn, growing demand</w:t>
            </w:r>
          </w:p>
        </w:tc>
      </w:tr>
      <w:tr>
        <w:trPr>
          <w:cantSplit/>
        </w:trPr>
        <w:tc>
          <w:tcPr>
            <w:tcW w:type="dxa" w:w="1728"/>
          </w:tcPr>
          <w:p>
            <w:r>
              <w:t>Jun 2025</w:t>
            </w:r>
          </w:p>
        </w:tc>
        <w:tc>
          <w:tcPr>
            <w:tcW w:type="dxa" w:w="1728"/>
          </w:tcPr>
          <w:p>
            <w:r>
              <w:t>0.376</w:t>
            </w:r>
          </w:p>
        </w:tc>
        <w:tc>
          <w:tcPr>
            <w:tcW w:type="dxa" w:w="1728"/>
          </w:tcPr>
          <w:p>
            <w:r>
              <w:t>708,897</w:t>
            </w:r>
          </w:p>
        </w:tc>
        <w:tc>
          <w:tcPr>
            <w:tcW w:type="dxa" w:w="1728"/>
          </w:tcPr>
          <w:p>
            <w:r>
              <w:t>1,883,509</w:t>
            </w:r>
          </w:p>
        </w:tc>
        <w:tc>
          <w:tcPr>
            <w:tcW w:type="dxa" w:w="1728"/>
          </w:tcPr>
          <w:p>
            <w:r>
              <w:t>Full carrier revenue burn begins</w:t>
            </w:r>
          </w:p>
        </w:tc>
      </w:tr>
      <w:tr>
        <w:trPr>
          <w:cantSplit/>
        </w:trPr>
        <w:tc>
          <w:tcPr>
            <w:tcW w:type="dxa" w:w="1728"/>
          </w:tcPr>
          <w:p>
            <w:r>
              <w:t>Aug 2025</w:t>
            </w:r>
          </w:p>
        </w:tc>
        <w:tc>
          <w:tcPr>
            <w:tcW w:type="dxa" w:w="1728"/>
          </w:tcPr>
          <w:p>
            <w:r>
              <w:t>0.869</w:t>
            </w:r>
          </w:p>
        </w:tc>
        <w:tc>
          <w:tcPr>
            <w:tcW w:type="dxa" w:w="1728"/>
          </w:tcPr>
          <w:p>
            <w:r>
              <w:t>532,886</w:t>
            </w:r>
          </w:p>
        </w:tc>
        <w:tc>
          <w:tcPr>
            <w:tcW w:type="dxa" w:w="1728"/>
          </w:tcPr>
          <w:p>
            <w:r>
              <w:t>613,510</w:t>
            </w:r>
          </w:p>
        </w:tc>
        <w:tc>
          <w:tcPr>
            <w:tcW w:type="dxa" w:w="1728"/>
          </w:tcPr>
          <w:p>
            <w:r>
              <w:t>Post-halving: issuance drops ~58%</w:t>
            </w:r>
          </w:p>
        </w:tc>
      </w:tr>
      <w:tr>
        <w:trPr>
          <w:cantSplit/>
        </w:trPr>
        <w:tc>
          <w:tcPr>
            <w:tcW w:type="dxa" w:w="1728"/>
          </w:tcPr>
          <w:p>
            <w:r>
              <w:t>Sep 2025</w:t>
            </w:r>
          </w:p>
        </w:tc>
        <w:tc>
          <w:tcPr>
            <w:tcW w:type="dxa" w:w="1728"/>
          </w:tcPr>
          <w:p>
            <w:r>
              <w:t>0.587</w:t>
            </w:r>
          </w:p>
        </w:tc>
        <w:tc>
          <w:tcPr>
            <w:tcW w:type="dxa" w:w="1728"/>
          </w:tcPr>
          <w:p>
            <w:r>
              <w:t>456,181</w:t>
            </w:r>
          </w:p>
        </w:tc>
        <w:tc>
          <w:tcPr>
            <w:tcW w:type="dxa" w:w="1728"/>
          </w:tcPr>
          <w:p>
            <w:r>
              <w:t>776,712</w:t>
            </w:r>
          </w:p>
        </w:tc>
        <w:tc>
          <w:tcPr>
            <w:tcW w:type="dxa" w:w="1728"/>
          </w:tcPr>
          <w:p>
            <w:r>
              <w:t>HIP-147 passes; S2R pulls back</w:t>
            </w:r>
          </w:p>
        </w:tc>
      </w:tr>
      <w:tr>
        <w:trPr>
          <w:cantSplit/>
        </w:trPr>
        <w:tc>
          <w:tcPr>
            <w:tcW w:type="dxa" w:w="1728"/>
          </w:tcPr>
          <w:p>
            <w:r>
              <w:t>Oct 2025</w:t>
            </w:r>
          </w:p>
        </w:tc>
        <w:tc>
          <w:tcPr>
            <w:tcW w:type="dxa" w:w="1728"/>
          </w:tcPr>
          <w:p>
            <w:r>
              <w:t>1.570</w:t>
            </w:r>
          </w:p>
        </w:tc>
        <w:tc>
          <w:tcPr>
            <w:tcW w:type="dxa" w:w="1728"/>
          </w:tcPr>
          <w:p>
            <w:r>
              <w:t>975,288</w:t>
            </w:r>
          </w:p>
        </w:tc>
        <w:tc>
          <w:tcPr>
            <w:tcW w:type="dxa" w:w="1728"/>
          </w:tcPr>
          <w:p>
            <w:r>
              <w:t>621,370</w:t>
            </w:r>
          </w:p>
        </w:tc>
        <w:tc>
          <w:tcPr>
            <w:tcW w:type="dxa" w:w="1728"/>
          </w:tcPr>
          <w:p>
            <w:r>
              <w:t>Burns exceed issuance for first time</w:t>
            </w:r>
          </w:p>
        </w:tc>
      </w:tr>
      <w:tr>
        <w:trPr>
          <w:cantSplit/>
        </w:trPr>
        <w:tc>
          <w:tcPr>
            <w:tcW w:type="dxa" w:w="1728"/>
          </w:tcPr>
          <w:p>
            <w:r>
              <w:t>Dec 2025</w:t>
            </w:r>
          </w:p>
        </w:tc>
        <w:tc>
          <w:tcPr>
            <w:tcW w:type="dxa" w:w="1728"/>
          </w:tcPr>
          <w:p>
            <w:r>
              <w:t>1.552</w:t>
            </w:r>
          </w:p>
        </w:tc>
        <w:tc>
          <w:tcPr>
            <w:tcW w:type="dxa" w:w="1728"/>
          </w:tcPr>
          <w:p>
            <w:r>
              <w:t>1,205,193</w:t>
            </w:r>
          </w:p>
        </w:tc>
        <w:tc>
          <w:tcPr>
            <w:tcW w:type="dxa" w:w="1728"/>
          </w:tcPr>
          <w:p>
            <w:r>
              <w:t>776,712</w:t>
            </w:r>
          </w:p>
        </w:tc>
        <w:tc>
          <w:tcPr>
            <w:tcW w:type="dxa" w:w="1728"/>
          </w:tcPr>
          <w:p>
            <w:r>
              <w:t>Sustained net-deflationary</w:t>
            </w:r>
          </w:p>
        </w:tc>
      </w:tr>
      <w:tr>
        <w:trPr>
          <w:cantSplit/>
        </w:trPr>
        <w:tc>
          <w:tcPr>
            <w:tcW w:type="dxa" w:w="1728"/>
          </w:tcPr>
          <w:p>
            <w:r>
              <w:t>Feb 2026</w:t>
            </w:r>
          </w:p>
        </w:tc>
        <w:tc>
          <w:tcPr>
            <w:tcW w:type="dxa" w:w="1728"/>
          </w:tcPr>
          <w:p>
            <w:r>
              <w:t>2.060</w:t>
            </w:r>
          </w:p>
        </w:tc>
        <w:tc>
          <w:tcPr>
            <w:tcW w:type="dxa" w:w="1728"/>
          </w:tcPr>
          <w:p>
            <w:r>
              <w:t>777,042</w:t>
            </w:r>
          </w:p>
        </w:tc>
        <w:tc>
          <w:tcPr>
            <w:tcW w:type="dxa" w:w="1728"/>
          </w:tcPr>
          <w:p>
            <w:r>
              <w:t>377,260</w:t>
            </w:r>
          </w:p>
        </w:tc>
        <w:tc>
          <w:tcPr>
            <w:tcW w:type="dxa" w:w="1728"/>
          </w:tcPr>
          <w:p>
            <w:r>
              <w:t>Burns at 2x issuance</w:t>
            </w:r>
          </w:p>
        </w:tc>
      </w:tr>
    </w:tbl>
    <w:p>
      <w:r>
        <w:rPr>
          <w:b w:val="0"/>
          <w:i/>
        </w:rPr>
        <w:t>Table 3. Helium monthly S2R trajectory (May 2023 to February 2026, N = 34).</w:t>
      </w:r>
    </w:p>
    <w:p>
      <w:pPr>
        <w:pStyle w:val="Heading3"/>
      </w:pPr>
      <w:r>
        <w:t>5.1.2 Who Burns? Demand Concentration</w:t>
      </w:r>
    </w:p>
    <w:p>
      <w:r>
        <w:rPr/>
        <w:t>Burn Concentration: Who Burns?. Dune Analytics [8] validation reveals that HNT burns are highly concentrated. The top 5 burn-signing addresses account for approximately 90% of total HNT burned across the 34-month observation window. The single largest address (Bi5JuJD…) processed 43% of all burns (3.25 million HNT) in only 178 transactions, consistent with institutional or treasury Data Credit purchases rather than grassroots operator demand. The second-largest signer (tasky4vv…, 2.1 million HNT in 39,000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top two burn addresses ceased purchasing Data Credits, Helium’s S2R would fall from 2.06 to approximately 0.62 within one month, returning the protocol to subsidy dependence regardless of how governance tokens are distributed. Governance concentration and demand concentration are therefore independent failure modes: the first determines who controls protocol rules, the second determines who controls protocol revenue.</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1. Helium "Who Burns?" — top burn addresses by Data Credit volume (2024).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6.4)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Hypothesis mapping: The strongest single case for the service-over-presence principle. The S2R trajectory from 0.013 post-migration (May 2023) to 2.06 in February 2026 (with burns exceeding issuance since October 2025) demonstrates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pPr>
        <w:pStyle w:val="Heading3"/>
      </w:pPr>
      <w:r>
        <w:t>5.1.3 Hypothesis Mapping</w:t>
      </w:r>
    </w:p>
    <w:p>
      <w:r>
        <w:rPr>
          <w:b w:val="0"/>
        </w:rPr>
        <w:t>The Helium case provides the strongest single-protocol evidence for two design principles: sinks before faucets, demonstrated by the S2R trajectory crossing parity only after demand-coupled burns were deployed; and service over presence, demonstrated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After excluding the DIMO Foundation address (verified via Blockscout, holding approximately 55% of supply with no on-chain governance activity), DIMO’s governance HHI drops from 0.305 to 0.038 [34]. Post-exclusion, DIMO is among the least concentrated DePIN governance tokens in the 40-protocol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Design lesson: DIMO illustrates the sink-before-scale principle (Section 2.2): the Developer License burn was operational before aggressive hardware distribution, ensuring token demand scaled with genuine data consumption. Pre-exclusion governance concentration (HHI 0.305, reduced to 0.038 post-exclusion) represents the structural risk that bicameral governance (Section VI)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2.06,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6.4)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IoTeX: IoT Infrastructure Layer-1. IoTeX operates a purpose-built Layer-1 blockchain optimized for Internet of Things devices and DePIN applications. The platform [16]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IoTeX employs an EIP-1559 [5]-style gas fee burn mechanism on its native L1 chain. Transaction fee [17]s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Decentralized RTK Positioning Network. 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network revenue purchases GEOD on the open market and burns it, creating a demand-coupled sink tied directly to enterprise data consumption. Dune Analytics [8] queries on Solana SPL token burn instructions reveal 15.1 million GEOD burned since the Solana migration (September 2024), with monthly burns ranging from 163,000 GEOD (October 2024, early migration) to 2.17 million GEOD (January 2025, peak). February 2026 burns totaled 1.34 million GEOD, yielding the S2R of 0.62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A demand-concentration analysis (the “Who Burns?” methodology from Section 5.1.2) reveals that GEODNET’s burn demand is substantially less concentrated than Helium’s: the top-5 burn signers account for 40.4% of total burns (burn-signer HHI 0.055), compared to Helium’s top-5 at approximately 90% (burn-signer HHI 0.27). The top-1 GEODNET signer holds 9.4% of burns versus Helium’s 43%. This difference is structurally informative: GEODNET’s subscription model distributes burn demand across dozens of enterprise clients, whereas Helium’s carrier-contract model concentrates burns in a few large institutional purchasers. The finding directly supports the health dashboard’s recommendation (Section 6.4) that demand concentration should be monitored alongside S2R: GEODNET’s lower burn concentration suggests greater demand-side resilience to single-buyer departure.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The S2R accelerated from approximately 0.15 in mid-2024 to 0.62 by early 2026 [32], exceeding Hivemapper (0.183) and approaching the trajectory that Helium followed before crossing fiscal parity. By early 2026, the network spanned 5,802 cities with median station earnings of $47.63 per month [32], and weekly GEOD burns had reached 1.06 million tokens.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not monotonic: accelerating vesting unlocks in Q2 2025 (monthly unlocks rose from approximately 23 million to 30 million tokens as team and investor allocations vested) temporarily overwhelmed subscription burn growth, collapsing the absorption rate to below 20% despite a scheduled June 30 halving that cut mining rewards by 50%. Subscription growth subsequently restored absorption to 36% by February 2026. This pattern illustrates a supply-side risk absent from the health dashboard’s current specification: vesting-driven dilution operates independently of emission schedules and can overwhelm organic demand even when mining rewards are contracting.</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2. GEODNET cumulative burn trajectory (2022–2025). Dashed line marks the BME crossover (S2R = 1.0); shaded region indicates net-deflationary quarters.</w:t>
      </w:r>
    </w:p>
    <w:p>
      <w:r>
        <w:t xml:space="preserve">By early 2026, the network spanned 5,802 cities with median station earnings of $47.63 per month [32], and weekly GEOD burns had reached 1.06 million tokens.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 The burn-concentration finding extends the design lesson: GEODNET’s subscription-based burn model produces a burn-signer HHI (0.055) that is approximately one-fifth of Helium’s (0.27), suggesting that subscription-based demand architectures may be structurally more resilient than carrier-contract models, a testable hypothesis for the cross-protocol program outlined in Section 7.4.</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9300"/>
        <w:tblLook w:firstColumn="1" w:firstRow="1" w:lastColumn="0" w:lastRow="0" w:noHBand="0" w:noVBand="1" w:val="04A0"/>
        <w:jc w:val="center"/>
      </w:tblPr>
      <w:tblGrid>
        <w:gridCol w:w="1500"/>
        <w:gridCol w:w="1300"/>
        <w:gridCol w:w="1400"/>
        <w:gridCol w:w="700"/>
        <w:gridCol w:w="800"/>
        <w:gridCol w:w="1100"/>
        <w:gridCol w:w="2500"/>
      </w:tblGrid>
      <w:tr>
        <w:trPr>
          <w:cantSplit/>
        </w:trPr>
        <w:tc>
          <w:tcPr>
            <w:tcW w:type="dxa" w:w="1500"/>
          </w:tcPr>
          <w:p>
            <w:r>
              <w:rPr>
                <w:b/>
              </w:rPr>
              <w:t>Protocol</w:t>
            </w:r>
          </w:p>
        </w:tc>
        <w:tc>
          <w:tcPr>
            <w:tcW w:type="dxa" w:w="1300"/>
          </w:tcPr>
          <w:p>
            <w:r>
              <w:rPr>
                <w:b/>
              </w:rPr>
              <w:t>Service</w:t>
            </w:r>
          </w:p>
        </w:tc>
        <w:tc>
          <w:tcPr>
            <w:tcW w:type="dxa" w:w="1400"/>
          </w:tcPr>
          <w:p>
            <w:r>
              <w:rPr>
                <w:b/>
              </w:rPr>
              <w:t>Sink Type</w:t>
            </w:r>
          </w:p>
        </w:tc>
        <w:tc>
          <w:tcPr>
            <w:tcW w:type="dxa" w:w="700"/>
          </w:tcPr>
          <w:p>
            <w:r>
              <w:rPr>
                <w:b/>
              </w:rPr>
              <w:t>S2R</w:t>
            </w:r>
          </w:p>
        </w:tc>
        <w:tc>
          <w:tcPr>
            <w:tcW w:type="dxa" w:w="800"/>
          </w:tcPr>
          <w:p>
            <w:r>
              <w:rPr>
                <w:b/>
              </w:rPr>
              <w:t>Gov HHI</w:t>
            </w:r>
          </w:p>
        </w:tc>
        <w:tc>
          <w:tcPr>
            <w:tcW w:type="dxa" w:w="1100"/>
          </w:tcPr>
          <w:p>
            <w:r>
              <w:rPr>
                <w:b/>
              </w:rPr>
              <w:t>Subsidy Risk</w:t>
            </w:r>
          </w:p>
        </w:tc>
        <w:tc>
          <w:tcPr>
            <w:tcW w:type="dxa" w:w="2500"/>
          </w:tcPr>
          <w:p>
            <w:r>
              <w:rPr>
                <w:b/>
              </w:rPr>
              <w:t>Key Finding</w:t>
            </w:r>
          </w:p>
        </w:tc>
        <w:trPr>
          <w:cantSplit/>
          <w:tblHeader/>
        </w:trPr>
      </w:tr>
      <w:tr>
        <w:trPr>
          <w:cantSplit/>
        </w:trPr>
        <w:tc>
          <w:tcPr>
            <w:tcW w:type="dxa" w:w="1500"/>
          </w:tcPr>
          <w:p>
            <w:r>
              <w:t>Filecoin</w:t>
            </w:r>
          </w:p>
        </w:tc>
        <w:tc>
          <w:tcPr>
            <w:tcW w:type="dxa" w:w="1300"/>
          </w:tcPr>
          <w:p>
            <w:r>
              <w:t>Storage</w:t>
            </w:r>
          </w:p>
        </w:tc>
        <w:tc>
          <w:tcPr>
            <w:tcW w:type="dxa" w:w="1400"/>
          </w:tcPr>
          <w:p>
            <w:r>
              <w:t>Collateral + burn</w:t>
            </w:r>
          </w:p>
        </w:tc>
        <w:tc>
          <w:tcPr>
            <w:tcW w:type="dxa" w:w="700"/>
          </w:tcPr>
          <w:p>
            <w:r>
              <w:t>~0.045</w:t>
            </w:r>
          </w:p>
        </w:tc>
        <w:tc>
          <w:tcPr>
            <w:tcW w:type="dxa" w:w="800"/>
          </w:tcPr>
          <w:p>
            <w:r>
              <w:t>–</w:t>
            </w:r>
          </w:p>
        </w:tc>
        <w:tc>
          <w:tcPr>
            <w:tcW w:type="dxa" w:w="1100"/>
          </w:tcPr>
          <w:p>
            <w:r>
              <w:t>Medium</w:t>
            </w:r>
          </w:p>
        </w:tc>
        <w:tc>
          <w:tcPr>
            <w:tcW w:type="dxa" w:w="2500"/>
          </w:tcPr>
          <w:p>
            <w:r>
              <w:t>Strong verification; low S2R (0.045)</w:t>
            </w:r>
          </w:p>
        </w:tc>
      </w:tr>
      <w:tr>
        <w:trPr>
          <w:cantSplit/>
        </w:trPr>
        <w:tc>
          <w:tcPr>
            <w:tcW w:type="dxa" w:w="1500"/>
          </w:tcPr>
          <w:p>
            <w:r>
              <w:t>Livepeer</w:t>
            </w:r>
          </w:p>
        </w:tc>
        <w:tc>
          <w:tcPr>
            <w:tcW w:type="dxa" w:w="1300"/>
          </w:tcPr>
          <w:p>
            <w:r>
              <w:t>Video transcode</w:t>
            </w:r>
          </w:p>
        </w:tc>
        <w:tc>
          <w:tcPr>
            <w:tcW w:type="dxa" w:w="1400"/>
          </w:tcPr>
          <w:p>
            <w:r>
              <w:t>Fee routing</w:t>
            </w:r>
          </w:p>
        </w:tc>
        <w:tc>
          <w:tcPr>
            <w:tcW w:type="dxa" w:w="700"/>
          </w:tcPr>
          <w:p>
            <w:r>
              <w:t>~0</w:t>
            </w:r>
          </w:p>
        </w:tc>
        <w:tc>
          <w:tcPr>
            <w:tcW w:type="dxa" w:w="800"/>
          </w:tcPr>
          <w:p>
            <w:r>
              <w:t>–</w:t>
            </w:r>
          </w:p>
        </w:tc>
        <w:tc>
          <w:tcPr>
            <w:tcW w:type="dxa" w:w="1100"/>
          </w:tcPr>
          <w:p>
            <w:r>
              <w:t>Low</w:t>
            </w:r>
          </w:p>
        </w:tc>
        <w:tc>
          <w:tcPr>
            <w:tcW w:type="dxa" w:w="2500"/>
          </w:tcPr>
          <w:p>
            <w:r>
              <w:t>Orchestrator competition drives cost advantage</w:t>
            </w:r>
          </w:p>
        </w:tc>
      </w:tr>
      <w:tr>
        <w:trPr>
          <w:cantSplit/>
        </w:trPr>
        <w:tc>
          <w:tcPr>
            <w:tcW w:type="dxa" w:w="1500"/>
          </w:tcPr>
          <w:p>
            <w:r>
              <w:t>Hivemapper</w:t>
            </w:r>
          </w:p>
        </w:tc>
        <w:tc>
          <w:tcPr>
            <w:tcW w:type="dxa" w:w="1300"/>
          </w:tcPr>
          <w:p>
            <w:r>
              <w:t>Street mapping</w:t>
            </w:r>
          </w:p>
        </w:tc>
        <w:tc>
          <w:tcPr>
            <w:tcW w:type="dxa" w:w="1400"/>
          </w:tcPr>
          <w:p>
            <w:r>
              <w:t>Map credit burn</w:t>
            </w:r>
          </w:p>
        </w:tc>
        <w:tc>
          <w:tcPr>
            <w:tcW w:type="dxa" w:w="700"/>
          </w:tcPr>
          <w:p>
            <w:r>
              <w:t>0.183</w:t>
            </w:r>
          </w:p>
        </w:tc>
        <w:tc>
          <w:tcPr>
            <w:tcW w:type="dxa" w:w="800"/>
          </w:tcPr>
          <w:p>
            <w:r>
              <w:t>–</w:t>
            </w:r>
          </w:p>
        </w:tc>
        <w:tc>
          <w:tcPr>
            <w:tcW w:type="dxa" w:w="1100"/>
          </w:tcPr>
          <w:p>
            <w:r>
              <w:t>Medium</w:t>
            </w:r>
          </w:p>
        </w:tc>
        <w:tc>
          <w:tcPr>
            <w:tcW w:type="dxa" w:w="2500"/>
          </w:tcPr>
          <w:p>
            <w:r>
              <w:t>Freshness advantage; S2R 0.183 (Dune Feb 2026)</w:t>
            </w:r>
          </w:p>
        </w:tc>
      </w:tr>
      <w:tr>
        <w:trPr>
          <w:cantSplit/>
        </w:trPr>
        <w:tc>
          <w:tcPr>
            <w:tcW w:type="dxa" w:w="1500"/>
          </w:tcPr>
          <w:p>
            <w:r>
              <w:t>GEODNET</w:t>
            </w:r>
          </w:p>
        </w:tc>
        <w:tc>
          <w:tcPr>
            <w:tcW w:type="dxa" w:w="1300"/>
          </w:tcPr>
          <w:p>
            <w:r>
              <w:t>RTK positioning</w:t>
            </w:r>
          </w:p>
        </w:tc>
        <w:tc>
          <w:tcPr>
            <w:tcW w:type="dxa" w:w="1400"/>
          </w:tcPr>
          <w:p>
            <w:r>
              <w:t>Subscription burn</w:t>
            </w:r>
          </w:p>
        </w:tc>
        <w:tc>
          <w:tcPr>
            <w:tcW w:type="dxa" w:w="700"/>
          </w:tcPr>
          <w:p>
            <w:r>
              <w:t>0.62</w:t>
            </w:r>
          </w:p>
        </w:tc>
        <w:tc>
          <w:tcPr>
            <w:tcW w:type="dxa" w:w="800"/>
          </w:tcPr>
          <w:p>
            <w:r>
              <w:t>0.14*</w:t>
            </w:r>
          </w:p>
        </w:tc>
        <w:tc>
          <w:tcPr>
            <w:tcW w:type="dxa" w:w="1100"/>
          </w:tcPr>
          <w:p>
            <w:r>
              <w:t>Medium</w:t>
            </w:r>
          </w:p>
        </w:tc>
        <w:tc>
          <w:tcPr>
            <w:tcW w:type="dxa" w:w="2500"/>
          </w:tcPr>
          <w:p>
            <w:r>
              <w:t>S2R 0.62; burn Top-5 = 40.4% (Section 5.2.5)</w:t>
            </w:r>
          </w:p>
        </w:tc>
      </w:tr>
      <w:tr>
        <w:trPr>
          <w:cantSplit/>
        </w:trPr>
        <w:tc>
          <w:tcPr>
            <w:tcW w:type="dxa" w:w="1500"/>
          </w:tcPr>
          <w:p>
            <w:r>
              <w:t>Anyone</w:t>
            </w:r>
          </w:p>
        </w:tc>
        <w:tc>
          <w:tcPr>
            <w:tcW w:type="dxa" w:w="1300"/>
          </w:tcPr>
          <w:p>
            <w:r>
              <w:t>VPN/relay</w:t>
            </w:r>
          </w:p>
        </w:tc>
        <w:tc>
          <w:tcPr>
            <w:tcW w:type="dxa" w:w="1400"/>
          </w:tcPr>
          <w:p>
            <w:r>
              <w:t>Token burn</w:t>
            </w:r>
          </w:p>
        </w:tc>
        <w:tc>
          <w:tcPr>
            <w:tcW w:type="dxa" w:w="700"/>
          </w:tcPr>
          <w:p>
            <w:r>
              <w:t>~0</w:t>
            </w:r>
          </w:p>
        </w:tc>
        <w:tc>
          <w:tcPr>
            <w:tcW w:type="dxa" w:w="800"/>
          </w:tcPr>
          <w:p>
            <w:r>
              <w:t>0.034</w:t>
            </w:r>
          </w:p>
        </w:tc>
        <w:tc>
          <w:tcPr>
            <w:tcW w:type="dxa" w:w="1100"/>
          </w:tcPr>
          <w:p>
            <w:r>
              <w:t>High</w:t>
            </w:r>
          </w:p>
        </w:tc>
        <w:tc>
          <w:tcPr>
            <w:tcW w:type="dxa" w:w="2500"/>
          </w:tcPr>
          <w:p>
            <w:r>
              <w:t>Most diffuse governance in DePIN sample</w:t>
            </w:r>
          </w:p>
        </w:tc>
      </w:tr>
      <w:tr>
        <w:trPr>
          <w:cantSplit/>
        </w:trPr>
        <w:tc>
          <w:tcPr>
            <w:tcW w:type="dxa" w:w="1500"/>
          </w:tcPr>
          <w:p>
            <w:r>
              <w:t>Grass</w:t>
            </w:r>
          </w:p>
        </w:tc>
        <w:tc>
          <w:tcPr>
            <w:tcW w:type="dxa" w:w="1300"/>
          </w:tcPr>
          <w:p>
            <w:r>
              <w:t>AI training data</w:t>
            </w:r>
          </w:p>
        </w:tc>
        <w:tc>
          <w:tcPr>
            <w:tcW w:type="dxa" w:w="1400"/>
          </w:tcPr>
          <w:p>
            <w:r>
              <w:t>None yet</w:t>
            </w:r>
          </w:p>
        </w:tc>
        <w:tc>
          <w:tcPr>
            <w:tcW w:type="dxa" w:w="700"/>
          </w:tcPr>
          <w:p>
            <w:r>
              <w:t>~0</w:t>
            </w:r>
          </w:p>
        </w:tc>
        <w:tc>
          <w:tcPr>
            <w:tcW w:type="dxa" w:w="800"/>
          </w:tcPr>
          <w:p>
            <w:r>
              <w:t>0.119</w:t>
            </w:r>
          </w:p>
        </w:tc>
        <w:tc>
          <w:tcPr>
            <w:tcW w:type="dxa" w:w="1100"/>
          </w:tcPr>
          <w:p>
            <w:r>
              <w:t>Critical</w:t>
            </w:r>
          </w:p>
        </w:tc>
        <w:tc>
          <w:tcPr>
            <w:tcW w:type="dxa" w:w="2500"/>
          </w:tcPr>
          <w:p>
            <w:r>
              <w:t>No burn mechanism; Gini 0.96; AI positioning</w:t>
            </w:r>
          </w:p>
        </w:tc>
      </w:tr>
      <w:tr>
        <w:trPr>
          <w:cantSplit/>
        </w:trPr>
        <w:tc>
          <w:tcPr>
            <w:tcW w:type="dxa" w:w="1500"/>
          </w:tcPr>
          <w:p>
            <w:r>
              <w:t>UpRock</w:t>
            </w:r>
          </w:p>
        </w:tc>
        <w:tc>
          <w:tcPr>
            <w:tcW w:type="dxa" w:w="1300"/>
          </w:tcPr>
          <w:p>
            <w:r>
              <w:t>Bandwidth</w:t>
            </w:r>
          </w:p>
        </w:tc>
        <w:tc>
          <w:tcPr>
            <w:tcW w:type="dxa" w:w="1400"/>
          </w:tcPr>
          <w:p>
            <w:r>
              <w:t>None yet</w:t>
            </w:r>
          </w:p>
        </w:tc>
        <w:tc>
          <w:tcPr>
            <w:tcW w:type="dxa" w:w="700"/>
          </w:tcPr>
          <w:p>
            <w:r>
              <w:t>~0</w:t>
            </w:r>
          </w:p>
        </w:tc>
        <w:tc>
          <w:tcPr>
            <w:tcW w:type="dxa" w:w="800"/>
          </w:tcPr>
          <w:p>
            <w:r>
              <w:t>–</w:t>
            </w:r>
          </w:p>
        </w:tc>
        <w:tc>
          <w:tcPr>
            <w:tcW w:type="dxa" w:w="1100"/>
          </w:tcPr>
          <w:p>
            <w:r>
              <w:t>Critical</w:t>
            </w:r>
          </w:p>
        </w:tc>
        <w:tc>
          <w:tcPr>
            <w:tcW w:type="dxa" w:w="2500"/>
          </w:tcPr>
          <w:p>
            <w:r>
              <w:t>Pre-revenue; data-insufficient</w:t>
            </w:r>
          </w:p>
        </w:tc>
      </w:tr>
      <w:tr>
        <w:trPr>
          <w:cantSplit/>
        </w:trPr>
        <w:tc>
          <w:tcPr>
            <w:tcW w:type="dxa" w:w="1500"/>
          </w:tcPr>
          <w:p>
            <w:r>
              <w:t>Wayru/WiFiDabba</w:t>
            </w:r>
          </w:p>
        </w:tc>
        <w:tc>
          <w:tcPr>
            <w:tcW w:type="dxa" w:w="1300"/>
          </w:tcPr>
          <w:p>
            <w:r>
              <w:t>WiFi</w:t>
            </w:r>
          </w:p>
        </w:tc>
        <w:tc>
          <w:tcPr>
            <w:tcW w:type="dxa" w:w="1400"/>
          </w:tcPr>
          <w:p>
            <w:r>
              <w:t>Micro-payments</w:t>
            </w:r>
          </w:p>
        </w:tc>
        <w:tc>
          <w:tcPr>
            <w:tcW w:type="dxa" w:w="700"/>
          </w:tcPr>
          <w:p>
            <w:r>
              <w:t>–</w:t>
            </w:r>
          </w:p>
        </w:tc>
        <w:tc>
          <w:tcPr>
            <w:tcW w:type="dxa" w:w="800"/>
          </w:tcPr>
          <w:p>
            <w:r>
              <w:t>–</w:t>
            </w:r>
          </w:p>
        </w:tc>
        <w:tc>
          <w:tcPr>
            <w:tcW w:type="dxa" w:w="1100"/>
          </w:tcPr>
          <w:p>
            <w:r>
              <w:t>Medium</w:t>
            </w:r>
          </w:p>
        </w:tc>
        <w:tc>
          <w:tcPr>
            <w:tcW w:type="dxa" w:w="2500"/>
          </w:tcPr>
          <w:p>
            <w:r>
              <w:t>Last-mile focus; data-insufficient</w:t>
            </w:r>
          </w:p>
        </w:tc>
      </w:tr>
      <w:tr>
        <w:trPr>
          <w:cantSplit/>
        </w:trPr>
        <w:tc>
          <w:tcPr>
            <w:tcW w:type="dxa" w:w="1500"/>
          </w:tcPr>
          <w:p>
            <w:r>
              <w:t>CUDIS</w:t>
            </w:r>
          </w:p>
        </w:tc>
        <w:tc>
          <w:tcPr>
            <w:tcW w:type="dxa" w:w="1300"/>
          </w:tcPr>
          <w:p>
            <w:r>
              <w:t>Health data</w:t>
            </w:r>
          </w:p>
        </w:tc>
        <w:tc>
          <w:tcPr>
            <w:tcW w:type="dxa" w:w="1400"/>
          </w:tcPr>
          <w:p>
            <w:r>
              <w:t>Data marketplace</w:t>
            </w:r>
          </w:p>
        </w:tc>
        <w:tc>
          <w:tcPr>
            <w:tcW w:type="dxa" w:w="700"/>
          </w:tcPr>
          <w:p>
            <w:r>
              <w:t>–</w:t>
            </w:r>
          </w:p>
        </w:tc>
        <w:tc>
          <w:tcPr>
            <w:tcW w:type="dxa" w:w="800"/>
          </w:tcPr>
          <w:p>
            <w:r>
              <w:t>–</w:t>
            </w:r>
          </w:p>
        </w:tc>
        <w:tc>
          <w:tcPr>
            <w:tcW w:type="dxa" w:w="1100"/>
          </w:tcPr>
          <w:p>
            <w:r>
              <w:t>High</w:t>
            </w:r>
          </w:p>
        </w:tc>
        <w:tc>
          <w:tcPr>
            <w:tcW w:type="dxa" w:w="2500"/>
          </w:tcPr>
          <w:p>
            <w:r>
              <w:t>Privacy-critical health data; regulatory compliance constraints</w:t>
            </w:r>
          </w:p>
        </w:tc>
      </w:tr>
      <w:tr>
        <w:trPr>
          <w:cantSplit/>
        </w:trPr>
        <w:tc>
          <w:tcPr>
            <w:tcW w:type="dxa" w:w="1500"/>
          </w:tcPr>
          <w:p>
            <w:r>
              <w:t>Render</w:t>
            </w:r>
          </w:p>
        </w:tc>
        <w:tc>
          <w:tcPr>
            <w:tcW w:type="dxa" w:w="1300"/>
          </w:tcPr>
          <w:p>
            <w:r>
              <w:t>GPU compute</w:t>
            </w:r>
          </w:p>
        </w:tc>
        <w:tc>
          <w:tcPr>
            <w:tcW w:type="dxa" w:w="1400"/>
          </w:tcPr>
          <w:p>
            <w:r>
              <w:t>Fee burn</w:t>
            </w:r>
          </w:p>
        </w:tc>
        <w:tc>
          <w:tcPr>
            <w:tcW w:type="dxa" w:w="700"/>
          </w:tcPr>
          <w:p>
            <w:r>
              <w:t>–</w:t>
            </w:r>
          </w:p>
        </w:tc>
        <w:tc>
          <w:tcPr>
            <w:tcW w:type="dxa" w:w="800"/>
          </w:tcPr>
          <w:p>
            <w:r>
              <w:t>–</w:t>
            </w:r>
          </w:p>
        </w:tc>
        <w:tc>
          <w:tcPr>
            <w:tcW w:type="dxa" w:w="1100"/>
          </w:tcPr>
          <w:p>
            <w:r>
              <w:t>Low</w:t>
            </w:r>
          </w:p>
        </w:tc>
        <w:tc>
          <w:tcPr>
            <w:tcW w:type="dxa" w:w="2500"/>
          </w:tcPr>
          <w:p>
            <w:r>
              <w:t>DeVIN benchmark; institutional operators</w:t>
            </w:r>
          </w:p>
        </w:tc>
      </w:tr>
    </w:tbl>
    <w:p>
      <w:r>
        <w:rPr>
          <w:b w:val="0"/>
        </w:rPr>
        <w:t>Table 4. Comparative protocol summary. ", " = not measured; "N/A" = not applicable; "data-insufficient" = on-chain observability missing or schema prevents computation.</w:t>
      </w:r>
    </w:p>
    <w:p>
      <w:r>
        <w:rPr>
          <w:b w:val="0"/>
        </w:rPr>
        <w:t xml:space="preserve">A three-tier sustainability hierarchy emerges from the comparative summary (Table 4). At the top, Helium (S2R 2.06) and DIMO (S2R 4.24) have crossed fiscal parity, with burns exceeding issuance. In a growth-phase middle tier, GEODNET (S2R 0.62)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(peak S2R = 0.008),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9800"/>
        <w:tblLook w:firstColumn="1" w:firstRow="1" w:lastColumn="0" w:lastRow="0" w:noHBand="0" w:noVBand="1" w:val="04A0"/>
        <w:tblInd w:w="-220" w:type="dxa"/>
      </w:tblPr>
      <w:tblGrid>
        <w:gridCol w:w="1600"/>
        <w:gridCol w:w="1800"/>
        <w:gridCol w:w="1100"/>
        <w:gridCol w:w="1800"/>
        <w:gridCol w:w="1100"/>
        <w:gridCol w:w="900"/>
        <w:gridCol w:w="1500"/>
      </w:tblGrid>
      <w:tr>
        <w:trPr>
          <w:cantSplit/>
        </w:trPr>
        <w:tc>
          <w:tcPr>
            <w:tcW w:type="dxa" w:w="1600"/>
          </w:tcPr>
          <w:p>
            <w:r>
              <w:rPr>
                <w:b/>
              </w:rPr>
              <w:t>Domain</w:t>
            </w:r>
          </w:p>
        </w:tc>
        <w:tc>
          <w:tcPr>
            <w:tcW w:type="dxa" w:w="1800"/>
          </w:tcPr>
          <w:p>
            <w:r>
              <w:rPr>
                <w:b/>
              </w:rPr>
              <w:t>DePIN Network</w:t>
            </w:r>
          </w:p>
        </w:tc>
        <w:tc>
          <w:tcPr>
            <w:tcW w:type="dxa" w:w="1100"/>
          </w:tcPr>
          <w:p>
            <w:r>
              <w:rPr>
                <w:b/>
              </w:rPr>
              <w:t>DePIN Price</w:t>
            </w:r>
          </w:p>
        </w:tc>
        <w:tc>
          <w:tcPr>
            <w:tcW w:type="dxa" w:w="1800"/>
          </w:tcPr>
          <w:p>
            <w:r>
              <w:rPr>
                <w:b/>
              </w:rPr>
              <w:t>Web2 Comparator</w:t>
            </w:r>
          </w:p>
        </w:tc>
        <w:tc>
          <w:tcPr>
            <w:tcW w:type="dxa" w:w="1100"/>
          </w:tcPr>
          <w:p>
            <w:r>
              <w:rPr>
                <w:b/>
              </w:rPr>
              <w:t>Web2 Price</w:t>
            </w:r>
          </w:p>
        </w:tc>
        <w:tc>
          <w:tcPr>
            <w:tcW w:type="dxa" w:w="900"/>
          </w:tcPr>
          <w:p>
            <w:r>
              <w:rPr>
                <w:b/>
              </w:rPr>
              <w:t>Discount</w:t>
            </w:r>
          </w:p>
        </w:tc>
        <w:tc>
          <w:tcPr>
            <w:tcW w:type="dxa" w:w="1500"/>
          </w:tcPr>
          <w:p>
            <w:r>
              <w:rPr>
                <w:b/>
              </w:rPr>
              <w:t>Subsidy Risk</w:t>
            </w:r>
          </w:p>
        </w:tc>
        <w:trPr>
          <w:cantSplit/>
          <w:tblHeader/>
        </w:trPr>
      </w:tr>
      <w:tr>
        <w:trPr>
          <w:cantSplit/>
        </w:trPr>
        <w:tc>
          <w:tcPr>
            <w:tcW w:type="dxa" w:w="1600"/>
          </w:tcPr>
          <w:p>
            <w:r>
              <w:t>IoT (LoRaWAN)</w:t>
            </w:r>
          </w:p>
        </w:tc>
        <w:tc>
          <w:tcPr>
            <w:tcW w:type="dxa" w:w="1800"/>
          </w:tcPr>
          <w:p>
            <w:r>
              <w:t>Helium IoT</w:t>
            </w:r>
          </w:p>
        </w:tc>
        <w:tc>
          <w:tcPr>
            <w:tcW w:type="dxa" w:w="1100"/>
          </w:tcPr>
          <w:p>
            <w:r>
              <w:t>$0.00001/packet</w:t>
            </w:r>
          </w:p>
        </w:tc>
        <w:tc>
          <w:tcPr>
            <w:tcW w:type="dxa" w:w="1800"/>
          </w:tcPr>
          <w:p>
            <w:r>
              <w:t>Senet</w:t>
            </w:r>
          </w:p>
        </w:tc>
        <w:tc>
          <w:tcPr>
            <w:tcW w:type="dxa" w:w="1100"/>
          </w:tcPr>
          <w:p>
            <w:r>
              <w:t>~$0.0008/packet</w:t>
            </w:r>
          </w:p>
        </w:tc>
        <w:tc>
          <w:tcPr>
            <w:tcW w:type="dxa" w:w="900"/>
          </w:tcPr>
          <w:p>
            <w:r>
              <w:t>~80x</w:t>
            </w:r>
          </w:p>
        </w:tc>
        <w:tc>
          <w:tcPr>
            <w:tcW w:type="dxa" w:w="1500"/>
          </w:tcPr>
          <w:p>
            <w:r>
              <w:t>Medium</w:t>
            </w:r>
          </w:p>
        </w:tc>
      </w:tr>
      <w:tr>
        <w:trPr>
          <w:cantSplit/>
        </w:trPr>
        <w:tc>
          <w:tcPr>
            <w:tcW w:type="dxa" w:w="1600"/>
          </w:tcPr>
          <w:p>
            <w:r>
              <w:t>Mobile 5G</w:t>
            </w:r>
          </w:p>
        </w:tc>
        <w:tc>
          <w:tcPr>
            <w:tcW w:type="dxa" w:w="1800"/>
          </w:tcPr>
          <w:p>
            <w:r>
              <w:t>Helium Mobile</w:t>
            </w:r>
          </w:p>
        </w:tc>
        <w:tc>
          <w:tcPr>
            <w:tcW w:type="dxa" w:w="1100"/>
          </w:tcPr>
          <w:p>
            <w:r>
              <w:t>$30/mo unlimited</w:t>
            </w:r>
          </w:p>
        </w:tc>
        <w:tc>
          <w:tcPr>
            <w:tcW w:type="dxa" w:w="1800"/>
          </w:tcPr>
          <w:p>
            <w:r>
              <w:t>T-Mobile</w:t>
            </w:r>
          </w:p>
        </w:tc>
        <w:tc>
          <w:tcPr>
            <w:tcW w:type="dxa" w:w="1100"/>
          </w:tcPr>
          <w:p>
            <w:r>
              <w:t>$70/mo unlimited</w:t>
            </w:r>
          </w:p>
        </w:tc>
        <w:tc>
          <w:tcPr>
            <w:tcW w:type="dxa" w:w="900"/>
          </w:tcPr>
          <w:p>
            <w:r>
              <w:t>~57%</w:t>
            </w:r>
          </w:p>
        </w:tc>
        <w:tc>
          <w:tcPr>
            <w:tcW w:type="dxa" w:w="1500"/>
          </w:tcPr>
          <w:p>
            <w:r>
              <w:t>High</w:t>
            </w:r>
          </w:p>
        </w:tc>
      </w:tr>
      <w:tr>
        <w:trPr>
          <w:cantSplit/>
        </w:trPr>
        <w:tc>
          <w:tcPr>
            <w:tcW w:type="dxa" w:w="1600"/>
          </w:tcPr>
          <w:p>
            <w:r>
              <w:t>Video transcode</w:t>
            </w:r>
          </w:p>
        </w:tc>
        <w:tc>
          <w:tcPr>
            <w:tcW w:type="dxa" w:w="1800"/>
          </w:tcPr>
          <w:p>
            <w:r>
              <w:t>Livepeer</w:t>
            </w:r>
          </w:p>
        </w:tc>
        <w:tc>
          <w:tcPr>
            <w:tcW w:type="dxa" w:w="1100"/>
          </w:tcPr>
          <w:p>
            <w:r>
              <w:t>$0.005/min</w:t>
            </w:r>
          </w:p>
        </w:tc>
        <w:tc>
          <w:tcPr>
            <w:tcW w:type="dxa" w:w="1800"/>
          </w:tcPr>
          <w:p>
            <w:r>
              <w:t>AWS MediaConvert</w:t>
            </w:r>
          </w:p>
        </w:tc>
        <w:tc>
          <w:tcPr>
            <w:tcW w:type="dxa" w:w="1100"/>
          </w:tcPr>
          <w:p>
            <w:r>
              <w:t>$0.024/min</w:t>
            </w:r>
          </w:p>
        </w:tc>
        <w:tc>
          <w:tcPr>
            <w:tcW w:type="dxa" w:w="900"/>
          </w:tcPr>
          <w:p>
            <w:r>
              <w:t>50-80%</w:t>
            </w:r>
          </w:p>
        </w:tc>
        <w:tc>
          <w:tcPr>
            <w:tcW w:type="dxa" w:w="1500"/>
          </w:tcPr>
          <w:p>
            <w:r>
              <w:t>Medium</w:t>
            </w:r>
          </w:p>
        </w:tc>
      </w:tr>
      <w:tr>
        <w:trPr>
          <w:cantSplit/>
        </w:trPr>
        <w:tc>
          <w:tcPr>
            <w:tcW w:type="dxa" w:w="1600"/>
          </w:tcPr>
          <w:p>
            <w:r>
              <w:t>Storage</w:t>
            </w:r>
          </w:p>
        </w:tc>
        <w:tc>
          <w:tcPr>
            <w:tcW w:type="dxa" w:w="1800"/>
          </w:tcPr>
          <w:p>
            <w:r>
              <w:t>Filecoin</w:t>
            </w:r>
          </w:p>
        </w:tc>
        <w:tc>
          <w:tcPr>
            <w:tcW w:type="dxa" w:w="1100"/>
          </w:tcPr>
          <w:p>
            <w:r>
              <w:t>~$0.01/GB-month</w:t>
            </w:r>
          </w:p>
        </w:tc>
        <w:tc>
          <w:tcPr>
            <w:tcW w:type="dxa" w:w="1800"/>
          </w:tcPr>
          <w:p>
            <w:r>
              <w:t>AWS S3</w:t>
            </w:r>
          </w:p>
        </w:tc>
        <w:tc>
          <w:tcPr>
            <w:tcW w:type="dxa" w:w="1100"/>
          </w:tcPr>
          <w:p>
            <w:r>
              <w:t>$0.023/GB-month</w:t>
            </w:r>
          </w:p>
        </w:tc>
        <w:tc>
          <w:tcPr>
            <w:tcW w:type="dxa" w:w="900"/>
          </w:tcPr>
          <w:p>
            <w:r>
              <w:t>&gt;50%</w:t>
            </w:r>
          </w:p>
        </w:tc>
        <w:tc>
          <w:tcPr>
            <w:tcW w:type="dxa" w:w="1500"/>
          </w:tcPr>
          <w:p>
            <w:r>
              <w:t>Low-Medium</w:t>
            </w:r>
          </w:p>
        </w:tc>
      </w:tr>
      <w:tr>
        <w:trPr>
          <w:cantSplit/>
        </w:trPr>
        <w:tc>
          <w:tcPr>
            <w:tcW w:type="dxa" w:w="1600"/>
          </w:tcPr>
          <w:p>
            <w:r>
              <w:t>Mapping</w:t>
            </w:r>
          </w:p>
        </w:tc>
        <w:tc>
          <w:tcPr>
            <w:tcW w:type="dxa" w:w="1800"/>
          </w:tcPr>
          <w:p>
            <w:r>
              <w:t>Hivemapper</w:t>
            </w:r>
          </w:p>
        </w:tc>
        <w:tc>
          <w:tcPr>
            <w:tcW w:type="dxa" w:w="1100"/>
          </w:tcPr>
          <w:p>
            <w:r>
              <w:t>~$5/1000 tiles</w:t>
            </w:r>
          </w:p>
        </w:tc>
        <w:tc>
          <w:tcPr>
            <w:tcW w:type="dxa" w:w="1800"/>
          </w:tcPr>
          <w:p>
            <w:r>
              <w:t>Google Maps API</w:t>
            </w:r>
          </w:p>
        </w:tc>
        <w:tc>
          <w:tcPr>
            <w:tcW w:type="dxa" w:w="1100"/>
          </w:tcPr>
          <w:p>
            <w:r>
              <w:t>$7/1000 loads</w:t>
            </w:r>
          </w:p>
        </w:tc>
        <w:tc>
          <w:tcPr>
            <w:tcW w:type="dxa" w:w="900"/>
          </w:tcPr>
          <w:p>
            <w:r>
              <w:t>~29%</w:t>
            </w:r>
          </w:p>
        </w:tc>
        <w:tc>
          <w:tcPr>
            <w:tcW w:type="dxa" w:w="1500"/>
          </w:tcPr>
          <w:p>
            <w:r>
              <w:t>Medium</w:t>
            </w:r>
          </w:p>
        </w:tc>
      </w:tr>
      <w:tr>
        <w:trPr>
          <w:cantSplit/>
        </w:trPr>
        <w:tc>
          <w:tcPr>
            <w:tcW w:type="dxa" w:w="1600"/>
          </w:tcPr>
          <w:p>
            <w:r>
              <w:t>Bandwidth/proxy</w:t>
            </w:r>
          </w:p>
        </w:tc>
        <w:tc>
          <w:tcPr>
            <w:tcW w:type="dxa" w:w="1800"/>
          </w:tcPr>
          <w:p>
            <w:r>
              <w:t>UpRock</w:t>
            </w:r>
          </w:p>
        </w:tc>
        <w:tc>
          <w:tcPr>
            <w:tcW w:type="dxa" w:w="1100"/>
          </w:tcPr>
          <w:p>
            <w:r>
              <w:t>~$1.50/GB</w:t>
            </w:r>
          </w:p>
        </w:tc>
        <w:tc>
          <w:tcPr>
            <w:tcW w:type="dxa" w:w="1800"/>
          </w:tcPr>
          <w:p>
            <w:r>
              <w:t>Bright Data</w:t>
            </w:r>
          </w:p>
        </w:tc>
        <w:tc>
          <w:tcPr>
            <w:tcW w:type="dxa" w:w="1100"/>
          </w:tcPr>
          <w:p>
            <w:r>
              <w:t>$12.75/GB</w:t>
            </w:r>
          </w:p>
        </w:tc>
        <w:tc>
          <w:tcPr>
            <w:tcW w:type="dxa" w:w="900"/>
          </w:tcPr>
          <w:p>
            <w:r>
              <w:t>8.5x</w:t>
            </w:r>
          </w:p>
        </w:tc>
        <w:tc>
          <w:tcPr>
            <w:tcW w:type="dxa" w:w="1500"/>
          </w:tcPr>
          <w:p>
            <w:r>
              <w:t>High</w:t>
            </w:r>
          </w:p>
        </w:tc>
      </w:tr>
      <w:tr>
        <w:trPr>
          <w:cantSplit/>
        </w:trPr>
        <w:tc>
          <w:tcPr>
            <w:tcW w:type="dxa" w:w="1600"/>
          </w:tcPr>
          <w:p>
            <w:r>
              <w:t>AI data</w:t>
            </w:r>
          </w:p>
        </w:tc>
        <w:tc>
          <w:tcPr>
            <w:tcW w:type="dxa" w:w="1800"/>
          </w:tcPr>
          <w:p>
            <w:r>
              <w:t>Grass</w:t>
            </w:r>
          </w:p>
        </w:tc>
        <w:tc>
          <w:tcPr>
            <w:tcW w:type="dxa" w:w="1100"/>
          </w:tcPr>
          <w:p>
            <w:r>
              <w:t>Indirect (tokens)</w:t>
            </w:r>
          </w:p>
        </w:tc>
        <w:tc>
          <w:tcPr>
            <w:tcW w:type="dxa" w:w="1800"/>
          </w:tcPr>
          <w:p>
            <w:r>
              <w:t>Scale AI</w:t>
            </w:r>
          </w:p>
        </w:tc>
        <w:tc>
          <w:tcPr>
            <w:tcW w:type="dxa" w:w="1100"/>
          </w:tcPr>
          <w:p>
            <w:r>
              <w:t>$25-40/hr</w:t>
            </w:r>
          </w:p>
        </w:tc>
        <w:tc>
          <w:tcPr>
            <w:tcW w:type="dxa" w:w="900"/>
          </w:tcPr>
          <w:p>
            <w:r>
              <w:t>N/A</w:t>
            </w:r>
          </w:p>
        </w:tc>
        <w:tc>
          <w:tcPr>
            <w:tcW w:type="dxa" w:w="1500"/>
          </w:tcPr>
          <w:p>
            <w:r>
              <w:t>High</w:t>
            </w:r>
          </w:p>
        </w:tc>
      </w:tr>
      <w:tr>
        <w:trPr>
          <w:cantSplit/>
        </w:trPr>
        <w:tc>
          <w:tcPr>
            <w:tcW w:type="dxa" w:w="1600"/>
          </w:tcPr>
          <w:p>
            <w:r>
              <w:t>Vehicle data</w:t>
            </w:r>
          </w:p>
        </w:tc>
        <w:tc>
          <w:tcPr>
            <w:tcW w:type="dxa" w:w="1800"/>
          </w:tcPr>
          <w:p>
            <w:r>
              <w:t>DIMO</w:t>
            </w:r>
          </w:p>
        </w:tc>
        <w:tc>
          <w:tcPr>
            <w:tcW w:type="dxa" w:w="1100"/>
          </w:tcPr>
          <w:p>
            <w:r>
              <w:t>Free (earn tokens)</w:t>
            </w:r>
          </w:p>
        </w:tc>
        <w:tc>
          <w:tcPr>
            <w:tcW w:type="dxa" w:w="1800"/>
          </w:tcPr>
          <w:p>
            <w:r>
              <w:t>Otonomo</w:t>
            </w:r>
          </w:p>
        </w:tc>
        <w:tc>
          <w:tcPr>
            <w:tcW w:type="dxa" w:w="1100"/>
          </w:tcPr>
          <w:p>
            <w:r>
              <w:t>$0.50-3/veh/mo</w:t>
            </w:r>
          </w:p>
        </w:tc>
        <w:tc>
          <w:tcPr>
            <w:tcW w:type="dxa" w:w="900"/>
          </w:tcPr>
          <w:p>
            <w:r>
              <w:t>N/A</w:t>
            </w:r>
          </w:p>
        </w:tc>
        <w:tc>
          <w:tcPr>
            <w:tcW w:type="dxa" w:w="1500"/>
          </w:tcPr>
          <w:p>
            <w:r>
              <w:t>High</w:t>
            </w:r>
          </w:p>
        </w:tc>
      </w:tr>
      <w:tr>
        <w:trPr>
          <w:cantSplit/>
        </w:trPr>
        <w:tc>
          <w:tcPr>
            <w:tcW w:type="dxa" w:w="1600"/>
          </w:tcPr>
          <w:p>
            <w:r>
              <w:t>Weather data</w:t>
            </w:r>
          </w:p>
        </w:tc>
        <w:tc>
          <w:tcPr>
            <w:tcW w:type="dxa" w:w="1800"/>
          </w:tcPr>
          <w:p>
            <w:r>
              <w:t>WeatherXM</w:t>
            </w:r>
          </w:p>
        </w:tc>
        <w:tc>
          <w:tcPr>
            <w:tcW w:type="dxa" w:w="1100"/>
          </w:tcPr>
          <w:p>
            <w:r>
              <w:t>~$0.01/API call</w:t>
            </w:r>
          </w:p>
        </w:tc>
        <w:tc>
          <w:tcPr>
            <w:tcW w:type="dxa" w:w="1800"/>
          </w:tcPr>
          <w:p>
            <w:r>
              <w:t>Tomorrow.io</w:t>
            </w:r>
          </w:p>
        </w:tc>
        <w:tc>
          <w:tcPr>
            <w:tcW w:type="dxa" w:w="1100"/>
          </w:tcPr>
          <w:p>
            <w:r>
              <w:t>$0.05-0.20/call</w:t>
            </w:r>
          </w:p>
        </w:tc>
        <w:tc>
          <w:tcPr>
            <w:tcW w:type="dxa" w:w="900"/>
          </w:tcPr>
          <w:p>
            <w:r>
              <w:t>10x</w:t>
            </w:r>
          </w:p>
        </w:tc>
        <w:tc>
          <w:tcPr>
            <w:tcW w:type="dxa" w:w="1500"/>
          </w:tcPr>
          <w:p>
            <w:r>
              <w:t>Medium</w:t>
            </w:r>
          </w:p>
        </w:tc>
      </w:tr>
      <w:tr>
        <w:trPr>
          <w:cantSplit/>
        </w:trPr>
        <w:tc>
          <w:tcPr>
            <w:tcW w:type="dxa" w:w="1600"/>
          </w:tcPr>
          <w:p>
            <w:r>
              <w:t>VPN relay</w:t>
            </w:r>
          </w:p>
        </w:tc>
        <w:tc>
          <w:tcPr>
            <w:tcW w:type="dxa" w:w="1800"/>
          </w:tcPr>
          <w:p>
            <w:r>
              <w:t>Anyone</w:t>
            </w:r>
          </w:p>
        </w:tc>
        <w:tc>
          <w:tcPr>
            <w:tcW w:type="dxa" w:w="1100"/>
          </w:tcPr>
          <w:p>
            <w:r>
              <w:t>Free relay (earn)</w:t>
            </w:r>
          </w:p>
        </w:tc>
        <w:tc>
          <w:tcPr>
            <w:tcW w:type="dxa" w:w="1800"/>
          </w:tcPr>
          <w:p>
            <w:r>
              <w:t>NordVPN</w:t>
            </w:r>
          </w:p>
        </w:tc>
        <w:tc>
          <w:tcPr>
            <w:tcW w:type="dxa" w:w="1100"/>
          </w:tcPr>
          <w:p>
            <w:r>
              <w:t>$3.49-8.32/mo</w:t>
            </w:r>
          </w:p>
        </w:tc>
        <w:tc>
          <w:tcPr>
            <w:tcW w:type="dxa" w:w="900"/>
          </w:tcPr>
          <w:p>
            <w:r>
              <w:t>N/A</w:t>
            </w:r>
          </w:p>
        </w:tc>
        <w:tc>
          <w:tcPr>
            <w:tcW w:type="dxa" w:w="1500"/>
          </w:tcPr>
          <w:p>
            <w:r>
              <w:t>High</w:t>
            </w:r>
          </w:p>
        </w:tc>
      </w:tr>
      <w:tr>
        <w:trPr>
          <w:cantSplit/>
        </w:trPr>
        <w:tc>
          <w:tcPr>
            <w:tcW w:type="dxa" w:w="1600"/>
          </w:tcPr>
          <w:p>
            <w:r>
              <w:t>Community WiFi</w:t>
            </w:r>
          </w:p>
        </w:tc>
        <w:tc>
          <w:tcPr>
            <w:tcW w:type="dxa" w:w="1800"/>
          </w:tcPr>
          <w:p>
            <w:r>
              <w:t>Wayru/WiFiDabba</w:t>
            </w:r>
          </w:p>
        </w:tc>
        <w:tc>
          <w:tcPr>
            <w:tcW w:type="dxa" w:w="1100"/>
          </w:tcPr>
          <w:p>
            <w:r>
              <w:t>~$2-5/mo</w:t>
            </w:r>
          </w:p>
        </w:tc>
        <w:tc>
          <w:tcPr>
            <w:tcW w:type="dxa" w:w="1800"/>
          </w:tcPr>
          <w:p>
            <w:r>
              <w:t>ISP retail</w:t>
            </w:r>
          </w:p>
        </w:tc>
        <w:tc>
          <w:tcPr>
            <w:tcW w:type="dxa" w:w="1100"/>
          </w:tcPr>
          <w:p>
            <w:r>
              <w:t>$15-30/mo</w:t>
            </w:r>
          </w:p>
        </w:tc>
        <w:tc>
          <w:tcPr>
            <w:tcW w:type="dxa" w:w="900"/>
          </w:tcPr>
          <w:p>
            <w:r>
              <w:t>6.4x</w:t>
            </w:r>
          </w:p>
        </w:tc>
        <w:tc>
          <w:tcPr>
            <w:tcW w:type="dxa" w:w="1500"/>
          </w:tcPr>
          <w:p>
            <w:r>
              <w:t>Med-High</w:t>
            </w:r>
          </w:p>
        </w:tc>
      </w:tr>
      <w:tr>
        <w:trPr>
          <w:cantSplit/>
        </w:trPr>
        <w:tc>
          <w:tcPr>
            <w:tcW w:type="dxa" w:w="1600"/>
          </w:tcPr>
          <w:p>
            <w:r>
              <w:t>Wearable health</w:t>
            </w:r>
          </w:p>
        </w:tc>
        <w:tc>
          <w:tcPr>
            <w:tcW w:type="dxa" w:w="1800"/>
          </w:tcPr>
          <w:p>
            <w:r>
              <w:t>CUDIS</w:t>
            </w:r>
          </w:p>
        </w:tc>
        <w:tc>
          <w:tcPr>
            <w:tcW w:type="dxa" w:w="1100"/>
          </w:tcPr>
          <w:p>
            <w:r>
              <w:t>~$69 ring</w:t>
            </w:r>
          </w:p>
        </w:tc>
        <w:tc>
          <w:tcPr>
            <w:tcW w:type="dxa" w:w="1800"/>
          </w:tcPr>
          <w:p>
            <w:r>
              <w:t>Oura Ring</w:t>
            </w:r>
          </w:p>
        </w:tc>
        <w:tc>
          <w:tcPr>
            <w:tcW w:type="dxa" w:w="1100"/>
          </w:tcPr>
          <w:p>
            <w:r>
              <w:t>$299 + $6/mo</w:t>
            </w:r>
          </w:p>
        </w:tc>
        <w:tc>
          <w:tcPr>
            <w:tcW w:type="dxa" w:w="900"/>
          </w:tcPr>
          <w:p>
            <w:r>
              <w:t>4.3x</w:t>
            </w:r>
          </w:p>
        </w:tc>
        <w:tc>
          <w:tcPr>
            <w:tcW w:type="dxa" w:w="1500"/>
          </w:tcPr>
          <w:p>
            <w:r>
              <w:t>High</w:t>
            </w:r>
          </w:p>
        </w:tc>
      </w:tr>
      <w:tr>
        <w:trPr>
          <w:cantSplit/>
        </w:trPr>
        <w:tc>
          <w:tcPr>
            <w:tcW w:type="dxa" w:w="1600"/>
          </w:tcPr>
          <w:p>
            <w:r>
              <w:t>IoT infra (L1)</w:t>
            </w:r>
          </w:p>
        </w:tc>
        <w:tc>
          <w:tcPr>
            <w:tcW w:type="dxa" w:w="1800"/>
          </w:tcPr>
          <w:p>
            <w:r>
              <w:t>IoTeX</w:t>
            </w:r>
          </w:p>
        </w:tc>
        <w:tc>
          <w:tcPr>
            <w:tcW w:type="dxa" w:w="1100"/>
          </w:tcPr>
          <w:p>
            <w:r>
              <w:t>~$0.01/tx</w:t>
            </w:r>
          </w:p>
        </w:tc>
        <w:tc>
          <w:tcPr>
            <w:tcW w:type="dxa" w:w="1800"/>
          </w:tcPr>
          <w:p>
            <w:r>
              <w:t>AWS IoT Core</w:t>
            </w:r>
          </w:p>
        </w:tc>
        <w:tc>
          <w:tcPr>
            <w:tcW w:type="dxa" w:w="1100"/>
          </w:tcPr>
          <w:p>
            <w:r>
              <w:t>$1/M msgs</w:t>
            </w:r>
          </w:p>
        </w:tc>
        <w:tc>
          <w:tcPr>
            <w:tcW w:type="dxa" w:w="900"/>
          </w:tcPr>
          <w:p>
            <w:r>
              <w:t>N/A</w:t>
            </w:r>
          </w:p>
        </w:tc>
        <w:tc>
          <w:tcPr>
            <w:tcW w:type="dxa" w:w="1500"/>
          </w:tcPr>
          <w:p>
            <w: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Blockscout-verified exclusion methodology across 40 protocols [34]. That study documents that holding-based concentration is higher in DePIN than DeFi after protocol-controlled address exclusion (Mann-Whitney p = 0.031, Cohen’s d = 0.96), though the result is sensitive to sample composition. Delegation amplifies DePIN concentration 3 to 6 times above holding-based levels, while infrastructure protocols show the reverse pattern.  The present paper uses protocol-specific governance observations as inputs to the design playbook below.</w:t>
      </w:r>
    </w:p>
    <w:p>
      <w:pPr>
        <w:pStyle w:val="Heading1"/>
      </w:pPr>
      <w:r>
        <w:t>VI. DESIGN PLAYBOOK</w:t>
      </w:r>
    </w:p>
    <w:p>
      <w:r>
        <w:rPr>
          <w:b w:val="0"/>
        </w:rPr>
        <w:t>Every design recommendation below ties to an empirical or architectural anchor from Section V;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2.06), DIMO (4.24), GEODNET (0.62), and Hivemapper (0.183); Helium and DIMO have crossed fiscal parity (S2R ≥ 1.0), with GEODNET on an accelerating trajectory (Table 8). The normative framework motivating broader tokenomics design choices is developed in a companion study [34].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Subscription-based burns produce lower concentration than carrier contracts. GEODNET’s subscription model (Section 5.2.5) generates individually small but broadly distributed burns, contrasting with Helium’s carrier-contract dependence. Where service pricing must be predictable for enterprise buyers, a dual-token or credit-denominated model reduces reflexivity risk.</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6.3 The Subtraction Test [Proposal]</w:t>
      </w:r>
    </w:p>
    <w:p>
      <w:r>
        <w:rPr/>
        <w:t>Deploying all recommended mechanisms simultaneously would reproduce the premature complexity anti-pattern identified in Section 6.5.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proves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6.4 DePIN Health Dashboard [Inferred]</w:t>
      </w:r>
    </w:p>
    <w:p>
      <w:r>
        <w:rPr/>
        <w:t>Drawing on the empirical data assembled in Section V, we propose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(2.06) but the top-5 burn signers account for approximately 90% of total burns. Analysts should apply this framing to every GeoDePIN with a burn mechanism. We propose tracking Top-5 burn share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3. Demand-concentration × S2R regime matrix for four GeoDePIN protocols. Quadrant boundaries: S2R = 1.0 (horizontal), HHI = 0.10 (vertical).</w:t>
      </w:r>
    </w:p>
    <w:p>
      <w:r>
        <w:rPr/>
        <w:t>Three metrics anchor the dashboard (Table 7). S2R ≥ 0.35 means at least one-third of emissions are offset by usage-linked burns or locks. Helium far exceeds this target (S2R 2.06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Across four DePIN protocols with verified on-chain demand data, subscription-based burn models (GEODNET HHI = 0.055, DIMO HHI = 0.063) produce approximately four to five times less demand concentration than carrier or enterprise-contract models (Helium HHI = 0.27, Livepeer HHI = 0.31), a pattern consistent regardless of absolute revenue level or buyer count.</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GEODNET’s subscription model (HHI = 0.055) and DIMO’s license model (HHI = 0.063) produce four to five times less demand concentration, consistent with Resource Dependence Theory’s prediction that diversified revenue sources reduce buyer leverage. The Top-5 threshold of 80% proposed above translates this corporate finance insight into a protocol-specific monitoring trigger.</w:t>
      </w:r>
    </w:p>
    <w:tbl>
      <w:tblPr>
        <w:tblStyle w:val="TableGrid"/>
        <w:tblW w:type="dxa" w:w="8640"/>
        <w:tblLook w:firstColumn="1" w:firstRow="1" w:lastColumn="0" w:lastRow="0" w:noHBand="0" w:noVBand="1" w:val="04A0"/>
      </w:tblPr>
      <w:tblGrid>
        <w:gridCol w:w="2000"/>
        <w:gridCol w:w="2000"/>
        <w:gridCol w:w="2400"/>
        <w:gridCol w:w="2240"/>
      </w:tblGrid>
      <w:tr>
        <w:trPr>
          <w:cantSplit/>
        </w:trPr>
        <w:tc>
          <w:tcPr>
            <w:tcW w:type="dxa" w:w="2160"/>
          </w:tcPr>
          <w:p>
            <w:r>
              <w:rPr>
                <w:b/>
              </w:rPr>
              <w:t>Metric</w:t>
            </w:r>
          </w:p>
        </w:tc>
        <w:tc>
          <w:tcPr>
            <w:tcW w:type="dxa" w:w="2160"/>
          </w:tcPr>
          <w:p>
            <w:r>
              <w:rPr>
                <w:b/>
              </w:rPr>
              <w:t>Target</w:t>
            </w:r>
          </w:p>
        </w:tc>
        <w:tc>
          <w:tcPr>
            <w:tcW w:type="dxa" w:w="2160"/>
          </w:tcPr>
          <w:p>
            <w:r>
              <w:rPr>
                <w:b/>
              </w:rPr>
              <w:t>Helium Actual (Feb 2026)</w:t>
            </w:r>
          </w:p>
        </w:tc>
        <w:tc>
          <w:tcPr>
            <w:tcW w:type="dxa" w:w="2160"/>
          </w:tcPr>
          <w:p>
            <w:r>
              <w:rPr>
                <w:b/>
              </w:rPr>
              <w:t>Basis</w:t>
            </w:r>
          </w:p>
        </w:tc>
      </w:tr>
      <w:tr>
        <w:trPr>
          <w:cantSplit/>
        </w:trPr>
        <w:tc>
          <w:tcPr>
            <w:tcW w:type="dxa" w:w="2160"/>
          </w:tcPr>
          <w:p>
            <w:r>
              <w:t>S2R (burns only)</w:t>
            </w:r>
          </w:p>
        </w:tc>
        <w:tc>
          <w:tcPr>
            <w:tcW w:type="dxa" w:w="2160"/>
          </w:tcPr>
          <w:p>
            <w:r>
              <w:t>≥ 0.35</w:t>
            </w:r>
          </w:p>
        </w:tc>
        <w:tc>
          <w:tcPr>
            <w:tcW w:type="dxa" w:w="2160"/>
          </w:tcPr>
          <w:p>
            <w:r>
              <w:t>2.06 (far exceeds)</w:t>
            </w:r>
          </w:p>
        </w:tc>
        <w:tc>
          <w:tcPr>
            <w:tcW w:type="dxa" w:w="2160"/>
          </w:tcPr>
          <w:p>
            <w:r>
              <w:t>&gt;1/3 of emissions offset by usage sinks</w:t>
            </w:r>
          </w:p>
        </w:tc>
      </w:tr>
      <w:tr>
        <w:trPr>
          <w:cantSplit/>
        </w:trPr>
        <w:tc>
          <w:tcPr>
            <w:tcW w:type="dxa" w:w="2160"/>
          </w:tcPr>
          <w:p>
            <w:r>
              <w:t>Token stickiness</w:t>
            </w:r>
          </w:p>
        </w:tc>
        <w:tc>
          <w:tcPr>
            <w:tcW w:type="dxa" w:w="2160"/>
          </w:tcPr>
          <w:p>
            <w:r>
              <w:t>≥ 60% at 4wk</w:t>
            </w:r>
          </w:p>
        </w:tc>
        <w:tc>
          <w:tcPr>
            <w:tcW w:type="dxa" w:w="2160"/>
          </w:tcPr>
          <w:p>
            <w:r>
              <w:t>Unknown (improving)</w:t>
            </w:r>
          </w:p>
        </w:tc>
        <w:tc>
          <w:tcPr>
            <w:tcW w:type="dxa" w:w="2160"/>
          </w:tcPr>
          <w:p>
            <w:r>
              <w:t>Standard retention benchmark</w:t>
            </w:r>
          </w:p>
        </w:tc>
      </w:tr>
      <w:tr>
        <w:trPr>
          <w:cantSplit/>
        </w:trPr>
        <w:tc>
          <w:tcPr>
            <w:tcW w:type="dxa" w:w="2160"/>
          </w:tcPr>
          <w:p>
            <w:r>
              <w:t>Owner-user overlap</w:t>
            </w:r>
          </w:p>
        </w:tc>
        <w:tc>
          <w:tcPr>
            <w:tcW w:type="dxa" w:w="2160"/>
          </w:tcPr>
          <w:p>
            <w:r>
              <w:t>≥ 20%</w:t>
            </w:r>
          </w:p>
        </w:tc>
        <w:tc>
          <w:tcPr>
            <w:tcW w:type="dxa" w:w="2160"/>
          </w:tcPr>
          <w:p>
            <w:r>
              <w:t>Unknown (proxy only)</w:t>
            </w:r>
          </w:p>
        </w:tc>
        <w:tc>
          <w:tcPr>
            <w:tcW w:type="dxa" w:w="2160"/>
          </w:tcPr>
          <w:p>
            <w:r>
              <w:t>Minimum alignment signal</w:t>
            </w:r>
          </w:p>
        </w:tc>
      </w:tr>
      <w:tr>
        <w:trPr>
          <w:cantSplit/>
        </w:trPr>
        <w:tc>
          <w:tcPr>
            <w:tcW w:type="dxa" w:w="2160"/>
          </w:tcPr>
          <w:p>
            <w:r>
              <w:t>p95 node uptime</w:t>
            </w:r>
          </w:p>
        </w:tc>
        <w:tc>
          <w:tcPr>
            <w:tcW w:type="dxa" w:w="2160"/>
          </w:tcPr>
          <w:p>
            <w:r>
              <w:t>≥ 95%</w:t>
            </w:r>
          </w:p>
        </w:tc>
        <w:tc>
          <w:tcPr>
            <w:tcW w:type="dxa" w:w="2160"/>
          </w:tcPr>
          <w:p>
            <w:r>
              <w:t>~90% (dense), ~75% (sparse)</w:t>
            </w:r>
          </w:p>
        </w:tc>
        <w:tc>
          <w:tcPr>
            <w:tcW w:type="dxa" w:w="2160"/>
          </w:tcPr>
          <w:p>
            <w:r>
              <w:t>Infrastructure reliability floor</w:t>
            </w:r>
          </w:p>
        </w:tc>
      </w:tr>
      <w:tr>
        <w:trPr>
          <w:cantSplit/>
        </w:trPr>
        <w:tc>
          <w:tcPr>
            <w:tcW w:type="dxa" w:w="2160"/>
          </w:tcPr>
          <w:p>
            <w:r>
              <w:t>Post-incentive retention</w:t>
            </w:r>
          </w:p>
        </w:tc>
        <w:tc>
          <w:tcPr>
            <w:tcW w:type="dxa" w:w="2160"/>
          </w:tcPr>
          <w:p>
            <w:r>
              <w:t>≥ 60% at 4wk</w:t>
            </w:r>
          </w:p>
        </w:tc>
        <w:tc>
          <w:tcPr>
            <w:tcW w:type="dxa" w:w="2160"/>
          </w:tcPr>
          <w:p>
            <w:r>
              <w:t>Unknown</w:t>
            </w:r>
          </w:p>
        </w:tc>
        <w:tc>
          <w:tcPr>
            <w:tcW w:type="dxa" w:w="2160"/>
          </w:tcPr>
          <w:p>
            <w:r>
              <w:t>Anti-mercenary threshold</w:t>
            </w:r>
          </w:p>
        </w:tc>
      </w:tr>
    </w:tbl>
    <w:p>
      <w:r>
        <w:rPr>
          <w:b w:val="0"/>
          <w:i/>
        </w:rPr>
        <w:t>Table 7. Health dashboard: proposed 12-month benchmarks.</w:t>
      </w:r>
    </w:p>
    <w:tbl>
      <w:tblPr>
        <w:tblStyle w:val="TableGrid"/>
        <w:tblW w:type="dxa" w:w="9800"/>
        <w:tblLook w:firstColumn="1" w:firstRow="1" w:lastColumn="0" w:lastRow="0" w:noHBand="0" w:noVBand="1" w:val="04A0"/>
        <w:tblInd w:w="-220" w:type="dxa"/>
      </w:tblPr>
      <w:tblGrid>
        <w:gridCol w:w="1700"/>
        <w:gridCol w:w="1800"/>
        <w:gridCol w:w="1100"/>
        <w:gridCol w:w="1500"/>
        <w:gridCol w:w="1100"/>
        <w:gridCol w:w="2600"/>
        <w:gridCol w:w="900"/>
      </w:tblGrid>
      <w:tr>
        <w:trPr>
          <w:cantSplit/>
        </w:trPr>
        <w:tc>
          <w:tcPr>
            <w:tcW w:type="dxa" w:w="1700"/>
          </w:tcPr>
          <w:p>
            <w:r>
              <w:rPr>
                <w:b/>
              </w:rPr>
              <w:t>Protocol</w:t>
            </w:r>
          </w:p>
        </w:tc>
        <w:tc>
          <w:tcPr>
            <w:tcW w:type="dxa" w:w="1800"/>
          </w:tcPr>
          <w:p>
            <w:r>
              <w:rPr>
                <w:b/>
              </w:rPr>
              <w:t>Sink Type</w:t>
            </w:r>
          </w:p>
        </w:tc>
        <w:tc>
          <w:tcPr>
            <w:tcW w:type="dxa" w:w="1100"/>
          </w:tcPr>
          <w:p>
            <w:r>
              <w:rPr>
                <w:b/>
              </w:rPr>
              <w:t>S2R (burns)</w:t>
            </w:r>
          </w:p>
        </w:tc>
        <w:tc>
          <w:tcPr>
            <w:tcW w:type="dxa" w:w="1500"/>
          </w:tcPr>
          <w:p>
            <w:r>
              <w:rPr>
                <w:b/>
              </w:rPr>
              <w:t>S2R (burns+locks)</w:t>
            </w:r>
          </w:p>
        </w:tc>
        <w:tc>
          <w:tcPr>
            <w:tcW w:type="dxa" w:w="1100"/>
          </w:tcPr>
          <w:p>
            <w:r>
              <w:rPr>
                <w:b/>
              </w:rPr>
              <w:t>Period</w:t>
            </w:r>
          </w:p>
        </w:tc>
        <w:tc>
          <w:tcPr>
            <w:tcW w:type="dxa" w:w="2600"/>
          </w:tcPr>
          <w:p>
            <w:r>
              <w:rPr>
                <w:b/>
              </w:rPr>
              <w:t>Source</w:t>
            </w:r>
          </w:p>
        </w:tc>
        <w:tc>
          <w:tcPr>
            <w:tcW w:type="dxa" w:w="900"/>
          </w:tcPr>
          <w:p>
            <w:r>
              <w:rPr>
                <w:b/>
              </w:rPr>
              <w:t xml:space="preserve">Demand HHI</w:t>
            </w:r>
          </w:p>
        </w:tc>
        <w:trPr>
          <w:cantSplit/>
          <w:tblHeader/>
        </w:trPr>
      </w:tr>
      <w:tr>
        <w:trPr>
          <w:cantSplit/>
        </w:trPr>
        <w:tc>
          <w:tcPr>
            <w:tcW w:type="dxa" w:w="1700"/>
          </w:tcPr>
          <w:p>
            <w:r>
              <w:t>Helium</w:t>
            </w:r>
          </w:p>
        </w:tc>
        <w:tc>
          <w:tcPr>
            <w:tcW w:type="dxa" w:w="1800"/>
          </w:tcPr>
          <w:p>
            <w:r>
              <w:t>Full DC burn</w:t>
            </w:r>
          </w:p>
        </w:tc>
        <w:tc>
          <w:tcPr>
            <w:tcW w:type="dxa" w:w="1100"/>
          </w:tcPr>
          <w:p>
            <w:r>
              <w:t>0.02-2.06</w:t>
            </w:r>
          </w:p>
        </w:tc>
        <w:tc>
          <w:tcPr>
            <w:tcW w:type="dxa" w:w="1500"/>
          </w:tcPr>
          <w:p>
            <w:r>
              <w:t>higher</w:t>
            </w:r>
          </w:p>
        </w:tc>
        <w:tc>
          <w:tcPr>
            <w:tcW w:type="dxa" w:w="1100"/>
          </w:tcPr>
          <w:p>
            <w:r>
              <w:t>Apr 2023-Feb 20</w:t>
            </w:r>
          </w:p>
        </w:tc>
        <w:tc>
          <w:tcPr>
            <w:tcW w:type="dxa" w:w="2600"/>
          </w:tcPr>
          <w:p>
            <w:r>
              <w:t>26 Dune (on-chain)</w:t>
            </w:r>
          </w:p>
        </w:tc>
        <w:tc>
          <w:tcPr>
            <w:tcW w:type="dxa" w:w="900"/>
          </w:tcPr>
          <w:p>
            <w:r>
              <w:t xml:space="preserve">0.27</w:t>
            </w:r>
          </w:p>
        </w:tc>
      </w:tr>
      <w:tr>
        <w:trPr>
          <w:cantSplit/>
        </w:trPr>
        <w:tc>
          <w:tcPr>
            <w:tcW w:type="dxa" w:w="1700"/>
          </w:tcPr>
          <w:p>
            <w:r>
              <w:t>Filecoin</w:t>
            </w:r>
          </w:p>
        </w:tc>
        <w:tc>
          <w:tcPr>
            <w:tcW w:type="dxa" w:w="1800"/>
          </w:tcPr>
          <w:p>
            <w:r>
              <w:t>Base fee burn + collateral</w:t>
            </w:r>
          </w:p>
        </w:tc>
        <w:tc>
          <w:tcPr>
            <w:tcW w:type="dxa" w:w="1100"/>
          </w:tcPr>
          <w:p>
            <w:r>
              <w:t>~0.045</w:t>
            </w:r>
          </w:p>
        </w:tc>
        <w:tc>
          <w:tcPr>
            <w:tcW w:type="dxa" w:w="1500"/>
          </w:tcPr>
          <w:p>
            <w:r>
              <w:t>0.14-0.41</w:t>
            </w:r>
          </w:p>
        </w:tc>
        <w:tc>
          <w:tcPr>
            <w:tcW w:type="dxa" w:w="1100"/>
          </w:tcPr>
          <w:p>
            <w:r>
              <w:t>Jun 2023</w:t>
            </w:r>
          </w:p>
        </w:tc>
        <w:tc>
          <w:tcPr>
            <w:tcW w:type="dxa" w:w="2600"/>
          </w:tcPr>
          <w:p>
            <w:r>
              <w:t>Deep Research</w:t>
            </w:r>
          </w:p>
        </w:tc>
        <w:tc>
          <w:tcPr>
            <w:tcW w:type="dxa" w:w="900"/>
          </w:tcPr>
          <w:p>
            <w:r>
              <w:t xml:space="preserve">—</w:t>
            </w:r>
          </w:p>
        </w:tc>
      </w:tr>
      <w:tr>
        <w:trPr>
          <w:cantSplit/>
        </w:trPr>
        <w:tc>
          <w:tcPr>
            <w:tcW w:type="dxa" w:w="1700"/>
          </w:tcPr>
          <w:p>
            <w:r>
              <w:t>Livepeer</w:t>
            </w:r>
          </w:p>
        </w:tc>
        <w:tc>
          <w:tcPr>
            <w:tcW w:type="dxa" w:w="1800"/>
          </w:tcPr>
          <w:p>
            <w:r>
              <w:t>None (fees in ETH)</w:t>
            </w:r>
          </w:p>
        </w:tc>
        <w:tc>
          <w:tcPr>
            <w:tcW w:type="dxa" w:w="1100"/>
          </w:tcPr>
          <w:p>
            <w:r>
              <w:t>~0</w:t>
            </w:r>
          </w:p>
        </w:tc>
        <w:tc>
          <w:tcPr>
            <w:tcW w:type="dxa" w:w="1500"/>
          </w:tcPr>
          <w:p>
            <w:r>
              <w:t>~0</w:t>
            </w:r>
          </w:p>
        </w:tc>
        <w:tc>
          <w:tcPr>
            <w:tcW w:type="dxa" w:w="1100"/>
          </w:tcPr>
          <w:p>
            <w:r>
              <w:t>Q1 2025</w:t>
            </w:r>
          </w:p>
        </w:tc>
        <w:tc>
          <w:tcPr>
            <w:tcW w:type="dxa" w:w="2600"/>
          </w:tcPr>
          <w:p>
            <w:r>
              <w:t>DeFi Llama</w:t>
            </w:r>
          </w:p>
        </w:tc>
        <w:tc>
          <w:tcPr>
            <w:tcW w:type="dxa" w:w="900"/>
          </w:tcPr>
          <w:p>
            <w:r>
              <w:t xml:space="preserve">0.31</w:t>
            </w:r>
          </w:p>
        </w:tc>
      </w:tr>
      <w:tr>
        <w:trPr>
          <w:cantSplit/>
        </w:trPr>
        <w:tc>
          <w:tcPr>
            <w:tcW w:type="dxa" w:w="1700"/>
          </w:tcPr>
          <w:p>
            <w:r>
              <w:t>Hivemapper</w:t>
            </w:r>
          </w:p>
        </w:tc>
        <w:tc>
          <w:tcPr>
            <w:tcW w:type="dxa" w:w="1800"/>
          </w:tcPr>
          <w:p>
            <w:r>
              <w:t>Map credit burn</w:t>
            </w:r>
          </w:p>
        </w:tc>
        <w:tc>
          <w:tcPr>
            <w:tcW w:type="dxa" w:w="1100"/>
          </w:tcPr>
          <w:p>
            <w:r>
              <w:t>0.183</w:t>
            </w:r>
          </w:p>
        </w:tc>
        <w:tc>
          <w:tcPr>
            <w:tcW w:type="dxa" w:w="1500"/>
          </w:tcPr>
          <w:p>
            <w:r>
              <w:t>0.183</w:t>
            </w:r>
          </w:p>
        </w:tc>
        <w:tc>
          <w:tcPr>
            <w:tcW w:type="dxa" w:w="1100"/>
          </w:tcPr>
          <w:p>
            <w:r>
              <w:t>Feb 2026</w:t>
            </w:r>
          </w:p>
        </w:tc>
        <w:tc>
          <w:tcPr>
            <w:tcW w:type="dxa" w:w="2600"/>
          </w:tcPr>
          <w:p>
            <w:r>
              <w:t>Dune Analytics (Feb 2026); burn-and-mint active but not queryable via Dune</w:t>
            </w:r>
          </w:p>
        </w:tc>
        <w:tc>
          <w:tcPr>
            <w:tcW w:type="dxa" w:w="900"/>
          </w:tcPr>
          <w:p>
            <w:r>
              <w:t xml:space="preserve">—</w:t>
            </w:r>
          </w:p>
        </w:tc>
      </w:tr>
      <w:tr>
        <w:trPr>
          <w:cantSplit/>
        </w:trPr>
        <w:tc>
          <w:tcPr>
            <w:tcW w:type="dxa" w:w="1700"/>
          </w:tcPr>
          <w:p>
            <w:r>
              <w:t>GEODNET</w:t>
            </w:r>
          </w:p>
        </w:tc>
        <w:tc>
          <w:tcPr>
            <w:tcW w:type="dxa" w:w="1800"/>
          </w:tcPr>
          <w:p>
            <w:r>
              <w:t>Subscription burn</w:t>
            </w:r>
          </w:p>
        </w:tc>
        <w:tc>
          <w:tcPr>
            <w:tcW w:type="dxa" w:w="1100"/>
          </w:tcPr>
          <w:p>
            <w:r>
              <w:t>0.62</w:t>
            </w:r>
          </w:p>
        </w:tc>
        <w:tc>
          <w:tcPr>
            <w:tcW w:type="dxa" w:w="1500"/>
          </w:tcPr>
          <w:p>
            <w:r>
              <w:t>0.62</w:t>
            </w:r>
          </w:p>
        </w:tc>
        <w:tc>
          <w:tcPr>
            <w:tcW w:type="dxa" w:w="1100"/>
          </w:tcPr>
          <w:p>
            <w:r>
              <w:t>Feb 2026</w:t>
            </w:r>
          </w:p>
        </w:tc>
        <w:tc>
          <w:tcPr>
            <w:tcW w:type="dxa" w:w="2600"/>
          </w:tcPr>
          <w:p>
            <w:r>
              <w:t>Dune Solana (on-chain)</w:t>
            </w:r>
          </w:p>
        </w:tc>
        <w:tc>
          <w:tcPr>
            <w:tcW w:type="dxa" w:w="900"/>
          </w:tcPr>
          <w:p>
            <w:r>
              <w:t xml:space="preserve">0.055</w:t>
            </w:r>
          </w:p>
        </w:tc>
      </w:tr>
      <w:tr>
        <w:trPr>
          <w:cantSplit/>
        </w:trPr>
        <w:tc>
          <w:tcPr>
            <w:tcW w:type="dxa" w:w="1700"/>
          </w:tcPr>
          <w:p>
            <w:r>
              <w:t>DIMO</w:t>
            </w:r>
          </w:p>
        </w:tc>
        <w:tc>
          <w:tcPr>
            <w:tcW w:type="dxa" w:w="1800"/>
          </w:tcPr>
          <w:p>
            <w:r>
              <w:t>License burn</w:t>
            </w:r>
          </w:p>
        </w:tc>
        <w:tc>
          <w:tcPr>
            <w:tcW w:type="dxa" w:w="1100"/>
          </w:tcPr>
          <w:p>
            <w:r>
              <w:t>4.24</w:t>
            </w:r>
          </w:p>
        </w:tc>
        <w:tc>
          <w:tcPr>
            <w:tcW w:type="dxa" w:w="1500"/>
          </w:tcPr>
          <w:p>
            <w:r>
              <w:t xml:space="preserve">, </w:t>
            </w:r>
          </w:p>
        </w:tc>
        <w:tc>
          <w:tcPr>
            <w:tcW w:type="dxa" w:w="1100"/>
          </w:tcPr>
          <w:p>
            <w:r>
              <w:t>Feb 2026</w:t>
            </w:r>
          </w:p>
        </w:tc>
        <w:tc>
          <w:tcPr>
            <w:tcW w:type="dxa" w:w="2600"/>
          </w:tcPr>
          <w:p>
            <w:r>
              <w:t>Dune Polygon (on-chain)</w:t>
            </w:r>
          </w:p>
        </w:tc>
        <w:tc>
          <w:tcPr>
            <w:tcW w:type="dxa" w:w="900"/>
          </w:tcPr>
          <w:p>
            <w:r>
              <w:t xml:space="preserve">0.063</w:t>
            </w:r>
          </w:p>
        </w:tc>
      </w:tr>
      <w:tr>
        <w:trPr>
          <w:cantSplit/>
        </w:trPr>
        <w:tc>
          <w:tcPr>
            <w:tcW w:type="dxa" w:w="1700"/>
          </w:tcPr>
          <w:p>
            <w:r>
              <w:t>IoTeX</w:t>
            </w:r>
          </w:p>
        </w:tc>
        <w:tc>
          <w:tcPr>
            <w:tcW w:type="dxa" w:w="1800"/>
          </w:tcPr>
          <w:p>
            <w:r>
              <w:t>Gas fee burn</w:t>
            </w:r>
          </w:p>
        </w:tc>
        <w:tc>
          <w:tcPr>
            <w:tcW w:type="dxa" w:w="1100"/>
          </w:tcPr>
          <w:p>
            <w:r>
              <w:t>N/A</w:t>
            </w:r>
          </w:p>
        </w:tc>
        <w:tc>
          <w:tcPr>
            <w:tcW w:type="dxa" w:w="1500"/>
          </w:tcPr>
          <w:p>
            <w:r>
              <w:t>N/A</w:t>
            </w:r>
          </w:p>
        </w:tc>
        <w:tc>
          <w:tcPr>
            <w:tcW w:type="dxa" w:w="1100"/>
          </w:tcPr>
          <w:p>
            <w:r>
              <w:t>Feb 2026</w:t>
            </w:r>
          </w:p>
        </w:tc>
        <w:tc>
          <w:tcPr>
            <w:tcW w:type="dxa" w:w="2600"/>
          </w:tcPr>
          <w:p>
            <w:r>
              <w:t>IoTeX L1 not indexed by Dune; gas fee burn active on native chain</w:t>
            </w:r>
          </w:p>
        </w:tc>
        <w:tc>
          <w:tcPr>
            <w:tcW w:type="dxa" w:w="900"/>
          </w:tcPr>
          <w:p>
            <w:r>
              <w:t xml:space="preserve">—</w:t>
            </w:r>
          </w:p>
        </w:tc>
      </w:tr>
      <w:tr>
        <w:trPr>
          <w:cantSplit/>
        </w:trPr>
        <w:tc>
          <w:tcPr>
            <w:tcW w:type="dxa" w:w="1700"/>
          </w:tcPr>
          <w:p>
            <w:r>
              <w:t>WeatherXM</w:t>
            </w:r>
          </w:p>
        </w:tc>
        <w:tc>
          <w:tcPr>
            <w:tcW w:type="dxa" w:w="1800"/>
          </w:tcPr>
          <w:p>
            <w:r>
              <w:t>Subscription burn</w:t>
            </w:r>
          </w:p>
        </w:tc>
        <w:tc>
          <w:tcPr>
            <w:tcW w:type="dxa" w:w="1100"/>
          </w:tcPr>
          <w:p>
            <w:r>
              <w:t>N/A</w:t>
            </w:r>
          </w:p>
        </w:tc>
        <w:tc>
          <w:tcPr>
            <w:tcW w:type="dxa" w:w="1500"/>
          </w:tcPr>
          <w:p>
            <w:r>
              <w:t>N/A</w:t>
            </w:r>
          </w:p>
        </w:tc>
        <w:tc>
          <w:tcPr>
            <w:tcW w:type="dxa" w:w="1100"/>
          </w:tcPr>
          <w:p>
            <w:r>
              <w:t>Feb 2026</w:t>
            </w:r>
          </w:p>
        </w:tc>
        <w:tc>
          <w:tcPr>
            <w:tcW w:type="dxa" w:w="2600"/>
          </w:tcPr>
          <w:p>
            <w:r>
              <w:t>Subscription burn active; volumes too small for reliable S2R computation</w:t>
            </w:r>
          </w:p>
        </w:tc>
        <w:tc>
          <w:tcPr>
            <w:tcW w:type="dxa" w:w="900"/>
          </w:tcPr>
          <w:p>
            <w:r>
              <w:t xml:space="preserve">—</w:t>
            </w:r>
          </w:p>
        </w:tc>
      </w:tr>
      <w:tr>
        <w:trPr>
          <w:cantSplit/>
        </w:trPr>
        <w:tc>
          <w:tcPr>
            <w:tcW w:type="dxa" w:w="1700"/>
          </w:tcPr>
          <w:p>
            <w:r>
              <w:t>Grass</w:t>
            </w:r>
          </w:p>
        </w:tc>
        <w:tc>
          <w:tcPr>
            <w:tcW w:type="dxa" w:w="1800"/>
          </w:tcPr>
          <w:p>
            <w:r>
              <w:t>None (staking only)</w:t>
            </w:r>
          </w:p>
        </w:tc>
        <w:tc>
          <w:tcPr>
            <w:tcW w:type="dxa" w:w="1100"/>
          </w:tcPr>
          <w:p>
            <w:r>
              <w:t>~0</w:t>
            </w:r>
          </w:p>
        </w:tc>
        <w:tc>
          <w:tcPr>
            <w:tcW w:type="dxa" w:w="1500"/>
          </w:tcPr>
          <w:p>
            <w:r>
              <w:t>~0</w:t>
            </w:r>
          </w:p>
        </w:tc>
        <w:tc>
          <w:tcPr>
            <w:tcW w:type="dxa" w:w="1100"/>
          </w:tcPr>
          <w:p>
            <w:r>
              <w:t>Feb 2026</w:t>
            </w:r>
          </w:p>
        </w:tc>
        <w:tc>
          <w:tcPr>
            <w:tcW w:type="dxa" w:w="2600"/>
          </w:tcPr>
          <w:p>
            <w:r>
              <w:t>Public docs</w:t>
            </w:r>
          </w:p>
        </w:tc>
        <w:tc>
          <w:tcPr>
            <w:tcW w:type="dxa" w:w="900"/>
          </w:tcPr>
          <w:p>
            <w:r>
              <w:t xml:space="preserve">—</w:t>
            </w:r>
          </w:p>
        </w:tc>
      </w:tr>
      <w:tr>
        <w:trPr>
          <w:cantSplit/>
        </w:trPr>
        <w:tc>
          <w:tcPr>
            <w:tcW w:type="dxa" w:w="1700"/>
          </w:tcPr>
          <w:p>
            <w:r>
              <w:t>Anyone</w:t>
            </w:r>
          </w:p>
        </w:tc>
        <w:tc>
          <w:tcPr>
            <w:tcW w:type="dxa" w:w="1800"/>
          </w:tcPr>
          <w:p>
            <w:r>
              <w:t>Stake/lock</w:t>
            </w:r>
          </w:p>
        </w:tc>
        <w:tc>
          <w:tcPr>
            <w:tcW w:type="dxa" w:w="1100"/>
          </w:tcPr>
          <w:p>
            <w:r>
              <w:t>~0</w:t>
            </w:r>
          </w:p>
        </w:tc>
        <w:tc>
          <w:tcPr>
            <w:tcW w:type="dxa" w:w="1500"/>
          </w:tcPr>
          <w:p>
            <w:r>
              <w:t>~0</w:t>
            </w:r>
          </w:p>
        </w:tc>
        <w:tc>
          <w:tcPr>
            <w:tcW w:type="dxa" w:w="1100"/>
          </w:tcPr>
          <w:p>
            <w:r>
              <w:t>Feb 2026</w:t>
            </w:r>
          </w:p>
        </w:tc>
        <w:tc>
          <w:tcPr>
            <w:tcW w:type="dxa" w:w="2600"/>
          </w:tcPr>
          <w:p>
            <w:r>
              <w:t>Public docs</w:t>
            </w:r>
          </w:p>
        </w:tc>
        <w:tc>
          <w:tcPr>
            <w:tcW w:type="dxa" w:w="900"/>
          </w:tcPr>
          <w:p>
            <w:r>
              <w:t xml:space="preserve">—</w:t>
            </w:r>
          </w:p>
        </w:tc>
      </w:tr>
    </w:tbl>
    <w:p>
      <w:r>
        <w:rPr>
          <w:b w:val="0"/>
          <w:i/>
        </w:rPr>
        <w:t>Table 8. Cross-protocol S2R comparison (9 DePIN protocols).</w:t>
      </w:r>
    </w:p>
    <w:p>
      <w:pPr>
        <w:pStyle w:val="Heading2"/>
      </w:pPr>
      <w:r>
        <w:t>6.5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6.4)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2.06, DIMO 4.24, GEODNET 0.62).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r>
        <w:t xml:space="preserve">The S2R metric as currently specified measures burns against mining emissions only; it does not capture vesting-driven dilution from team, investor, and ecosystem unlocks. For GEODNET, on-chain vesting represented approximately 54% of total token supply expansion by Q2 2025, meaning the realized subsidy ratio was substantially higher than the mining-emissions-only S2R figure suggests. A comprehensive fiscal sustainability metric would incorporate all supply sources, not only algorithmic emissions.</w:t>
      </w:r>
    </w:p>
    <w:p>
      <w:pPr>
        <w:pStyle w:val="Heading1"/>
      </w:pPr>
      <w:r>
        <w:t>VII. CONCLUSION</w:t>
      </w:r>
    </w:p>
    <w:p>
      <w:pPr>
        <w:pStyle w:val="Heading2"/>
      </w:pPr>
      <w:r>
        <w:t>7.1 Summary</w:t>
      </w:r>
    </w:p>
    <w:p>
      <w:r>
        <w:rPr>
          <w:b w:val="0"/>
        </w:rPr>
        <w:t xml:space="preserve">The S2R data across thirteen protocols reveal a three-tier sustainability hierarchy for DePIN: Helium (2.06) and DIMO (4.24) have crossed fiscal parity through demand-coupled burns; GEODNET (0.62) and Hivemapper (0.183) occupy a growth-phase middle tier with confirmed burn activity but continued subsidy dependence; and the remaining protocols cluster near S2R zero, the sector default. The Helium longitudinal case (Table 3) demonstrates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0.034–0.593) materially exceeds DeFi benchmarks (0.028–0.174),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(3) a design playbook keyed to observable protocol conditions with a subtraction test for minimum viable mechanism complexity; and (4) a health dashboard with demand-concentration guardrails (Top-5 &gt; 80% AND Top-1 &gt; 35%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(top-5 signers at 40.4% versus Helium’s 90%) opens a new research question: whether subscription-based demand architectures systematically produce more distributed burn patterns than carrier-contract models, testable as additional GeoDePIN protocols mature.</w:t>
      </w:r>
    </w:p>
    <w:p>
      <w:r>
        <w:t xml:space="preserve">The combination of verified demand concentration data across four protocols with Resource Dependence Theory’s causal predictions generates a testable hypothesis: DePIN protocols with subscription-based burn models (demand HHI below 0.10) should exhibit more stable S2R trajectories across market cycles than carrier or enterprise-contract models (demand HHI above 0.20), because lower demand concentration reduces the probability of simultaneous buyer exit. Longitudinal tracking of both S2R and demand HHI across halving events would provide the first empirical test of whether burn-model architecture determines fiscal resilience.</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[29] Z. Zukowski, "Tokenomics as systems engineering: Protocols, labor, and the design of autonomous economies,"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“Tokenomics as institutional design: A normative framework and governance concentration analysis,” SSRN Working Paper, 2026. [Online]. Available: https://papers.ssrn.com/sol3/papers.cfm?abstract_id=PLACEHOLDER</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