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Tokenomics as Institutional Design: A Normative Framework and Governance Concentration Analysis</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pStyle w:val="Heading1"/>
      </w:pPr>
      <w:r>
        <w:t>Abstract</w:t>
      </w:r>
    </w:p>
    <w:p>
      <w:r>
        <w:rPr>
          <w:b w:val="0"/>
        </w:rPr>
        <w:t xml:space="preserve">Governance concentration in Decentralized Physical Infrastructure Networks (DePIN) is not statistically distinguishable from decentralized finance (DeFi) benchmarks in a 35-protocol cross-section: Herfindahl-Hirschman Index (HHI) values range from 0.004 to 0.199 (March 2026 snapshot, protocol-controlled addresses excluded), with DePIN mean HHI 0.088 versus DeFi mean 0.059 (Welch t-test p = 0.20, Cohen’s d = 0.54). This sector invariance finding contradicts a common assumption that hardware-network tokens are inherently more concentrated than pure-software DeFi governance. To evaluate what this concentration means for institutional legitimacy, we develop a normative framework translating five political-philosophical traditions into evaluable design criteria for tokenized systems. A systematic exclusion methodology removing 35 protocol-controlled addresses (staking contracts, exchange custodians, vesting locks, and protocol treasuries) across 19 protocols reveals that naive holder-list analysis overstates concentration by up to 5x in affected protocols. Neither sector membership nor initial token allocation predicts long-run governance concentration (insider allocation vs HHI: r = +0.08, p = 0.64, N = 33; on-chain subsidy ratio vs HHI: r = +0.15, p = 0.57, N = 17), and this null is robust to alternative concentration metrics (normalized entropy, Gini, Top-10 share). A systematic data coverage asymmetry between DeFi and DePIN financial metrics constrains cross-sector inference; on-chain measurement partially closes this gap. However, delegation amplifies concentration unevenly: DePIN protocols show voting-power HHI 3 to 6 times their holding HHI, while infrastructure protocols show the reverse pattern. The framework and dataset offer a replicable foundation for evaluating legitimacy in programmable institutions.</w:t>
      </w:r>
    </w:p>
    <w:p>
      <w:pPr>
        <w:jc w:val="center"/>
      </w:pPr>
      <w:r>
        <w:drawing xmlns:a="http://schemas.openxmlformats.org/drawingml/2006/main" xmlns:pic="http://schemas.openxmlformats.org/drawingml/2006/picture">
          <wp:inline distT="0" distB="0" distL="0" distR="0">
            <wp:extent cx="5029200" cy="3017520"/>
            <wp:docPr id="104" name="Figure 4"/>
            <a:graphic>
              <a:graphicData uri="http://schemas.openxmlformats.org/drawingml/2006/picture">
                <pic:pic>
                  <pic:nvPicPr>
                    <pic:cNvPr id="104" name="Figure 4"/>
                    <pic:cNvPicPr/>
                  </pic:nvPicPr>
                  <pic:blipFill>
                    <a:blip r:embed="rId12"/>
                    <a:stretch>
                      <a:fillRect/>
                    </a:stretch>
                  </pic:blipFill>
                  <pic:spPr>
                    <a:xfrm>
                      <a:off x="0" y="0"/>
                      <a:ext cx="5029200" cy="3017520"/>
                    </a:xfrm>
                    <a:prstGeom prst="rect">
                      <a:avLst/>
                    </a:prstGeom>
                  </pic:spPr>
                </pic:pic>
              </a:graphicData>
            </a:graphic>
          </wp:inline>
        </w:drawing>
      </w:r>
    </w:p>
    <w:p>
      <w:pPr>
        <w:jc w:val="center"/>
      </w:pPr>
      <w:r>
        <w:rPr>
          <w:i/>
          <w:sz w:val="20"/>
        </w:rPr>
        <w:t xml:space="preserve">Figure 4. Insider allocation (%) vs. corrected holding HHI for 33 regression-ready protocols.</w:t>
      </w:r>
    </w:p>
    <w:p>
      <w:r>
        <w:t xml:space="preserve">Figure 4 plots insider allocation against HHI for all 33 regression-ready protocols.</w:t>
      </w:r>
    </w:p>
    <w:p>
      <w:r>
        <w:rPr>
          <w:b w:val="0"/>
        </w:rPr>
        <w:t>To evaluate what this concentration means for institutional legitimacy, we develop a normative framework translating five political-philosophical traditions into evaluable design criteria for tokenized systems: transparent rule justification (Kant), protection of the least advantaged (Rawls), freedom from arbitrary power (Pettit), distributed decision-making (Ostrom), and effective use of local knowledge (Hayek). A replicable scoring rubric operationalizes these criteria. Five testable design hypotheses link institutional quality to governance outcomes. The framework bridges political philosophy and token engineering, making legitimacy an evaluable design property rather than a rhetorical claim.</w:t>
      </w:r>
    </w:p>
    <w:p>
      <w:pPr>
        <w:pStyle w:val="Heading 2"/>
        <w:spacing w:before="240"/>
      </w:pPr>
      <w:r>
        <w:rPr>
          <w:b/>
        </w:rPr>
        <w:t xml:space="preserve">JEL Codes: </w:t>
      </w:r>
      <w:r>
        <w:rPr/>
        <w:t>D02, D47, D63, D71, G34, L14, L86, P48</w:t>
      </w:r>
    </w:p>
    <w:p>
      <w:pPr>
        <w:pStyle w:val="Heading 2"/>
        <w:spacing w:before="240"/>
      </w:pPr>
      <w:r>
        <w:rPr>
          <w:b/>
        </w:rPr>
        <w:t xml:space="preserve">Keywords: tokenomics, institutional design, DePIN, governance concentration, mechanism design, political philosophy, Herfindahl-Hirschman Index, decentralized governance, scoring rubric, blockchain governance, exclusion methodology, delegation amplification, sector invariance; on-chain subsidy ratio; robustness.</w:t>
      </w:r>
      <w:r>
        <w:rPr/>
      </w:r>
    </w:p>
    <w:p>
      <w:pPr>
        <w:pStyle w:val="Heading1"/>
      </w:pPr>
      <w:r>
        <w:t>1. Introduction</w:t>
      </w:r>
    </w:p>
    <w:p>
      <w:pPr>
        <w:pStyle w:val="Heading2"/>
      </w:pPr>
      <w:r>
        <w:t>1.1 Motivation</w:t>
      </w:r>
    </w:p>
    <w:p>
      <w:r>
        <w:rPr/>
        <w:t xml:space="preserve">Internet-native systems increasingly coordinate economic activity without centralized ownership. Blockchains, decentralized finance (DeFi), decentralized autonomous organizations (DAOs), and decentralized physical infrastructure networks (DePIN) increasingly allocate access, distribute rewards, enforce rules, and adjudicate disputes through </w:t>
      </w:r>
      <w:r>
        <w:rPr>
          <w:b/>
        </w:rPr>
        <w:t>publicly inspectable mechanisms</w:t>
      </w:r>
      <w:r>
        <w:rPr/>
        <w:t>. These systems shape the behavior of participants at scale: users, operators, builders, delegates, and investors, through incentives and governance rather than through managerial command.</w:t>
      </w:r>
    </w:p>
    <w:p>
      <w:r>
        <w:rPr/>
        <w:t>Tokenomics is the design of a rule system that governs rights, duties, distribution, and enforcement. In practice, tokenomics specifies:</w:t>
      </w:r>
      <w:r>
        <w:rPr>
          <w:b/>
        </w:rPr>
      </w:r>
      <w:r>
        <w:rPr/>
      </w:r>
    </w:p>
    <w:p>
      <w:r>
        <w:rPr>
          <w:b/>
        </w:rPr>
        <w:t>Eligibility:</w:t>
      </w:r>
      <w:r>
        <w:rPr/>
        <w:t xml:space="preserve"> who can participate and under what conditions;</w:t>
      </w:r>
    </w:p>
    <w:p>
      <w:r>
        <w:rPr>
          <w:b/>
        </w:rPr>
        <w:t>Rewards:</w:t>
      </w:r>
      <w:r>
        <w:rPr/>
        <w:t xml:space="preserve"> what behaviors are remunerated, at what rates, with what decay rules;</w:t>
      </w:r>
    </w:p>
    <w:p>
      <w:r>
        <w:rPr>
          <w:b/>
        </w:rPr>
        <w:t>Sanctions:</w:t>
      </w:r>
      <w:r>
        <w:rPr/>
        <w:t xml:space="preserve"> what behaviors are penalized (slashing, bans, graduated sanctions);</w:t>
      </w:r>
    </w:p>
    <w:p>
      <w:r>
        <w:rPr>
          <w:b/>
        </w:rPr>
        <w:t>Appeals and procedure:</w:t>
      </w:r>
      <w:r>
        <w:rPr/>
        <w:t xml:space="preserve"> whether enforcement is contestable and time-bounded;</w:t>
      </w:r>
    </w:p>
    <w:p>
      <w:r>
        <w:rPr>
          <w:b/>
        </w:rPr>
        <w:t>Fiscal policy:</w:t>
      </w:r>
      <w:r>
        <w:rPr/>
        <w:t xml:space="preserve"> what is issued (faucets), what is removed or locked (sinks), and how treasuries are funded and spent;</w:t>
      </w:r>
    </w:p>
    <w:p>
      <w:r>
        <w:rPr>
          <w:b/>
        </w:rPr>
        <w:t>Governance architecture:</w:t>
      </w:r>
      <w:r>
        <w:rPr/>
        <w:t xml:space="preserve"> how parameters change, how power is distributed, and how decisions become binding.</w:t>
      </w:r>
    </w:p>
    <w:p>
      <w:r>
        <w:rPr/>
        <w:t xml:space="preserve">These are the familiar ingredients of a miniature polity: constitutional constraints, fiscal instruments, rights and obligations, and enforcement, encoded into software and executed on a public infrastructure. This does not make token systems equivalent to states, but it does make them </w:t>
      </w:r>
      <w:r>
        <w:rPr>
          <w:b/>
        </w:rPr>
        <w:t>institutional</w:t>
      </w:r>
      <w:r>
        <w:rPr/>
        <w:t xml:space="preserve">. Consequently, evaluating tokenomics requires more than economic efficiency; it requires a theory of </w:t>
      </w:r>
      <w:r>
        <w:rPr>
          <w:b/>
        </w:rPr>
        <w:t>legitimacy</w:t>
      </w:r>
      <w:r>
        <w:rPr/>
        <w:t xml:space="preserve">, </w:t>
      </w:r>
      <w:r>
        <w:rPr>
          <w:b/>
        </w:rPr>
        <w:t>justice</w:t>
      </w:r>
      <w:r>
        <w:rPr/>
        <w:t xml:space="preserve">, and </w:t>
      </w:r>
      <w:r>
        <w:rPr>
          <w:b/>
        </w:rPr>
        <w:t>power</w:t>
      </w:r>
      <w:r>
        <w:rPr/>
        <w:t>.</w:t>
      </w:r>
    </w:p>
    <w:p>
      <w:r>
        <w:rPr/>
        <w:t>This paper is part of a research program examining how infrastructure-layer design determines product behavior under stress across stablecoin, tokenized securities, and DePIN domains, unified by the thesis that regulation and audit should target the operator and the control layer rather than the token.</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rPr/>
        <w:t xml:space="preserve">Political philosophy asks: </w:t>
      </w:r>
      <w:r>
        <w:rPr>
          <w:i/>
        </w:rPr>
        <w:t>What makes a rule system just, stable, and worth participating in?</w:t>
      </w:r>
      <w:r>
        <w:rPr/>
        <w:t xml:space="preserve"> Tokenomics asks: What rules and incentives produce participation, security, sustainability, and coordination under strategic behavior?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is developed in a separate study (Zukowski, 2026b).</w:t>
      </w:r>
    </w:p>
    <w:p>
      <w:pPr>
        <w:pStyle w:val="Heading2"/>
      </w:pPr>
      <w:r>
        <w:t>1.4 Scope, Assumptions, and Limitations</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t>Participants are strategic; incentives and governance rules shape behavior.</w:t>
      </w:r>
    </w:p>
    <w:p>
      <w:r>
        <w:rPr/>
        <w:t>Legitimacy affects participation persistence and willingness to invest in long-run cooperation.</w:t>
      </w:r>
    </w:p>
    <w:p>
      <w:r>
        <w:rPr/>
        <w:t>Public rule systems can be observed and scored with acceptable reliability using well-defined rubrics.</w:t>
      </w:r>
    </w:p>
    <w:p>
      <w:pPr>
        <w:pStyle w:val="Heading3"/>
      </w:pPr>
      <w:r>
        <w:t>1.4.3 Limitations</w:t>
      </w:r>
    </w:p>
    <w:p>
      <w:r>
        <w:rPr/>
        <w:t>Construct validity: mapping philosophy to rubric scores risks simplification; this paper mitigates through transparent criteria and inter-rater reliability checks.</w:t>
      </w:r>
      <w:r>
        <w:t xml:space="preserve"> The framework's hypotheses are tested descriptively in this paper's governance concentration cross-section, but not yet through the full regression, panel, and event-study pipeline specified in the supplementary materials. Longitudinal case evidence and simulation are developed in separate studies.</w:t>
      </w:r>
    </w:p>
    <w:p>
      <w:r>
        <w:rPr/>
        <w:t>Endogeneity: “high-quality governance” may correlate with unobserved competence; mitigated via controls, panel designs, and event studies.</w:t>
      </w:r>
    </w:p>
    <w:p>
      <w:r>
        <w:rPr/>
        <w:t>Data limitations: not all social outcomes are observable; capability measures may be available only for subsets of projects.</w:t>
      </w:r>
    </w:p>
    <w:p>
      <w:pPr>
        <w:pStyle w:val="Heading2"/>
      </w:pPr>
      <w:r>
        <w:t>1.5 Paper Outline</w:t>
      </w:r>
    </w:p>
    <w:p>
      <w:r>
        <w:rPr>
          <w:b w:val="0"/>
        </w:rPr>
        <w:t>Sections 2 and 3 develop the theoretical framework and design hypotheses. Section 4 operationalizes the framework through a scoring rubric and governance concentration cross-section design. Section 5 presents the empirical illustration. Sections 6 and 7 discuss implications, limitations, and future directions. Supplementary materials provide full metric definitions, research instrument templates, and the replication-ready pipeline specification.</w:t>
      </w:r>
    </w:p>
    <w:p>
      <w:pPr>
        <w:pStyle w:val="Heading1"/>
      </w:pPr>
      <w:r>
        <w:t>2. Literature Review</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Token systems are institution-like: they function as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structural tendencies toward concentration due to governance needs and incentive structures. This critique is significant for this paper because it links governance concentration to systemic risks and questions the legitimacy of “decentralized” claims.</w:t>
      </w:r>
    </w:p>
    <w:p>
      <w:r>
        <w:rPr/>
        <w:t>Recent research further explores the micro-dynamics of governance under token voting and delegation. For example, Gersbach, Schneider, and Shahkar (2024) analyze vote delegation in blockchain governance and find that delegation can meaningfully change outcomes under highly unbalanced voting rights but has negligible impact under balanced systems, suggesting that delegation is not a universal solution to legitimacy problems.</w:t>
        <w:br/>
        <w:t>A scoping review (Weidener et al., 2025) similarly maps delegation’s implementation and challenges, reinforcing the point that delegation can either mitigate or entrench concentration depending on design.</w:t>
      </w:r>
      <w:r>
        <w:rPr>
          <w:i/>
        </w:rPr>
      </w:r>
      <w:r>
        <w:rPr/>
      </w:r>
    </w:p>
    <w:p>
      <w:r>
        <w:rPr/>
        <w:t>Most directly relevant, Cong et al. (2025) provide stylized facts and analysis suggesting persistent concentration in DAOs and governance token trading dynamics, reinforcing the need for institutional safeguards rather than assuming “token voting” equals democracy.</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 xml:space="preserve">Han, Lee, and Li (2023) formalize the governance consequences of ownership concentration, showing that whale dominance reduces platform growth but that staking mechanisms and token illiquidity can mitigate its negative effect. Their finding that ownership concentration is structurally harmful, not merely descriptively present, motivates the normative framework developed here: if concentration damages governance quality, then the political-philosophical traditions that specify what good governance requires become directly relevant to token system design. Han, Lee, and Li (2024) provide a comprehensive review of DAO governance mechanisms, voting models, and the emerging agency problem between large token holders and smaller participants.</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w:t>
      </w:r>
      <w:r>
        <w:rPr>
          <w:b/>
        </w:rPr>
      </w:r>
      <w:r>
        <w:rPr/>
      </w:r>
    </w:p>
    <w:p>
      <w:r>
        <w:rPr/>
        <w:t>Polycentricity (Ostrom, 1990) is particularly salient for DePIN, where service conditions differ across geography and where local knowledge is crucial for operational decisions. The thesis later proposes polycentric sub-DAOs/councils as governance primitives for range-based or region-based tuning.</w:t>
      </w:r>
    </w:p>
    <w:p>
      <w:pPr>
        <w:pStyle w:val="Heading2"/>
      </w:pPr>
      <w:r>
        <w:t>2.7 Political Philosophy as Legitimacy Specification</w:t>
      </w:r>
    </w:p>
    <w:p>
      <w:pPr>
        <w:pStyle w:val="Heading3"/>
      </w:pPr>
      <w:r>
        <w:t>2.7.1 Kant: Publicity and Right</w:t>
      </w:r>
    </w:p>
    <w:p>
      <w:r>
        <w:rPr/>
        <w:t>Kant’s (1785/1997) political philosophy articulates constraints on legitimate coercion and public law, including the idea that political maxims must be capable of publicity (a “transcendental principle of the publicity of public law”). The Stanford Encyclopedia notes that the Kantian publicity test functions as a necessary condition for rightness in the political sphere, connecting legitimacy to the ability to publicly avow governing principles.</w:t>
      </w:r>
    </w:p>
    <w:p>
      <w:r>
        <w:rPr/>
        <w:t>Kant’s (1785/1997) relevance here is not metaphysical but procedural: token systems often impose penalties, bans, or slashing (forms of coercion) and thus require a legitimacy standard grounded in transparency, due process, and non-arbitrary enforcement.</w:t>
      </w:r>
    </w:p>
    <w:p>
      <w:pPr>
        <w:pStyle w:val="Heading3"/>
      </w:pPr>
      <w:r>
        <w:t>2.7.2 Republican Non-Domination (Pettit (1997) and the Domination Literature)</w:t>
      </w:r>
    </w:p>
    <w:p>
      <w:r>
        <w:rPr/>
        <w:t>Republican freedom as non-domination (Pettit, 1997) frames legitimacy as protection against arbitrary power rather than mere non-interference. The SEP’s entry on republicanism describes non-domination as central to contemporary civic republican theory.</w:t>
        <w:br/>
        <w:t>The SEP’s separate entry on domination (substantively revised in 2025) emphasizes that theories of domination clarify justice and freedom by examining vulnerability to unrestrained power, directly relevant to governance capture risks in token systems.</w:t>
      </w:r>
      <w:r>
        <w:rPr>
          <w:b/>
        </w:rPr>
      </w:r>
      <w:r>
        <w:rPr/>
      </w:r>
    </w:p>
    <w:p>
      <w:r>
        <w:rPr/>
        <w:t xml:space="preserve">Non-domination (Pettit, 1997) translates into tokenomics design as </w:t>
      </w:r>
      <w:r>
        <w:rPr>
          <w:b/>
        </w:rPr>
        <w:t>contestability</w:t>
      </w:r>
      <w:r>
        <w:rPr/>
        <w:t>: appeals, oversight, and transparency that prevent arbitrary penalties or parameter changes.</w:t>
      </w:r>
    </w:p>
    <w:p>
      <w:pPr>
        <w:pStyle w:val="Heading3"/>
      </w:pPr>
      <w:r>
        <w:t>2.7.3 The Capability Approach (Sen (1999)/Nussbaum)</w:t>
      </w:r>
    </w:p>
    <w:p>
      <w:r>
        <w:rPr/>
        <w:t>The capability approach (Sen, 1999; Nussbaum, 2011) provides a normative framework for evaluating social arrangements not by GDP or preferences alone, but by the real opportunities individuals have to achieve valued “doings and beings.” The SEP entry emphasizes capabilities and functionings as core evaluative concepts, motivating the thesis’s call to measure social impact beyond token price and TVL.</w:t>
      </w:r>
    </w:p>
    <w:p>
      <w:pPr>
        <w:pStyle w:val="Heading3"/>
      </w:pPr>
      <w:r>
        <w:t>2.7.4 Hayek and Dispersed Knowledge</w:t>
      </w:r>
    </w:p>
    <w:p>
      <w:r>
        <w:rPr/>
        <w:t>Hayek’s (1945) “Use of Knowledge in Society” argues that knowledge is dispersed and that price signals coordinate local information in ways centralized planning cannot replicate. This provides both a critique of centralized parameter-setting and a positive argument for governance designs that incorporate edge-level signals.</w:t>
      </w:r>
    </w:p>
    <w:p>
      <w:pPr>
        <w:pStyle w:val="Heading3"/>
      </w:pPr>
      <w:r>
        <w:t>2.7.5 Information Ethics and Contextual Integrity (Floridi (2013)/Nissenbaum)</w:t>
      </w:r>
    </w:p>
    <w:p>
      <w:r>
        <w:rPr/>
        <w:t>Tokenized networks require data and identity systems (sybil resistance, proof-of-service, reputation). This raises privacy and surveillance risks. Nissenbaum (2010)’s “privacy as contextual integrity” frames privacy as appropriate information flow governed by contextual norms, an approach influential in law, public policy, and computer science.</w:t>
      </w:r>
    </w:p>
    <w:p>
      <w:r>
        <w:rPr/>
        <w:t>This literature (Floridi, 2013; Nissenbaum, 2010) underwrites later design claims: token systems that rely on ever-expanding telemetry risk becoming disciplinary systems (a concern aligned with Foucault) unless constrained by contextual integrity and proportionality.</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 formal conceptual model that treats tokenomics as applied political philosophy,</w:t>
      </w:r>
    </w:p>
    <w:p>
      <w:r>
        <w:rPr/>
        <w:t>a mechanism design architecture tailored to DePIN and borderless infrastructure, and</w:t>
      </w:r>
    </w:p>
    <w:p>
      <w:r>
        <w:rPr/>
        <w:t>an empirical methods program that operationalizes philosophical commitments via a scoring rubric and tests their association with outcomes.</w:t>
      </w:r>
    </w:p>
    <w:p>
      <w:pPr>
        <w:pStyle w:val="Heading1"/>
      </w:pPr>
      <w:r>
        <w:t>3. Theoretical Framework</w:t>
      </w:r>
    </w:p>
    <w:p>
      <w:pPr>
        <w:pStyle w:val="Heading2"/>
      </w:pPr>
      <w:r>
        <w:t>3.1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2"/>
      </w:pPr>
      <w:r>
        <w:t>3.2 Formal Definitions and Notation</w:t>
      </w:r>
    </w:p>
    <w:p>
      <w:pPr>
        <w:pStyle w:val="Heading3"/>
      </w:pPr>
      <w:r>
        <w:t>Definition 3.1 (Tokenized Institutional System)</w:t>
      </w:r>
    </w:p>
    <w:p>
      <w:r>
        <w:t>A tokenized institutional system is a tuple:</w:t>
      </w:r>
    </w:p>
    <w:p>
      <w:pPr>
        <w:jc w:val="center"/>
        <w:spacing w:before="120" w:after="120"/>
      </w:pPr>
      <m:oMathPara>
        <m:oMath>
          <m:r>
            <m:rPr>
              <m:sty m:val="p"/>
            </m:rPr>
            <m:t xml:space="preserve">𝒮 = </m:t>
          </m:r>
          <m:d>
            <m:dPr>
              <m:begChr m:val="⟨"/>
              <m:endChr m:val="⟩"/>
            </m:dPr>
            <m:e>
              <m:r>
                <m:rPr>
                  <m:sty m:val="p"/>
                </m:rPr>
                <m:t xml:space="preserve">𝒜, </m:t>
              </m:r>
              <m:r>
                <m:t xml:space="preserve">Π</m:t>
              </m:r>
              <m:r>
                <m:rPr>
                  <m:sty m:val="p"/>
                </m:rPr>
                <m:t>, ℳ, ℰ, 𝒢, ℐ</m:t>
              </m:r>
            </m:e>
          </m:d>
        </m:oMath>
      </m:oMathPara>
    </w:p>
    <w:p>
      <w:r>
        <w:rPr/>
        <w:t>where: (𝒜) is a set of agent types (e.g., users (U), operators (O), token holders (H), delegates (D), adversaries (X).</w:t>
      </w:r>
    </w:p>
    <w:p>
      <w:r>
        <w:rPr/>
        <w:t>(Π) is a policy vector (“tokenomics design”) consisting of: issuance rules, distribution rules, eligibility rules, reward functions, sink functions, and governance rules.</w:t>
      </w:r>
    </w:p>
    <w:p>
      <w:r>
        <w:rPr/>
        <w:t>(ℳ) is a measurement system (oracles, proofs, telemetry, audits).</w:t>
      </w:r>
    </w:p>
    <w:p>
      <w:r>
        <w:rPr/>
        <w:t>(ℰ) is an enforcement system (slashing, bans, sanctions, dispute resolution).</w:t>
      </w:r>
    </w:p>
    <w:p>
      <w:r>
        <w:rPr/>
        <w:t>(𝒢) is the governance process (proposal rights, voting, delegation, timelocks, vetoes).</w:t>
      </w:r>
    </w:p>
    <w:p>
      <w:r>
        <w:rPr/>
        <w:t>(ℐ) is information governance (data-use policies, identity, privacy constraints).</w:t>
      </w:r>
    </w:p>
    <w:p>
      <w:r>
        <w:rPr/>
        <w:t>In plain terms: a token system is defined by who can participate (A), what the rules are (Π), how performance is measured (M), how violations are punished (E), how rules change (G), and how data is handled (I). The five philosophical traditions constrain how each of these components should be designed.</w:t>
      </w:r>
    </w:p>
    <w:p>
      <w:pPr>
        <w:pStyle w:val="Heading3"/>
      </w:pPr>
      <w:r>
        <w:t>Definition 3.2 (Sink and Faucet)</w:t>
      </w:r>
    </w:p>
    <w:p>
      <w:r>
        <w:rPr/>
        <w:t>For a time window (t), define:</w:t>
      </w:r>
    </w:p>
    <w:p>
      <w:r>
        <w:rPr/>
        <w:t>Faucet</w:t>
      </w:r>
      <m:oMath>
        <m:sSub>
          <m:e>
            <m:r>
              <m:t xml:space="preserve">F</m:t>
            </m:r>
          </m:e>
          <m:sub>
            <m:r>
              <m:t xml:space="preserve">t</m:t>
            </m:r>
          </m:sub>
        </m:sSub>
      </m:oMath>
      <w:r>
        <w:t>: total net token issuance distributed as rewards (or other liquid supply increases).</w:t>
      </w:r>
    </w:p>
    <w:p>
      <w:r>
        <w:rPr/>
        <w:t>Sink: float-reducing mechanisms (burns, buybacks that retire tokens, locks that credibly reduce circulating float over the window).</w:t>
        <w:br/>
        <w:t>A system exhibits “sink before faucet” discipline if sinks are deployed and observable before (or alongside) large-scale faucets.</w:t>
      </w:r>
      <m:oMath>
        <m:sSub>
          <m:e>
            <m:r>
              <m:t xml:space="preserve">S</m:t>
            </m:r>
          </m:e>
          <m:sub>
            <m:r>
              <m:t xml:space="preserve">t</m:t>
            </m:r>
          </m:sub>
        </m:sSub>
      </m:oMath>
      <w:r/>
    </w:p>
    <w:p>
      <w:pPr>
        <w:pStyle w:val="Heading3"/>
      </w:pPr>
      <w:r>
        <w:t>Definition 3.3 (Spend-to-Reward Ratio,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S2R is interpreted as a fiscal sustainability indicator: for a given reward policy, higher S2R implies tighter coupling between usage/value and issuance.</w:t>
      </w:r>
    </w:p>
    <w:p>
      <w:pPr>
        <w:pStyle w:val="Heading3"/>
      </w:pPr>
      <w:r>
        <w:t>Definition 3.4 (Legitimacy Constraint Set)</w:t>
      </w:r>
    </w:p>
    <w:p>
      <w:r>
        <w:rPr/>
        <w:t>Let (ℒ) denote a set of legitimacy constraints derived from political philosophy, such as:</w:t>
      </w:r>
    </w:p>
    <w:p>
      <w:r>
        <w:rPr>
          <w:b/>
        </w:rPr>
        <w:t>Publicity constraint (Kant): rule changes and enforcement must be publicly avowable and procedurally transparent.</w:t>
      </w:r>
      <w:r>
        <w:rPr/>
      </w:r>
    </w:p>
    <w:p>
      <w:r>
        <w:rPr>
          <w:b/>
        </w:rPr>
        <w:t>Non-domination constraint (republican): agents must not be subject to arbitrary interference; contestability must exist.</w:t>
      </w:r>
      <w:r>
        <w:rPr/>
      </w:r>
    </w:p>
    <w:p>
      <w:r>
        <w:rPr>
          <w:b/>
        </w:rPr>
        <w:t>Floor constraint (Rawlsian maximin, capabilities): policies must avoid worsening prospects for the least advantaged and ideally improve capabilities.</w:t>
      </w:r>
      <w:r>
        <w:rPr/>
      </w:r>
    </w:p>
    <w:p>
      <w:r>
        <w:rPr>
          <w:b/>
        </w:rPr>
        <w:t>Contextual integrity constraint: information flows must conform to context-appropriate norms.</w:t>
      </w:r>
      <w:r>
        <w:rPr/>
      </w:r>
    </w:p>
    <w:p>
      <w:r>
        <w:rPr/>
        <w:t>A system is legitimacy-feasible if (Π) and (ℰ) satisfy (ℒ) under plausible adversarial conditions.</w:t>
      </w:r>
    </w:p>
    <w:p>
      <w:pPr>
        <w:pStyle w:val="Heading3"/>
      </w:pPr>
      <w:r>
        <w:t>Definition 3.5 (Outcome Domains)</w:t>
      </w:r>
    </w:p>
    <w:p>
      <w:r>
        <w:rPr/>
        <w:t>Outcomes are grouped into three domains:</w:t>
      </w:r>
    </w:p>
    <w:p>
      <w:r>
        <w:rPr>
          <w:b/>
        </w:rPr>
        <w:t>Economic</w:t>
      </w:r>
      <w:r>
        <w:rPr/>
        <w:t>: sustainability (revenue/fees), market quality (liquidity depth/slippage), resilience (drawdowns and recovery), efficiency.</w:t>
      </w:r>
    </w:p>
    <w:p>
      <w:r>
        <w:rPr>
          <w:b/>
        </w:rPr>
        <w:t>Political</w:t>
      </w:r>
      <w:r>
        <w:rPr/>
        <w:t>: participation, concentration (HHI/Gini), procedural justice (appeals, timelocks), rule stability.</w:t>
      </w:r>
    </w:p>
    <w:p>
      <w:r>
        <w:rPr>
          <w:b/>
        </w:rPr>
        <w:t>Social</w:t>
      </w:r>
      <w:r>
        <w:rPr/>
        <w:t>: capability gains, inclusion (geographic and socioeconomic), safety, privacy-preserving participation.</w:t>
      </w:r>
    </w:p>
    <w:p>
      <w:pPr>
        <w:pStyle w:val="Heading2"/>
      </w:pPr>
      <w:r>
        <w:t>3.3 Conceptual Model: From Philosophy to Mechanisms to Outcomes</w:t>
      </w:r>
    </w:p>
    <w:p>
      <w:pPr>
        <w:pStyle w:val="Heading3"/>
      </w:pPr>
      <w:r>
        <w:t>The conceptual model of tokenomics as applied political philosophy (developed in Section 3)</w:t>
      </w:r>
    </w:p>
    <w:p>
      <w:pPr>
        <w:jc w:val="center"/>
      </w:pPr>
      <w:r>
        <w:drawing>
          <wp:inline xmlns:a="http://schemas.openxmlformats.org/drawingml/2006/main" xmlns:pic="http://schemas.openxmlformats.org/drawingml/2006/picture" distT="0" distB="0" distL="0" distR="0">
            <wp:extent cx="5068482" cy="6099367"/>
            <wp:docPr id="2" name="Figure 2"/>
            <a:graphic>
              <a:graphicData uri="http://schemas.openxmlformats.org/drawingml/2006/picture">
                <pic:pic>
                  <pic:nvPicPr>
                    <pic:cNvPr id="2" name="Figure 2"/>
                    <pic:cNvPicPr/>
                  </pic:nvPicPr>
                  <pic:blipFill>
                    <a:blip r:embed="rId11"/>
                    <a:stretch>
                      <a:fillRect/>
                    </a:stretch>
                  </pic:blipFill>
                  <pic:spPr>
                    <a:xfrm>
                      <a:off x="0" y="0"/>
                      <a:ext cx="5068482" cy="6099367"/>
                    </a:xfrm>
                    <a:prstGeom prst="rect">
                      <a:avLst/>
                    </a:prstGeom>
                  </pic:spPr>
                </pic:pic>
              </a:graphicData>
            </a:graphic>
          </wp:inline>
        </w:drawing>
      </w:r>
    </w:p>
    <w:p>
      <w:r>
        <w:rPr>
          <w:i/>
          <w:sz w:val="20"/>
        </w:rPr>
        <w:t>Figure 1. 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2"/>
      </w:pPr>
      <w:r>
        <w:t>3.4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Heading3"/>
      </w:pPr>
      <w:r>
        <w:t>Hypothesis 3.1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br/>
        <w:t>Justification: Kant’s publicity principle suggests that political maxims requiring secrecy to succeed are illegitimate; in token systems, secrecy increases perceived arbitrariness and reduces willingness to invest in the future under rule uncertainty.</w:t>
      </w:r>
      <w:r>
        <w:rPr/>
      </w:r>
    </w:p>
    <w:p>
      <w:r>
        <w:rPr/>
        <w:t>Motivating evidence: Ethereum’s base layer exemplifies Kantian publicity in practice. With a hard-coded fee burn mechanism (EIP-1559) and immutable consensus rules, the network processed approximately 383 million transactions in 2023 (CoinGecko, 2026) with zero rollbacks or reversals. Bitcoin’s hard 21 million supply cap (the most transparent monetary rule in any financial system) has attracted over 100 million owners by 2025 (CoinGecko, 2026). In both cases, credible neutrality (no exceptions, no privileged actors) correlates with sustained trust and participation at scale.</w:t>
      </w:r>
    </w:p>
    <w:p>
      <w:pPr>
        <w:pStyle w:val="Heading3"/>
      </w:pPr>
      <w:r>
        <w:t>Hypothesis 3.2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br/>
        <w:t>Justification: Republican freedom as non-domination requires protection against arbitrary interference; appeals and oversight operationalize that requirement by constraining enforcement discretion.</w:t>
      </w:r>
      <w:r>
        <w:rPr/>
      </w:r>
    </w:p>
    <w:p>
      <w:r>
        <w:rPr>
          <w:i/>
        </w:rPr>
        <w:t>Motivating evidence:</w:t>
      </w:r>
      <w:r>
        <w:rPr/>
        <w:t xml:space="preserve"> The Steem-to-Hive fork of March 2020 provides a vivid natural experiment. When Tron’s Justin Sun used custodial exchange votes to seize governance control of the Steem DAO, the community exercised its ultimate contestability mechanism: forking to Hive and stripping the acquirer’s 70 million STEEM stake (Barbereau et al., 2023). Within weeks, HIVE tokens traded at parity with or above STEEM, demonstrating that communities can mobilize credible exit when non-domination norms are breached. Optimism’s 2023 bicameral governance structure (Token House plus Citizens’ House with one-person-one-vote) illustrates institutional contestability by design: the Citizens’ House allocated 10 million OP (approximately $18 million) to public goods in its first year (Optimism, 2024), creating a structural check on token-weighted plutocracy.</w:t>
      </w:r>
    </w:p>
    <w:p>
      <w:pPr>
        <w:pStyle w:val="Heading3"/>
      </w:pPr>
      <w:r>
        <w:t>Hypothesis 3.3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br/>
        <w:t>Justification: In repeated interaction settings, participants discount future rewards when dilution is unconstrained; sinks create credible coupling between real usage and token scarcity/treasury strength.</w:t>
      </w:r>
      <w:r>
        <w:rPr/>
      </w:r>
    </w:p>
    <w:p>
      <w:r>
        <w:rPr/>
        <w:t>Motivating evidence: Ethereum’s EIP-1559 fee burn removed over 5.3 million ETH (approximately $9 billion) between August 2021 and November 2025 (Dune Analytics, 2026), producing net deflation of -0.108% per year after the Merge. OlympusDAO offered over 1,000% APY with no meaningful sink; OHM collapsed by more than 99% (from approximately $1,300 to below $10; CoinGecko, 2026). Terra’s TerraUSD (UST) collapse in May 2022 is the extreme case: within 72 hours, the stablecoin depegged to $0.08 while over 6 trillion LUNA were minted, vaporizing approximately $60 billion in combined LUNA and UST market capitalization (Liu, Makarov, &amp; Schoar, 2023; CoinGecko historical data). These cases validate the Prime Directive: protocols establishing sinks proportional to usage before scaling emissions exhibit dramatically different durability trajectories.</w:t>
      </w:r>
    </w:p>
    <w:p>
      <w:r>
        <w:rPr/>
        <w:t>The DePIN sector provides additional confirmation: by year-end 2025, GEODNET's S2R reached 0.379 by March 2026, with token burns absorbing 36% of monthly emissions (Dune Analytics) while Helium's annual inflation fell below 2% (Bane &amp; Gala, 2026), demonstrating that mature protocols converge on deflationary dynamics when demand-side sinks outpace supply-side rewards.</w:t>
      </w:r>
    </w:p>
    <w:p>
      <w:pPr>
        <w:pStyle w:val="Heading3"/>
      </w:pPr>
      <w:r>
        <w:t>Hypothesis 3.4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r>
        <w:rPr/>
        <w:t>Motivating evidence: Helium’s trajectory from 2019 to 2025 demonstrates this hypothesis. By late 2022, presence-based token incentives drove deployment of approximately 975,000 IoT hotspots globally (Dune Analytics, 2026), yet actual data usage was negligible: generating approximately $6,500 per month in data transfer revenue across the entire IoT hotspot fleet (Shapira, 2022; Haleem, 2022). The reward split (80% coverage mining, 20% data transfer) yielded an S2R of approximately 0.007. After pivoting to 5G with service-verified rewards, annualized revenue reached $18.3 million by Q3 2025 with 1.2 million daily active users (Bane &amp; Gala, 2026), and S2R rose to approximately 0.18.</w:t>
      </w:r>
    </w:p>
    <w:p>
      <w:pPr>
        <w:pStyle w:val="Heading3"/>
      </w:pPr>
      <w:r>
        <w:t>Hypothesis 3.5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br/>
        <w:t>Justification: Ostrom’s polycentric governance emphasizes multiple overlapping decision centers as an efficient response to complex systems.</w:t>
      </w:r>
      <w:r>
        <w:rPr/>
      </w:r>
    </w:p>
    <w:p>
      <w:r>
        <w:rPr/>
        <w:t>Motivating evidence: The Cosmos IBC ecosystem grew from approximately 50 to over 115 interconnected blockchains between 2024 and 2025 , each with local governance and tokenomics (Cosmos, 2026). Polkadot hosts approximately 40 live parachains, and its on-chain treasury funded over 200 proposals ($21 million in 2023, $87 million in H1 2024; OpenGov.Watch, 2024). Individual chain failures did not propagate systemically, confirming the resilience advantage of federated architectures over monolithic alternatives.</w:t>
      </w:r>
    </w:p>
    <w:p>
      <w:pPr>
        <w:pStyle w:val="Heading2"/>
      </w:pPr>
      <w:r>
        <w:t>3.5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Lens</w:t>
            </w:r>
          </w:p>
        </w:tc>
        <w:tc>
          <w:tcPr>
            <w:tcW w:type="dxa" w:w="1728"/>
          </w:tcPr>
          <w:p>
            <w:r>
              <w:rPr>
                <w:b/>
              </w:rPr>
              <w:t>0 (Absent)</w:t>
            </w:r>
          </w:p>
        </w:tc>
        <w:tc>
          <w:tcPr>
            <w:tcW w:type="dxa" w:w="1728"/>
          </w:tcPr>
          <w:p>
            <w:r>
              <w:rPr>
                <w:b/>
              </w:rPr>
              <w:t>1 (Minimal)</w:t>
            </w:r>
          </w:p>
        </w:tc>
        <w:tc>
          <w:tcPr>
            <w:tcW w:type="dxa" w:w="1728"/>
          </w:tcPr>
          <w:p>
            <w:r>
              <w:rPr>
                <w:b/>
              </w:rPr>
              <w:t>2 (Partial)</w:t>
            </w:r>
          </w:p>
        </w:tc>
        <w:tc>
          <w:tcPr>
            <w:tcW w:type="dxa" w:w="1728"/>
          </w:tcPr>
          <w:p>
            <w:r>
              <w:rPr>
                <w:b/>
              </w:rPr>
              <w:t>3 (Exemplary)</w:t>
            </w:r>
          </w:p>
        </w:tc>
        <w:trPr>
          <w:tblHeader/>
        </w:trPr>
      </w:tr>
      <w:tr>
        <w:tc>
          <w:tcPr>
            <w:tcW w:type="dxa" w:w="1728"/>
          </w:tcPr>
          <w:p>
            <w:r>
              <w:t>Kantian Publicity</w:t>
            </w:r>
          </w:p>
        </w:tc>
        <w:tc>
          <w:tcPr>
            <w:tcW w:type="dxa" w:w="1728"/>
          </w:tcPr>
          <w:p>
            <w:r>
              <w:t>No public governance docs</w:t>
            </w:r>
          </w:p>
        </w:tc>
        <w:tc>
          <w:tcPr>
            <w:tcW w:type="dxa" w:w="1728"/>
          </w:tcPr>
          <w:p>
            <w:r>
              <w:t>Rules exist but hard to find</w:t>
            </w:r>
          </w:p>
        </w:tc>
        <w:tc>
          <w:tcPr>
            <w:tcW w:type="dxa" w:w="1728"/>
          </w:tcPr>
          <w:p>
            <w:r>
              <w:t>Public rules + rationale</w:t>
            </w:r>
          </w:p>
        </w:tc>
        <w:tc>
          <w:tcPr>
            <w:tcW w:type="dxa" w:w="1728"/>
          </w:tcPr>
          <w:p>
            <w:r>
              <w:t>Public rules + deliberation + justification</w:t>
            </w:r>
          </w:p>
        </w:tc>
      </w:tr>
      <w:tr>
        <w:tc>
          <w:tcPr>
            <w:tcW w:type="dxa" w:w="1728"/>
          </w:tcPr>
          <w:p>
            <w:r>
              <w:t>Rawlsian Fairness</w:t>
            </w:r>
          </w:p>
        </w:tc>
        <w:tc>
          <w:tcPr>
            <w:tcW w:type="dxa" w:w="1728"/>
          </w:tcPr>
          <w:p>
            <w:r>
              <w:t>No floor-raising mechanism</w:t>
            </w:r>
          </w:p>
        </w:tc>
        <w:tc>
          <w:tcPr>
            <w:tcW w:type="dxa" w:w="1728"/>
          </w:tcPr>
          <w:p>
            <w:r>
              <w:t>Basic airdrop only</w:t>
            </w:r>
          </w:p>
        </w:tc>
        <w:tc>
          <w:tcPr>
            <w:tcW w:type="dxa" w:w="1728"/>
          </w:tcPr>
          <w:p>
            <w:r>
              <w:t>Graduated fee tiers or grants</w:t>
            </w:r>
          </w:p>
        </w:tc>
        <w:tc>
          <w:tcPr>
            <w:tcW w:type="dxa" w:w="1728"/>
          </w:tcPr>
          <w:p>
            <w:r>
              <w:t>Systematic equity mechanisms + measured gaps</w:t>
            </w:r>
          </w:p>
        </w:tc>
      </w:tr>
      <w:tr>
        <w:tc>
          <w:tcPr>
            <w:tcW w:type="dxa" w:w="1728"/>
          </w:tcPr>
          <w:p>
            <w:r>
              <w:t>Pettit Contestation</w:t>
            </w:r>
          </w:p>
        </w:tc>
        <w:tc>
          <w:tcPr>
            <w:tcW w:type="dxa" w:w="1728"/>
          </w:tcPr>
          <w:p>
            <w:r>
              <w:t>No appeals or checks</w:t>
            </w:r>
          </w:p>
        </w:tc>
        <w:tc>
          <w:tcPr>
            <w:tcW w:type="dxa" w:w="1728"/>
          </w:tcPr>
          <w:p>
            <w:r>
              <w:t>Informal complaints possible</w:t>
            </w:r>
          </w:p>
        </w:tc>
        <w:tc>
          <w:tcPr>
            <w:tcW w:type="dxa" w:w="1728"/>
          </w:tcPr>
          <w:p>
            <w:r>
              <w:t>Formal appeal mechanism exists</w:t>
            </w:r>
          </w:p>
        </w:tc>
        <w:tc>
          <w:tcPr>
            <w:tcW w:type="dxa" w:w="1728"/>
          </w:tcPr>
          <w:p>
            <w:r>
              <w:t>Independent arbitration + veto rights</w:t>
            </w:r>
          </w:p>
        </w:tc>
      </w:tr>
      <w:tr>
        <w:tc>
          <w:tcPr>
            <w:tcW w:type="dxa" w:w="1728"/>
          </w:tcPr>
          <w:p>
            <w:r>
              <w:t>Ostrom Polycentricity</w:t>
            </w:r>
          </w:p>
        </w:tc>
        <w:tc>
          <w:tcPr>
            <w:tcW w:type="dxa" w:w="1728"/>
          </w:tcPr>
          <w:p>
            <w:r>
              <w:t>Single decision center</w:t>
            </w:r>
          </w:p>
        </w:tc>
        <w:tc>
          <w:tcPr>
            <w:tcW w:type="dxa" w:w="1728"/>
          </w:tcPr>
          <w:p>
            <w:r>
              <w:t>Advisory subcommittees</w:t>
            </w:r>
          </w:p>
        </w:tc>
        <w:tc>
          <w:tcPr>
            <w:tcW w:type="dxa" w:w="1728"/>
          </w:tcPr>
          <w:p>
            <w:r>
              <w:t>Functional subDAOs with budgets</w:t>
            </w:r>
          </w:p>
        </w:tc>
        <w:tc>
          <w:tcPr>
            <w:tcW w:type="dxa" w:w="1728"/>
          </w:tcPr>
          <w:p>
            <w:r>
              <w:t>Nested governance with local autonomy</w:t>
            </w:r>
          </w:p>
        </w:tc>
      </w:tr>
      <w:tr>
        <w:tc>
          <w:tcPr>
            <w:tcW w:type="dxa" w:w="1728"/>
          </w:tcPr>
          <w:p>
            <w:r>
              <w:t>Hayek Knowledge</w:t>
            </w:r>
          </w:p>
        </w:tc>
        <w:tc>
          <w:tcPr>
            <w:tcW w:type="dxa" w:w="1728"/>
          </w:tcPr>
          <w:p>
            <w:r>
              <w:t>Fixed parameters</w:t>
            </w:r>
          </w:p>
        </w:tc>
        <w:tc>
          <w:tcPr>
            <w:tcW w:type="dxa" w:w="1728"/>
          </w:tcPr>
          <w:p>
            <w:r>
              <w:t>Admin-adjusted parameters</w:t>
            </w:r>
          </w:p>
        </w:tc>
        <w:tc>
          <w:tcPr>
            <w:tcW w:type="dxa" w:w="1728"/>
          </w:tcPr>
          <w:p>
            <w:r>
              <w:t>Automated price signals</w:t>
            </w:r>
          </w:p>
        </w:tc>
        <w:tc>
          <w:tcPr>
            <w:tcW w:type="dxa" w:w="1728"/>
          </w:tcPr>
          <w:p>
            <w:r>
              <w:t>Demand-coupled mechanisms + edge feedback</w:t>
            </w:r>
          </w:p>
        </w:tc>
      </w:tr>
    </w:tbl>
    <w:p>
      <w:r>
        <w:rPr/>
        <w:t>Table 1. 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xmlns:a="http://schemas.openxmlformats.org/drawingml/2006/main" xmlns:pic="http://schemas.openxmlformats.org/drawingml/2006/picture">
            <wp:extent cx="5303520" cy="3784061"/>
            <wp:docPr id="1" name="Picture 1"/>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i/>
          <w:sz w:val="18"/>
        </w:rPr>
        <w:t>Figure 2. Normative framework architecture: five philosophical lenses are operationalized through a scoring rubric into five testable design hypotheses. Dashed arrow indicates the empirical feedback loop from governance concentration evidence (Section 5) and case evidence developed separately.</w:t>
      </w:r>
    </w:p>
    <w:p>
      <w:pPr>
        <w:pStyle w:val="Heading1"/>
      </w:pPr>
      <w:r>
        <w:t>4. Framework Operationalization</w:t>
      </w:r>
    </w:p>
    <w:p>
      <w:pPr>
        <w:pStyle w:val="Heading2"/>
      </w:pPr>
      <w:r>
        <w:t>4.1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35 sampled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2"/>
      </w:pPr>
      <w:r>
        <w:t>4.2 Units of Analysis and Sampling Strategy</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(13 DeFi, 12 DePIN, 8 L1/L2 infrastructure, 2 survivorship-bias controls), maturity (2017-2024 launches), and governance model (token-weighted, delegate, futarchy). The expanded 35-protocol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were collected via Helius getTokenAccounts API to address systematic undercounting in Dune's solana_utils.daily_balances table, which returned 29-291 holders versus 5,067-99,980 from direct RPC enumeration.</w:t>
      </w:r>
    </w:p>
    <w:p>
      <w:r>
        <w:rPr>
          <w:i/>
          <w:sz w:val="18"/>
        </w:rPr>
        <w:t>Figure 3. Holding-based Herfindahl-Hirschman Index (HHI) across 35 governance tokens (March 2026 snapshot, top-1,000 holders, protocol-controlled addresses excluded). Dashed lines indicate category means. Protocols sorted by category then HHI ascending.</w:t>
      </w:r>
    </w:p>
    <w:p>
      <w:r>
        <w:t>A striking pattern emerges from the cross-section: 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confirming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2"/>
      </w:pPr>
      <w:r>
        <w:t>4.3 Data Sources (Replicable, Multi-Disciplinary)</w:t>
      </w:r>
    </w:p>
    <w:p>
      <w:r>
        <w:rPr/>
        <w:t>Four data streams inform the analysis: on-chain data (transactions, staking, governance votes, treasury)</w:t>
      </w:r>
    </w:p>
    <w:p>
      <w:r>
        <w:rPr/>
        <w:t>protocol documentation (whitepapers, governance forums, parameter docs)</w:t>
      </w:r>
    </w:p>
    <w:p>
      <w:r>
        <w:rPr/>
        <w:t>analytic aggregators (where replicable and with clear definitions)</w:t>
      </w:r>
    </w:p>
    <w:p>
      <w:r>
        <w:rPr/>
        <w:t>public academic and policy sources (e.g., BIS)</w:t>
      </w:r>
    </w:p>
    <w:p>
      <w:r>
        <w:rPr/>
        <w:t>Data-definition consistency is a first-class problem; transformations and assumptions are documented in supplementary materials.</w:t>
      </w:r>
    </w:p>
    <w:p>
      <w:r>
        <w:t xml:space="preserve">A systematic data coverage gap between DeFi and DePIN protocols constrains cross-sector regression analysis. Token Terminal, the primary source for protocol-level financial metrics, covers 100% of DeFi protocols in the sample but only 58% of DePIN protocols for revenue and 25% for subsidy ratio. Where DePIN coverage exists, the revenue definitions may not capture hardware network economics: Token Terminal classifies Livepeer's annualized revenue as $0 despite the protocol processing $23.8 million in on-chain LPT burns over the trailing 12 months, and reports IoTeX at $88,000 in annual revenue with $3.4 million in token incentives. To address this gap, on-chain subsidy ratios for 8 DePIN protocols were computed from protocol-native revenue events (Data Credit burns for Helium, LPT burns for Livepeer, DIMO token burns for DIMO, GEOD burns for GEODNET, MOR burns for Morpheus, and equivalent measures for Filecoin, Render, and POKT), providing a measurement approach consistent across both sectors. Statistical analyses use R 4.4+ with the oaxaca package (1,000 bootstrap replications) for decomposition and OLS with heteroscedasticity-robust standard errors for regression.</w:t>
      </w:r>
    </w:p>
    <w:p>
      <w:r>
        <w:rPr/>
        <w:t xml:space="preserve">Financial covariates (revenue, treasury, market capitalization) are sourced from Token Terminal, DeFiLlama, and CoinGecko APIs and are subject to each aggregator's coverage limitations. Token allocation data were compiled from official protocol documentation and verified against Tokenomist for all 35 protocols; source URLs are documented in the replication package. Two protocols (MetaDAO, Token Engineering Commons) use non-standard allocation models that cannot be mapped to team/investor/community buckets and are excluded from the allocation regression. Treasury data is available from DeFiLlama for DeFi and L1/L2 infrastructure protocols but not for DePIN protocols, which manage treasury through multisig wallets not indexed by aggregators. DePIN network device counts are sourced from DePINScan, Messari quarterly reports, and protocol explorers; these counts are point-in-time snapshots subject to measurement differences across implementations (e.g., Helium separates IoT and Mobile subnetworks; Filecoin distinguishes active storage providers from historical registrations; Livepeer caps its active orchestrator set at 100 by protocol design).</w:t>
      </w:r>
    </w:p>
    <w:p>
      <w:pPr>
        <w:pStyle w:val="Heading2"/>
      </w:pPr>
      <w:r>
        <w:t>4.4 Codebook and Rubric</w:t>
      </w:r>
    </w:p>
    <w:p>
      <w:r>
        <w:rPr/>
        <w:t>We code each protocol across standardized dimensions via a machine-readable table (Supplementary File S1). It contains fields grouped into the following blocks:</w:t>
      </w:r>
    </w:p>
    <w:p>
      <w:r>
        <w:rPr>
          <w:b/>
        </w:rPr>
        <w:t>Metadata</w:t>
      </w:r>
      <w:r>
        <w:rPr/>
        <w:t>: protocol_id, chain, category, docs, forum.</w:t>
      </w:r>
    </w:p>
    <w:p>
      <w:r>
        <w:rPr>
          <w:b/>
        </w:rPr>
        <w:t>Supply/Issuance</w:t>
      </w:r>
      <w:r>
        <w:rPr/>
        <w:t>: emission model, max supply, inflation rate, decay rule, vesting months, unlock schedule.</w:t>
      </w:r>
    </w:p>
    <w:p>
      <w:r>
        <w:rPr>
          <w:b/>
        </w:rPr>
        <w:t>Distribution</w:t>
      </w:r>
      <w:r>
        <w:rPr/>
        <w:t>: team/investor/community allocations; airdrop method; sybil defenses.</w:t>
      </w:r>
    </w:p>
    <w:p>
      <w:r>
        <w:rPr>
          <w:b/>
        </w:rPr>
        <w:t>Value routing and sinks</w:t>
      </w:r>
      <w:r>
        <w:rPr/>
        <w:t>: fee switch, burn/buyback rules, treasury routing.</w:t>
      </w:r>
    </w:p>
    <w:p>
      <w:r>
        <w:rPr>
          <w:b/>
        </w:rPr>
        <w:t>Staking/locks</w:t>
      </w:r>
      <w:r>
        <w:rPr/>
        <w:t>: staking enabled, lockups, unbonding, slashing.</w:t>
      </w:r>
    </w:p>
    <w:p>
      <w:r>
        <w:rPr>
          <w:b/>
        </w:rPr>
        <w:t>Governance architecture</w:t>
      </w:r>
      <w:r>
        <w:rPr/>
        <w:t>: on/off-chain, delegation, thresholds, quorums, timelocks, veto/guardian.; Participation costs: cost-to-meaningful-voice proxies.</w:t>
      </w:r>
    </w:p>
    <w:p>
      <w:r>
        <w:rPr>
          <w:b/>
        </w:rPr>
        <w:t>Decentralization</w:t>
      </w:r>
      <w:r>
        <w:rPr/>
        <w:t>: validator count, Nakamoto-like metrics, concentration measures.</w:t>
      </w:r>
    </w:p>
    <w:p>
      <w:r>
        <w:rPr>
          <w:b/>
        </w:rPr>
        <w:t>Incentives</w:t>
      </w:r>
      <w:r>
        <w:rPr/>
        <w:t>: liquidity mining windows, decay rules, proof-of-action.</w:t>
      </w:r>
    </w:p>
    <w:p>
      <w:r>
        <w:rPr>
          <w:b/>
        </w:rPr>
        <w:t>Data/identity</w:t>
      </w:r>
      <w:r>
        <w:rPr/>
        <w:t>: identity posture, privacy policy references.</w:t>
      </w:r>
    </w:p>
    <w:p>
      <w:r>
        <w:rPr/>
        <w:t>A protocol row also stores computed philosophy lens scores (0–3) and evidence links.</w:t>
      </w:r>
    </w:p>
    <w:p>
      <w:pPr>
        <w:pStyle w:val="Heading2"/>
      </w:pPr>
      <w:r>
        <w:t>4.5 Philosophy Scoring Rubric: Translating Normative Theory into Observable Criteria</w:t>
      </w:r>
    </w:p>
    <w:p>
      <w:r>
        <w:rPr/>
        <w:t>The scoring rubric is a second machine-readable table (Supplementary File S2). It contains: lens_id, criterion_id, criterion definition</w:t>
      </w:r>
    </w:p>
    <w:p>
      <w:r>
        <w:rPr/>
        <w:t>a 0–3 scoring scale for each criterion; default weights</w:t>
      </w:r>
    </w:p>
    <w:p>
      <w:r>
        <w:rPr/>
        <w:t>A third table (Supplementary File S3) stores protocol × criterion scores with evidence links, scorer initials, and dates.</w:t>
      </w:r>
    </w:p>
    <w:p>
      <w:pPr>
        <w:pStyle w:val="Heading3"/>
      </w:pPr>
      <w:r>
        <w:t>4.5.1 Scoring Procedure</w:t>
      </w:r>
    </w:p>
    <w:p>
      <w:r>
        <w:rPr/>
        <w:t>Evidence links (docs, forums, code references) anchor each protocol’s coding; for each protocol, gather (docs, forums, code references)</w:t>
      </w:r>
    </w:p>
    <w:p>
      <w:r>
        <w:rPr/>
        <w:t>score each criterion 0–3</w:t>
      </w:r>
    </w:p>
    <w:p>
      <w:r>
        <w:rPr/>
        <w:t>compute lens score as weighted mean</w:t>
      </w:r>
    </w:p>
    <w:p>
      <w:r>
        <w:rPr/>
        <w:t>compute an overall Synergy Index as weighted mean across lenses (weights pre-specified)</w:t>
      </w:r>
    </w:p>
    <w:p>
      <w:pPr>
        <w:pStyle w:val="Heading3"/>
      </w:pPr>
      <w:r>
        <w:t>4.5.2 Reliability and Validity</w:t>
      </w:r>
    </w:p>
    <w:p>
      <w:r>
        <w:rPr/>
        <w:t>Double-code ≥10% of protocols to estimate inter-rater reliability (e.g., Cohen’s κ).</w:t>
      </w:r>
    </w:p>
    <w:p>
      <w:r>
        <w:rPr/>
        <w:t>Use adjudication rules where κ is low.</w:t>
      </w:r>
    </w:p>
    <w:p>
      <w:r>
        <w:rPr/>
        <w:t>Validate construct validity by comparing rubric scores to independent indicators (e.g., governance concentration, frequency of rule changes, appeals outcomes).</w:t>
      </w:r>
    </w:p>
    <w:p>
      <w:r>
        <w:rPr/>
        <w:t>This operationalization is explicitly designed to be legible across disciplines: political philosophy criteria are mapped to measurable institutional features (appeals, publicity, concentration), enabling empirical tests.</w:t>
      </w:r>
    </w:p>
    <w:p>
      <w:pPr>
        <w:pStyle w:val="Heading3"/>
      </w:pPr>
      <w:r>
        <w:t>4.5.3 Illustrative Scoring</w:t>
      </w:r>
    </w:p>
    <w:p>
      <w:r>
        <w:t xml:space="preserve">Table 2 demonstrates the rubric applied to three protocols spanning the DeFi–DePIN divide. Full scoring sheets for all 11 scored protocols, with evidence links, are provided in Supplementary File S3. Scores are assigned by a single coder; inter-rater reliability testing with a second scorer is specified as future work.</w:t>
      </w:r>
    </w:p>
    <w:tbl>
      <w:tblPr>
        <w:tblW w:type="dxa" w:w="936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080"/>
        <w:gridCol w:w="1080"/>
        <w:gridCol w:w="1200"/>
        <w:gridCol w:w="1200"/>
        <w:gridCol w:w="1080"/>
        <w:gridCol w:w="1920"/>
      </w:tblGrid>
      <w:tr>
        <w:tc>
          <w:tcPr>
            <w:tcW w:type="dxa" w:w="1800"/>
            <w:shd w:val="clear" w:fill="D9E2F3"/>
          </w:tcPr>
          <w:p>
            <w:r>
              <w:rPr>
                <w:b/>
                <w:sz w:val="18"/>
              </w:rPr>
              <w:t>Protocol</w:t>
            </w:r>
          </w:p>
        </w:tc>
        <w:tc>
          <w:tcPr>
            <w:tcW w:type="dxa" w:w="1080"/>
            <w:shd w:val="clear" w:fill="D9E2F3"/>
          </w:tcPr>
          <w:p>
            <w:r>
              <w:rPr>
                <w:b/>
                <w:sz w:val="18"/>
              </w:rPr>
              <w:t>Publicity</w:t>
            </w:r>
          </w:p>
        </w:tc>
        <w:tc>
          <w:tcPr>
            <w:tcW w:type="dxa" w:w="1080"/>
            <w:shd w:val="clear" w:fill="D9E2F3"/>
          </w:tcPr>
          <w:p>
            <w:r>
              <w:rPr>
                <w:b/>
                <w:sz w:val="18"/>
              </w:rPr>
              <w:t>Fairness</w:t>
            </w:r>
          </w:p>
        </w:tc>
        <w:tc>
          <w:tcPr>
            <w:tcW w:type="dxa" w:w="1200"/>
            <w:shd w:val="clear" w:fill="D9E2F3"/>
          </w:tcPr>
          <w:p>
            <w:r>
              <w:rPr>
                <w:b/>
                <w:sz w:val="18"/>
              </w:rPr>
              <w:t xml:space="preserve">Non-Dom.</w:t>
            </w:r>
          </w:p>
        </w:tc>
        <w:tc>
          <w:tcPr>
            <w:tcW w:type="dxa" w:w="1200"/>
            <w:shd w:val="clear" w:fill="D9E2F3"/>
          </w:tcPr>
          <w:p>
            <w:r>
              <w:rPr>
                <w:b/>
                <w:sz w:val="18"/>
              </w:rPr>
              <w:t>Polycentric</w:t>
            </w:r>
          </w:p>
        </w:tc>
        <w:tc>
          <w:tcPr>
            <w:tcW w:type="dxa" w:w="1080"/>
            <w:shd w:val="clear" w:fill="D9E2F3"/>
          </w:tcPr>
          <w:p>
            <w:r>
              <w:rPr>
                <w:b/>
                <w:sz w:val="18"/>
              </w:rPr>
              <w:t>Knowledge</w:t>
            </w:r>
          </w:p>
        </w:tc>
        <w:tc>
          <w:tcPr>
            <w:tcW w:type="dxa" w:w="1920"/>
            <w:shd w:val="clear" w:fill="D9E2F3"/>
          </w:tcPr>
          <w:p>
            <w:r>
              <w:rPr>
                <w:b/>
                <w:sz w:val="18"/>
              </w:rPr>
              <w:t>Key evidence note</w:t>
            </w:r>
          </w:p>
        </w:tc>
        <w:trPr>
          <w:tblHeader/>
        </w:trPr>
      </w:tr>
      <w:tr>
        <w:tc>
          <w:tcPr>
            <w:tcW w:type="dxa" w:w="18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1920"/>
          </w:tcPr>
          <w:p>
            <w:r>
              <w:rPr>
                <w:sz w:val="18"/>
              </w:rPr>
              <w:t>Forum + Snapshot + on-chain vote; HHI 0.114; delegate concentration high</w:t>
            </w:r>
          </w:p>
        </w:tc>
      </w:tr>
      <w:tr>
        <w:tc>
          <w:tcPr>
            <w:tcW w:type="dxa" w:w="18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2</w:t>
            </w:r>
          </w:p>
        </w:tc>
        <w:tc>
          <w:tcPr>
            <w:tcW w:type="dxa" w:w="1080"/>
          </w:tcPr>
          <w:p>
            <w:r>
              <w:rPr>
                <w:sz w:val="18"/>
              </w:rPr>
              <w:t>2</w:t>
            </w:r>
          </w:p>
        </w:tc>
        <w:tc>
          <w:tcPr>
            <w:tcW w:type="dxa" w:w="1920"/>
          </w:tcPr>
          <w:p>
            <w:r>
              <w:rPr>
                <w:sz w:val="18"/>
              </w:rPr>
              <w:t>HIP process public; subDAO structure; HHI 0.102; HIP-147 reform</w:t>
            </w:r>
          </w:p>
        </w:tc>
      </w:tr>
      <w:tr>
        <w:tc>
          <w:tcPr>
            <w:tcW w:type="dxa" w:w="18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1920"/>
          </w:tcPr>
          <w:p>
            <w:r>
              <w:rPr>
                <w:sz w:val="18"/>
              </w:rPr>
              <w:t>Low HHI (0.040); early-stage governance; limited formal process</w:t>
            </w:r>
          </w:p>
        </w:tc>
      </w:tr>
    </w:tbl>
    <w:p>
      <w:r>
        <w:rPr>
          <w:i/>
          <w:sz w:val="18"/>
        </w:rPr>
        <w:t xml:space="preserve">Table 2. Illustrative rubric scores (0 = absent, 1 = minimal, 2 = partial, 3 = exemplary). Scores are by a single coder; full evidence sheets in Supplementary File S3.</w:t>
      </w:r>
    </w:p>
    <w:p>
      <w:pPr>
        <w:pStyle w:val="Heading2"/>
      </w:pPr>
      <w:r>
        <w:t>4.6 Outcome Variables</w:t>
      </w:r>
    </w:p>
    <w:p>
      <w:r>
        <w:rPr>
          <w:b w:val="0"/>
        </w:rPr>
        <w:t>The governance concentration analysis uses three primary metrics. We compute the Herfindahl-Hirschman Index (HHI) over the distribution of governance token holdings across unique addresses. HHI ranges from 0 (perfectly dispersed) to 1 (single holder); values above 0.25 indicate high concentration by antitrust standards. The Gini coefficient measures inequality in the same distribution, ranging from 0 (perfect equality) to 1 (maximum inequality). Top-N concentration ratios (Top-1, Top-5, Top-10 share) complement HHI by identifying specific whale addresses.</w:t>
      </w:r>
    </w:p>
    <w:p>
      <w:r>
        <w:rPr>
          <w:b w:val="0"/>
        </w:rPr>
        <w:t>The Synergy Index aggregates the philosophical lens scores (Section 3) into a composite measure of institutional design quality. For each protocol, the Synergy Index is the mean of the five lens scores (Kantian publicity, Rawlsian fairness, republican non-domination, Ostromian polycentricity, Hayekian knowledge-use), each scored 0 to 3 per the rubric in Table 1. The Index is designed to correlate with governance quality but is not a causal claim: a high Synergy Index reflects that a protocol's institutional design aligns with multiple normative traditions, not that such alignment causes good outcomes. Three additional normative dimensions discussed in the literature review (capabilities, contextual integrity, cosmopolitan inclusion) serve as future evaluation criteria but are not included in the Synergy Index due to incomplete and non-comparable measurement across protocols in the current sample.</w:t>
      </w:r>
    </w:p>
    <w:p>
      <w:r>
        <w:rPr>
          <w:b w:val="0"/>
        </w:rPr>
        <w:t>Full metric definitions, computation procedures, and Dune query specifications are provided in Supplementary File S1.</w:t>
      </w:r>
    </w:p>
    <w:p>
      <w:pPr>
        <w:pStyle w:val="Heading2"/>
      </w:pPr>
      <w:r>
        <w:t>4.7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5). The full quantitative pipeline, including panel regressions, event-study specifications, and robustness protocols, is documented in supplementary material (Supplementary File S5) for replication and extension by future researchers.</w:t>
      </w:r>
    </w:p>
    <w:p>
      <w:pPr>
        <w:pStyle w:val="Heading2"/>
      </w:pPr>
      <w:r>
        <w:t>4.8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discloses no financial positions in any protocol analyzed.</w:t>
      </w:r>
    </w:p>
    <w:p>
      <w:pPr>
        <w:pStyle w:val="Heading1"/>
      </w:pPr>
      <w:r>
        <w:t>5. Empirical Illustration: Governance Concentration</w:t>
      </w:r>
    </w:p>
    <w:p>
      <w:pPr>
        <w:pStyle w:val="Heading2"/>
      </w:pPr>
      <w:r>
        <w:t>5.1 Scope and Claims Boundary</w:t>
      </w:r>
    </w:p>
    <w:p>
      <w:r>
        <w:rPr>
          <w:b w:val="0"/>
        </w:rPr>
        <w:t>Claims boundary (Table 3): We execute one empirical analysis from the full pipeline specified in Section 4.7: a cross-sectional governance concentration comparison across 35 sampled protocols.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Section 7.4.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Evidence Grade</w:t>
            </w:r>
          </w:p>
        </w:tc>
        <w:tc>
          <w:tcPr>
            <w:tcW w:type="dxa" w:w="2880"/>
          </w:tcPr>
          <w:p>
            <w:r>
              <w:rPr>
                <w:b/>
              </w:rPr>
              <w:t>Pointer</w:t>
            </w:r>
          </w:p>
        </w:tc>
      </w:tr>
      <w:tr>
        <w:tc>
          <w:tcPr>
            <w:tcW w:type="dxa" w:w="2880"/>
          </w:tcPr>
          <w:p>
            <w:r>
              <w:t>Governance concentration is descriptively higher in DePIN than DeFi</w:t>
            </w:r>
          </w:p>
        </w:tc>
        <w:tc>
          <w:tcPr>
            <w:tcW w:type="dxa" w:w="2880"/>
          </w:tcPr>
          <w:p>
            <w:r>
              <w:t>Descriptive</w:t>
            </w:r>
          </w:p>
        </w:tc>
        <w:tc>
          <w:tcPr>
            <w:tcW w:type="dxa" w:w="2880"/>
          </w:tcPr>
          <w:p>
            <w:r>
              <w:t>This paper, Table 4</w:t>
            </w:r>
          </w:p>
        </w:tc>
      </w:tr>
      <w:tr>
        <w:tc>
          <w:tcPr>
            <w:tcW w:type="dxa" w:w="2880"/>
          </w:tcPr>
          <w:p>
            <w:r>
              <w:t>The scoring rubric translates philosophy into measurement</w:t>
            </w:r>
          </w:p>
        </w:tc>
        <w:tc>
          <w:tcPr>
            <w:tcW w:type="dxa" w:w="2880"/>
          </w:tcPr>
          <w:p>
            <w:r>
              <w:t>Methodological</w:t>
            </w:r>
          </w:p>
        </w:tc>
        <w:tc>
          <w:tcPr>
            <w:tcW w:type="dxa" w:w="2880"/>
          </w:tcPr>
          <w:p>
            <w:r>
              <w:t>This paper, Table 1 + Supplementary File S1</w:t>
            </w:r>
          </w:p>
        </w:tc>
      </w:tr>
      <w:tr>
        <w:tc>
          <w:tcPr>
            <w:tcW w:type="dxa" w:w="2880"/>
          </w:tcPr>
          <w:p>
            <w:r>
              <w:t>Five core design hypotheses follow from the normative framework</w:t>
            </w:r>
          </w:p>
        </w:tc>
        <w:tc>
          <w:tcPr>
            <w:tcW w:type="dxa" w:w="2880"/>
          </w:tcPr>
          <w:p>
            <w:r>
              <w:t>Theoretical</w:t>
            </w:r>
          </w:p>
        </w:tc>
        <w:tc>
          <w:tcPr>
            <w:tcW w:type="dxa" w:w="2880"/>
          </w:tcPr>
          <w:p>
            <w:r>
              <w:t>This paper, Section 6.1</w:t>
            </w:r>
          </w:p>
        </w:tc>
      </w:tr>
    </w:tbl>
    <w:p>
      <w:r>
        <w:rPr>
          <w:b w:val="0"/>
          <w:i/>
        </w:rPr>
        <w:t>Table 3. Claims boundary: what this paper does and does not claim.</w:t>
      </w:r>
    </w:p>
    <w:p>
      <w:pPr>
        <w:pStyle w:val="Heading2"/>
      </w:pPr>
      <w:r>
        <w:t>5.2 Cross-Protocol Concentration</w:t>
      </w:r>
    </w:p>
    <w:p>
      <w:r>
        <w:rPr>
          <w:b w:val="0"/>
        </w:rPr>
        <w:t>Table 4 reports governance concentration for 35 protocols, computed from Dune Analytics multi-chain queries and Helius DAS API token holder distributions (March 2026 snapshot). We report address-holding concentration after excluding 35 protocol-controlled addresses across 19 protocols (see Section 5.1a). Solana-native tokens were collected via Helius getTokenAccounts with page-based pagination to correct systematic undercounting in Dune's indexed tables.</w:t>
      </w:r>
    </w:p>
    <w:tbl>
      <w:tblPr>
        <w:tblStyle w:val="TableGrid"/>
        <w:tblW w:type="dxa" w:w="8640"/>
        <w:tblLook w:firstColumn="1" w:firstRow="1" w:lastColumn="0" w:lastRow="0" w:noHBand="0" w:noVBand="1" w:val="04A0"/>
      </w:tblPr>
      <w:tblGrid>
        <w:gridCol w:w="1560"/>
        <w:gridCol w:w="1260"/>
        <w:gridCol w:w="1080"/>
        <w:gridCol w:w="900"/>
        <w:gridCol w:w="960"/>
        <w:gridCol w:w="960"/>
        <w:gridCol w:w="840"/>
        <w:gridCol w:w="1080"/>
      </w:tblGrid>
      <w:tr>
        <w:tc>
          <w:tcPr>
            <w:tcW w:type="dxa" w:w="1560"/>
          </w:tcPr>
          <w:p>
            <w:r>
              <w:t>Protocol</w:t>
            </w:r>
          </w:p>
        </w:tc>
        <w:tc>
          <w:tcPr>
            <w:tcW w:type="dxa" w:w="1260"/>
          </w:tcPr>
          <w:p>
            <w:r>
              <w:t>Token</w:t>
            </w:r>
          </w:p>
        </w:tc>
        <w:tc>
          <w:tcPr>
            <w:tcW w:type="dxa" w:w="1080"/>
          </w:tcPr>
          <w:p>
            <w:r>
              <w:t>Category</w:t>
            </w:r>
          </w:p>
        </w:tc>
        <w:tc>
          <w:tcPr>
            <w:tcW w:type="dxa" w:w="900"/>
          </w:tcPr>
          <w:p>
            <w:r>
              <w:t>HHI</w:t>
            </w:r>
          </w:p>
        </w:tc>
        <w:tc>
          <w:tcPr>
            <w:tcW w:type="dxa" w:w="960"/>
          </w:tcPr>
          <w:p>
            <w:r>
              <w:t>Gini</w:t>
            </w:r>
          </w:p>
        </w:tc>
        <w:tc>
          <w:tcPr>
            <w:tcW w:type="dxa" w:w="960"/>
          </w:tcPr>
          <w:p>
            <w:r>
              <w:t>Top-1%</w:t>
            </w:r>
          </w:p>
        </w:tc>
        <w:tc>
          <w:tcPr>
            <w:tcW w:type="dxa" w:w="840"/>
          </w:tcPr>
          <w:p>
            <w:r>
              <w:t>Top-10%</w:t>
            </w:r>
          </w:p>
        </w:tc>
        <w:tc>
          <w:tcPr>
            <w:tcW w:type="dxa" w:w="1080"/>
          </w:tcPr>
          <w:p>
            <w:r>
              <w:t>N</w:t>
            </w:r>
          </w:p>
        </w:tc>
        <w:trPr>
          <w:tblHeader/>
        </w:trPr>
      </w:tr>
      <w:tr>
        <w:tc>
          <w:tcPr>
            <w:tcW w:type="dxa" w:w="1560"/>
          </w:tcPr>
          <w:p>
            <w:r>
              <w:rPr>
                <w:sz w:val="16"/>
              </w:rPr>
              <w:t>Morpheus AI</w:t>
            </w:r>
          </w:p>
        </w:tc>
        <w:tc>
          <w:tcPr>
            <w:tcW w:type="dxa" w:w="1260"/>
          </w:tcPr>
          <w:p>
            <w:r>
              <w:rPr>
                <w:sz w:val="16"/>
              </w:rPr>
              <w:t>MOR</w:t>
            </w:r>
          </w:p>
        </w:tc>
        <w:tc>
          <w:tcPr>
            <w:tcW w:type="dxa" w:w="1080"/>
          </w:tcPr>
          <w:p>
            <w:r>
              <w:rPr>
                <w:sz w:val="16"/>
              </w:rPr>
              <w:t>DePIN</w:t>
            </w:r>
          </w:p>
        </w:tc>
        <w:tc>
          <w:tcPr>
            <w:tcW w:type="dxa" w:w="900"/>
          </w:tcPr>
          <w:p>
            <w:r>
              <w:rPr>
                <w:sz w:val="16"/>
              </w:rPr>
              <w:t>0.0133</w:t>
            </w:r>
          </w:p>
        </w:tc>
        <w:tc>
          <w:tcPr>
            <w:tcW w:type="dxa" w:w="960"/>
          </w:tcPr>
          <w:p>
            <w:r>
              <w:rPr>
                <w:sz w:val="16"/>
              </w:rPr>
              <w:t>0.67</w:t>
            </w:r>
          </w:p>
        </w:tc>
        <w:tc>
          <w:tcPr>
            <w:tcW w:type="dxa" w:w="960"/>
          </w:tcPr>
          <w:p>
            <w:r>
              <w:rPr>
                <w:sz w:val="16"/>
              </w:rPr>
              <w:t>7.3%</w:t>
            </w:r>
          </w:p>
        </w:tc>
        <w:tc>
          <w:tcPr>
            <w:tcW w:type="dxa" w:w="840"/>
          </w:tcPr>
          <w:p>
            <w:r>
              <w:rPr>
                <w:sz w:val="16"/>
              </w:rPr>
              <w:t>29.3%</w:t>
            </w:r>
          </w:p>
        </w:tc>
        <w:tc>
          <w:tcPr>
            <w:tcW w:type="dxa" w:w="1080"/>
          </w:tcPr>
          <w:p>
            <w:r>
              <w:rPr>
                <w:sz w:val="16"/>
              </w:rPr>
              <w:t>96</w:t>
            </w:r>
          </w:p>
        </w:tc>
      </w:tr>
      <w:tr>
        <w:tc>
          <w:tcPr>
            <w:tcW w:type="dxa" w:w="1560"/>
          </w:tcPr>
          <w:p>
            <w:r>
              <w:rPr>
                <w:sz w:val="16"/>
              </w:rPr>
              <w:t>Render</w:t>
            </w:r>
          </w:p>
        </w:tc>
        <w:tc>
          <w:tcPr>
            <w:tcW w:type="dxa" w:w="1260"/>
          </w:tcPr>
          <w:p>
            <w:r>
              <w:rPr>
                <w:sz w:val="16"/>
              </w:rPr>
              <w:t>RENDER</w:t>
            </w:r>
          </w:p>
        </w:tc>
        <w:tc>
          <w:tcPr>
            <w:tcW w:type="dxa" w:w="1080"/>
          </w:tcPr>
          <w:p>
            <w:r>
              <w:rPr>
                <w:sz w:val="16"/>
              </w:rPr>
              <w:t>DePIN</w:t>
            </w:r>
          </w:p>
        </w:tc>
        <w:tc>
          <w:tcPr>
            <w:tcW w:type="dxa" w:w="900"/>
          </w:tcPr>
          <w:p>
            <w:r>
              <w:rPr>
                <w:sz w:val="16"/>
              </w:rPr>
              <w:t>0.0323</w:t>
            </w:r>
          </w:p>
        </w:tc>
        <w:tc>
          <w:tcPr>
            <w:tcW w:type="dxa" w:w="960"/>
          </w:tcPr>
          <w:p>
            <w:r>
              <w:rPr>
                <w:sz w:val="16"/>
              </w:rPr>
              <w:t>0.89</w:t>
            </w:r>
          </w:p>
        </w:tc>
        <w:tc>
          <w:tcPr>
            <w:tcW w:type="dxa" w:w="960"/>
          </w:tcPr>
          <w:p>
            <w:r>
              <w:rPr>
                <w:sz w:val="16"/>
              </w:rPr>
              <w:t>10.4%</w:t>
            </w:r>
          </w:p>
        </w:tc>
        <w:tc>
          <w:tcPr>
            <w:tcW w:type="dxa" w:w="840"/>
          </w:tcPr>
          <w:p>
            <w:r>
              <w:rPr>
                <w:sz w:val="16"/>
              </w:rPr>
              <w:t>47.0%</w:t>
            </w:r>
          </w:p>
        </w:tc>
        <w:tc>
          <w:tcPr>
            <w:tcW w:type="dxa" w:w="1080"/>
          </w:tcPr>
          <w:p>
            <w:r>
              <w:rPr>
                <w:sz w:val="16"/>
              </w:rPr>
              <w:t>1000</w:t>
            </w:r>
          </w:p>
        </w:tc>
      </w:tr>
      <w:tr>
        <w:tc>
          <w:tcPr>
            <w:tcW w:type="dxa" w:w="1560"/>
          </w:tcPr>
          <w:p>
            <w:r>
              <w:rPr>
                <w:sz w:val="16"/>
              </w:rPr>
              <w:t>Grass</w:t>
            </w:r>
          </w:p>
        </w:tc>
        <w:tc>
          <w:tcPr>
            <w:tcW w:type="dxa" w:w="1260"/>
          </w:tcPr>
          <w:p>
            <w:r>
              <w:rPr>
                <w:sz w:val="16"/>
              </w:rPr>
              <w:t>GRASS</w:t>
            </w:r>
          </w:p>
        </w:tc>
        <w:tc>
          <w:tcPr>
            <w:tcW w:type="dxa" w:w="1080"/>
          </w:tcPr>
          <w:p>
            <w:r>
              <w:rPr>
                <w:sz w:val="16"/>
              </w:rPr>
              <w:t>DePIN</w:t>
            </w:r>
          </w:p>
        </w:tc>
        <w:tc>
          <w:tcPr>
            <w:tcW w:type="dxa" w:w="900"/>
          </w:tcPr>
          <w:p>
            <w:r>
              <w:rPr>
                <w:sz w:val="16"/>
              </w:rPr>
              <w:t>0.0352</w:t>
            </w:r>
          </w:p>
        </w:tc>
        <w:tc>
          <w:tcPr>
            <w:tcW w:type="dxa" w:w="960"/>
          </w:tcPr>
          <w:p>
            <w:r>
              <w:rPr>
                <w:sz w:val="16"/>
              </w:rPr>
              <w:t>0.76</w:t>
            </w:r>
          </w:p>
        </w:tc>
        <w:tc>
          <w:tcPr>
            <w:tcW w:type="dxa" w:w="960"/>
          </w:tcPr>
          <w:p>
            <w:r>
              <w:rPr>
                <w:sz w:val="16"/>
              </w:rPr>
              <w:t>16.0%</w:t>
            </w:r>
          </w:p>
        </w:tc>
        <w:tc>
          <w:tcPr>
            <w:tcW w:type="dxa" w:w="840"/>
          </w:tcPr>
          <w:p>
            <w:r>
              <w:rPr>
                <w:sz w:val="16"/>
              </w:rPr>
              <w:t>38.2%</w:t>
            </w:r>
          </w:p>
        </w:tc>
        <w:tc>
          <w:tcPr>
            <w:tcW w:type="dxa" w:w="1080"/>
          </w:tcPr>
          <w:p>
            <w:r>
              <w:rPr>
                <w:sz w:val="16"/>
              </w:rPr>
              <w:t>1000</w:t>
            </w:r>
          </w:p>
        </w:tc>
      </w:tr>
      <w:tr>
        <w:tc>
          <w:tcPr>
            <w:tcW w:type="dxa" w:w="1560"/>
          </w:tcPr>
          <w:p>
            <w:r>
              <w:rPr>
                <w:sz w:val="16"/>
              </w:rPr>
              <w:t>DIMO</w:t>
            </w:r>
          </w:p>
        </w:tc>
        <w:tc>
          <w:tcPr>
            <w:tcW w:type="dxa" w:w="1260"/>
          </w:tcPr>
          <w:p>
            <w:r>
              <w:rPr>
                <w:sz w:val="16"/>
              </w:rPr>
              <w:t>DIMO</w:t>
            </w:r>
          </w:p>
        </w:tc>
        <w:tc>
          <w:tcPr>
            <w:tcW w:type="dxa" w:w="1080"/>
          </w:tcPr>
          <w:p>
            <w:r>
              <w:rPr>
                <w:sz w:val="16"/>
              </w:rPr>
              <w:t>DePIN</w:t>
            </w:r>
          </w:p>
        </w:tc>
        <w:tc>
          <w:tcPr>
            <w:tcW w:type="dxa" w:w="900"/>
          </w:tcPr>
          <w:p>
            <w:r>
              <w:rPr>
                <w:sz w:val="16"/>
              </w:rPr>
              <w:t>0.0379</w:t>
            </w:r>
          </w:p>
        </w:tc>
        <w:tc>
          <w:tcPr>
            <w:tcW w:type="dxa" w:w="960"/>
          </w:tcPr>
          <w:p>
            <w:r>
              <w:rPr>
                <w:sz w:val="16"/>
              </w:rPr>
              <w:t>0.87</w:t>
            </w:r>
          </w:p>
        </w:tc>
        <w:tc>
          <w:tcPr>
            <w:tcW w:type="dxa" w:w="960"/>
          </w:tcPr>
          <w:p>
            <w:r>
              <w:rPr>
                <w:sz w:val="16"/>
              </w:rPr>
              <w:t>13.9%</w:t>
            </w:r>
          </w:p>
        </w:tc>
        <w:tc>
          <w:tcPr>
            <w:tcW w:type="dxa" w:w="840"/>
          </w:tcPr>
          <w:p>
            <w:r>
              <w:rPr>
                <w:sz w:val="16"/>
              </w:rPr>
              <w:t>45.0%</w:t>
            </w:r>
          </w:p>
        </w:tc>
        <w:tc>
          <w:tcPr>
            <w:tcW w:type="dxa" w:w="1080"/>
          </w:tcPr>
          <w:p>
            <w:r>
              <w:rPr>
                <w:sz w:val="16"/>
              </w:rPr>
              <w:t>999</w:t>
            </w:r>
          </w:p>
        </w:tc>
      </w:tr>
      <w:tr>
        <w:tc>
          <w:tcPr>
            <w:tcW w:type="dxa" w:w="1560"/>
          </w:tcPr>
          <w:p>
            <w:r>
              <w:rPr>
                <w:sz w:val="16"/>
              </w:rPr>
              <w:t>Anyone Protocol</w:t>
            </w:r>
          </w:p>
        </w:tc>
        <w:tc>
          <w:tcPr>
            <w:tcW w:type="dxa" w:w="1260"/>
          </w:tcPr>
          <w:p>
            <w:r>
              <w:rPr>
                <w:sz w:val="16"/>
              </w:rPr>
              <w:t>ANYONE</w:t>
            </w:r>
          </w:p>
        </w:tc>
        <w:tc>
          <w:tcPr>
            <w:tcW w:type="dxa" w:w="1080"/>
          </w:tcPr>
          <w:p>
            <w:r>
              <w:rPr>
                <w:sz w:val="16"/>
              </w:rPr>
              <w:t>DePIN</w:t>
            </w:r>
          </w:p>
        </w:tc>
        <w:tc>
          <w:tcPr>
            <w:tcW w:type="dxa" w:w="900"/>
          </w:tcPr>
          <w:p>
            <w:r>
              <w:rPr>
                <w:sz w:val="16"/>
              </w:rPr>
              <w:t>0.0404</w:t>
            </w:r>
          </w:p>
        </w:tc>
        <w:tc>
          <w:tcPr>
            <w:tcW w:type="dxa" w:w="960"/>
          </w:tcPr>
          <w:p>
            <w:r>
              <w:rPr>
                <w:sz w:val="16"/>
              </w:rPr>
              <w:t>0.79</w:t>
            </w:r>
          </w:p>
        </w:tc>
        <w:tc>
          <w:tcPr>
            <w:tcW w:type="dxa" w:w="960"/>
          </w:tcPr>
          <w:p>
            <w:r>
              <w:rPr>
                <w:sz w:val="16"/>
              </w:rPr>
              <w:t>13.3%</w:t>
            </w:r>
          </w:p>
        </w:tc>
        <w:tc>
          <w:tcPr>
            <w:tcW w:type="dxa" w:w="840"/>
          </w:tcPr>
          <w:p>
            <w:r>
              <w:rPr>
                <w:sz w:val="16"/>
              </w:rPr>
              <w:t>47.5%</w:t>
            </w:r>
          </w:p>
        </w:tc>
        <w:tc>
          <w:tcPr>
            <w:tcW w:type="dxa" w:w="1080"/>
          </w:tcPr>
          <w:p>
            <w:r>
              <w:rPr>
                <w:sz w:val="16"/>
              </w:rPr>
              <w:t>1000</w:t>
            </w:r>
          </w:p>
        </w:tc>
      </w:tr>
      <w:tr>
        <w:tc>
          <w:tcPr>
            <w:tcW w:type="dxa" w:w="1560"/>
          </w:tcPr>
          <w:p>
            <w:r>
              <w:rPr>
                <w:sz w:val="16"/>
              </w:rPr>
              <w:t>Filecoin</w:t>
            </w:r>
          </w:p>
        </w:tc>
        <w:tc>
          <w:tcPr>
            <w:tcW w:type="dxa" w:w="1260"/>
          </w:tcPr>
          <w:p>
            <w:r>
              <w:rPr>
                <w:sz w:val="16"/>
              </w:rPr>
              <w:t>FIL</w:t>
            </w:r>
          </w:p>
        </w:tc>
        <w:tc>
          <w:tcPr>
            <w:tcW w:type="dxa" w:w="1080"/>
          </w:tcPr>
          <w:p>
            <w:r>
              <w:rPr>
                <w:sz w:val="16"/>
              </w:rPr>
              <w:t>DePIN</w:t>
            </w:r>
          </w:p>
        </w:tc>
        <w:tc>
          <w:tcPr>
            <w:tcW w:type="dxa" w:w="900"/>
          </w:tcPr>
          <w:p>
            <w:r>
              <w:rPr>
                <w:sz w:val="16"/>
              </w:rPr>
              <w:t>0.0473</w:t>
            </w:r>
          </w:p>
        </w:tc>
        <w:tc>
          <w:tcPr>
            <w:tcW w:type="dxa" w:w="960"/>
          </w:tcPr>
          <w:p>
            <w:r>
              <w:rPr>
                <w:sz w:val="16"/>
              </w:rPr>
              <w:t>0.79</w:t>
            </w:r>
          </w:p>
        </w:tc>
        <w:tc>
          <w:tcPr>
            <w:tcW w:type="dxa" w:w="960"/>
          </w:tcPr>
          <w:p>
            <w:r>
              <w:rPr>
                <w:sz w:val="16"/>
              </w:rPr>
              <w:t>18.0%</w:t>
            </w:r>
          </w:p>
        </w:tc>
        <w:tc>
          <w:tcPr>
            <w:tcW w:type="dxa" w:w="840"/>
          </w:tcPr>
          <w:p>
            <w:r>
              <w:rPr>
                <w:sz w:val="16"/>
              </w:rPr>
              <w:t>45.6%</w:t>
            </w:r>
          </w:p>
        </w:tc>
        <w:tc>
          <w:tcPr>
            <w:tcW w:type="dxa" w:w="1080"/>
          </w:tcPr>
          <w:p>
            <w:r>
              <w:rPr>
                <w:sz w:val="16"/>
              </w:rPr>
              <w:t>1000</w:t>
            </w:r>
          </w:p>
        </w:tc>
      </w:tr>
      <w:tr>
        <w:tc>
          <w:tcPr>
            <w:tcW w:type="dxa" w:w="1560"/>
          </w:tcPr>
          <w:p>
            <w:r>
              <w:rPr>
                <w:sz w:val="16"/>
              </w:rPr>
              <w:t>Helium</w:t>
            </w:r>
          </w:p>
        </w:tc>
        <w:tc>
          <w:tcPr>
            <w:tcW w:type="dxa" w:w="1260"/>
          </w:tcPr>
          <w:p>
            <w:r>
              <w:rPr>
                <w:sz w:val="16"/>
              </w:rPr>
              <w:t>HNT</w:t>
            </w:r>
          </w:p>
        </w:tc>
        <w:tc>
          <w:tcPr>
            <w:tcW w:type="dxa" w:w="1080"/>
          </w:tcPr>
          <w:p>
            <w:r>
              <w:rPr>
                <w:sz w:val="16"/>
              </w:rPr>
              <w:t>DePIN</w:t>
            </w:r>
          </w:p>
        </w:tc>
        <w:tc>
          <w:tcPr>
            <w:tcW w:type="dxa" w:w="900"/>
          </w:tcPr>
          <w:p>
            <w:r>
              <w:rPr>
                <w:sz w:val="16"/>
              </w:rPr>
              <w:t>0.1024</w:t>
            </w:r>
          </w:p>
        </w:tc>
        <w:tc>
          <w:tcPr>
            <w:tcW w:type="dxa" w:w="960"/>
          </w:tcPr>
          <w:p>
            <w:r>
              <w:rPr>
                <w:sz w:val="16"/>
              </w:rPr>
              <w:t>0.98</w:t>
            </w:r>
          </w:p>
        </w:tc>
        <w:tc>
          <w:tcPr>
            <w:tcW w:type="dxa" w:w="960"/>
          </w:tcPr>
          <w:p>
            <w:r>
              <w:rPr>
                <w:sz w:val="16"/>
              </w:rPr>
              <w:t>24.5%</w:t>
            </w:r>
          </w:p>
        </w:tc>
        <w:tc>
          <w:tcPr>
            <w:tcW w:type="dxa" w:w="840"/>
          </w:tcPr>
          <w:p>
            <w:r>
              <w:rPr>
                <w:sz w:val="16"/>
              </w:rPr>
              <w:t>79.4%</w:t>
            </w:r>
          </w:p>
        </w:tc>
        <w:tc>
          <w:tcPr>
            <w:tcW w:type="dxa" w:w="1080"/>
          </w:tcPr>
          <w:p>
            <w:r>
              <w:rPr>
                <w:sz w:val="16"/>
              </w:rPr>
              <w:t>1000</w:t>
            </w:r>
          </w:p>
        </w:tc>
      </w:tr>
      <w:tr>
        <w:tc>
          <w:tcPr>
            <w:tcW w:type="dxa" w:w="1560"/>
          </w:tcPr>
          <w:p>
            <w:r>
              <w:rPr>
                <w:sz w:val="16"/>
              </w:rPr>
              <w:t>IoTeX</w:t>
            </w:r>
          </w:p>
        </w:tc>
        <w:tc>
          <w:tcPr>
            <w:tcW w:type="dxa" w:w="1260"/>
          </w:tcPr>
          <w:p>
            <w:r>
              <w:rPr>
                <w:sz w:val="16"/>
              </w:rPr>
              <w:t>IOTX</w:t>
            </w:r>
          </w:p>
        </w:tc>
        <w:tc>
          <w:tcPr>
            <w:tcW w:type="dxa" w:w="1080"/>
          </w:tcPr>
          <w:p>
            <w:r>
              <w:rPr>
                <w:sz w:val="16"/>
              </w:rPr>
              <w:t>DePIN</w:t>
            </w:r>
          </w:p>
        </w:tc>
        <w:tc>
          <w:tcPr>
            <w:tcW w:type="dxa" w:w="900"/>
          </w:tcPr>
          <w:p>
            <w:r>
              <w:rPr>
                <w:sz w:val="16"/>
              </w:rPr>
              <w:t>0.1065</w:t>
            </w:r>
          </w:p>
        </w:tc>
        <w:tc>
          <w:tcPr>
            <w:tcW w:type="dxa" w:w="960"/>
          </w:tcPr>
          <w:p>
            <w:r>
              <w:rPr>
                <w:sz w:val="16"/>
              </w:rPr>
              <w:t>0.99</w:t>
            </w:r>
          </w:p>
        </w:tc>
        <w:tc>
          <w:tcPr>
            <w:tcW w:type="dxa" w:w="960"/>
          </w:tcPr>
          <w:p>
            <w:r>
              <w:rPr>
                <w:sz w:val="16"/>
              </w:rPr>
              <w:t>19.8%</w:t>
            </w:r>
          </w:p>
        </w:tc>
        <w:tc>
          <w:tcPr>
            <w:tcW w:type="dxa" w:w="840"/>
          </w:tcPr>
          <w:p>
            <w:r>
              <w:rPr>
                <w:sz w:val="16"/>
              </w:rPr>
              <w:t>90.6%</w:t>
            </w:r>
          </w:p>
        </w:tc>
        <w:tc>
          <w:tcPr>
            <w:tcW w:type="dxa" w:w="1080"/>
          </w:tcPr>
          <w:p>
            <w:r>
              <w:rPr>
                <w:sz w:val="16"/>
              </w:rPr>
              <w:t>1000</w:t>
            </w:r>
          </w:p>
        </w:tc>
      </w:tr>
      <w:tr>
        <w:tc>
          <w:tcPr>
            <w:tcW w:type="dxa" w:w="1560"/>
          </w:tcPr>
          <w:p>
            <w:r>
              <w:rPr>
                <w:sz w:val="16"/>
              </w:rPr>
              <w:t>GEODNET</w:t>
            </w:r>
          </w:p>
        </w:tc>
        <w:tc>
          <w:tcPr>
            <w:tcW w:type="dxa" w:w="1260"/>
          </w:tcPr>
          <w:p>
            <w:r>
              <w:rPr>
                <w:sz w:val="16"/>
              </w:rPr>
              <w:t>GEOD</w:t>
            </w:r>
          </w:p>
        </w:tc>
        <w:tc>
          <w:tcPr>
            <w:tcW w:type="dxa" w:w="1080"/>
          </w:tcPr>
          <w:p>
            <w:r>
              <w:rPr>
                <w:sz w:val="16"/>
              </w:rPr>
              <w:t>DePIN</w:t>
            </w:r>
          </w:p>
        </w:tc>
        <w:tc>
          <w:tcPr>
            <w:tcW w:type="dxa" w:w="900"/>
          </w:tcPr>
          <w:p>
            <w:r>
              <w:rPr>
                <w:sz w:val="16"/>
              </w:rPr>
              <w:t>0.1325</w:t>
            </w:r>
          </w:p>
        </w:tc>
        <w:tc>
          <w:tcPr>
            <w:tcW w:type="dxa" w:w="960"/>
          </w:tcPr>
          <w:p>
            <w:r>
              <w:rPr>
                <w:sz w:val="16"/>
              </w:rPr>
              <w:t>0.96</w:t>
            </w:r>
          </w:p>
        </w:tc>
        <w:tc>
          <w:tcPr>
            <w:tcW w:type="dxa" w:w="960"/>
          </w:tcPr>
          <w:p>
            <w:r>
              <w:rPr>
                <w:sz w:val="16"/>
              </w:rPr>
              <w:t>24.9%</w:t>
            </w:r>
          </w:p>
        </w:tc>
        <w:tc>
          <w:tcPr>
            <w:tcW w:type="dxa" w:w="840"/>
          </w:tcPr>
          <w:p>
            <w:r>
              <w:rPr>
                <w:sz w:val="16"/>
              </w:rPr>
              <w:t>81.8%</w:t>
            </w:r>
          </w:p>
        </w:tc>
        <w:tc>
          <w:tcPr>
            <w:tcW w:type="dxa" w:w="1080"/>
          </w:tcPr>
          <w:p>
            <w:r>
              <w:rPr>
                <w:sz w:val="16"/>
              </w:rPr>
              <w:t>1000</w:t>
            </w:r>
          </w:p>
        </w:tc>
      </w:tr>
      <w:tr>
        <w:tc>
          <w:tcPr>
            <w:tcW w:type="dxa" w:w="1560"/>
          </w:tcPr>
          <w:p>
            <w:r>
              <w:rPr>
                <w:sz w:val="16"/>
              </w:rPr>
              <w:t>WeatherXM</w:t>
            </w:r>
          </w:p>
        </w:tc>
        <w:tc>
          <w:tcPr>
            <w:tcW w:type="dxa" w:w="1260"/>
          </w:tcPr>
          <w:p>
            <w:r>
              <w:rPr>
                <w:sz w:val="16"/>
              </w:rPr>
              <w:t>WXM</w:t>
            </w:r>
          </w:p>
        </w:tc>
        <w:tc>
          <w:tcPr>
            <w:tcW w:type="dxa" w:w="1080"/>
          </w:tcPr>
          <w:p>
            <w:r>
              <w:rPr>
                <w:sz w:val="16"/>
              </w:rPr>
              <w:t>DePIN</w:t>
            </w:r>
          </w:p>
        </w:tc>
        <w:tc>
          <w:tcPr>
            <w:tcW w:type="dxa" w:w="900"/>
          </w:tcPr>
          <w:p>
            <w:r>
              <w:rPr>
                <w:sz w:val="16"/>
              </w:rPr>
              <w:t>0.1479</w:t>
            </w:r>
          </w:p>
        </w:tc>
        <w:tc>
          <w:tcPr>
            <w:tcW w:type="dxa" w:w="960"/>
          </w:tcPr>
          <w:p>
            <w:r>
              <w:rPr>
                <w:sz w:val="16"/>
              </w:rPr>
              <w:t>0.89</w:t>
            </w:r>
          </w:p>
        </w:tc>
        <w:tc>
          <w:tcPr>
            <w:tcW w:type="dxa" w:w="960"/>
          </w:tcPr>
          <w:p>
            <w:r>
              <w:rPr>
                <w:sz w:val="16"/>
              </w:rPr>
              <w:t>35.0%</w:t>
            </w:r>
          </w:p>
        </w:tc>
        <w:tc>
          <w:tcPr>
            <w:tcW w:type="dxa" w:w="840"/>
          </w:tcPr>
          <w:p>
            <w:r>
              <w:rPr>
                <w:sz w:val="16"/>
              </w:rPr>
              <w:t>77.9%</w:t>
            </w:r>
          </w:p>
        </w:tc>
        <w:tc>
          <w:tcPr>
            <w:tcW w:type="dxa" w:w="1080"/>
          </w:tcPr>
          <w:p>
            <w:r>
              <w:rPr>
                <w:sz w:val="16"/>
              </w:rPr>
              <w:t>999</w:t>
            </w:r>
          </w:p>
        </w:tc>
      </w:tr>
      <w:tr>
        <w:tc>
          <w:tcPr>
            <w:tcW w:type="dxa" w:w="1560"/>
          </w:tcPr>
          <w:p>
            <w:r>
              <w:rPr>
                <w:sz w:val="16"/>
              </w:rPr>
              <w:t>Pokt Network</w:t>
            </w:r>
          </w:p>
        </w:tc>
        <w:tc>
          <w:tcPr>
            <w:tcW w:type="dxa" w:w="1260"/>
          </w:tcPr>
          <w:p>
            <w:r>
              <w:rPr>
                <w:sz w:val="16"/>
              </w:rPr>
              <w:t>POKT</w:t>
            </w:r>
          </w:p>
        </w:tc>
        <w:tc>
          <w:tcPr>
            <w:tcW w:type="dxa" w:w="1080"/>
          </w:tcPr>
          <w:p>
            <w:r>
              <w:rPr>
                <w:sz w:val="16"/>
              </w:rPr>
              <w:t>DePIN</w:t>
            </w:r>
          </w:p>
        </w:tc>
        <w:tc>
          <w:tcPr>
            <w:tcW w:type="dxa" w:w="900"/>
          </w:tcPr>
          <w:p>
            <w:r>
              <w:rPr>
                <w:sz w:val="16"/>
              </w:rPr>
              <w:t>0.1592</w:t>
            </w:r>
          </w:p>
        </w:tc>
        <w:tc>
          <w:tcPr>
            <w:tcW w:type="dxa" w:w="960"/>
          </w:tcPr>
          <w:p>
            <w:r>
              <w:rPr>
                <w:sz w:val="16"/>
              </w:rPr>
              <w:t>0.96</w:t>
            </w:r>
          </w:p>
        </w:tc>
        <w:tc>
          <w:tcPr>
            <w:tcW w:type="dxa" w:w="960"/>
          </w:tcPr>
          <w:p>
            <w:r>
              <w:rPr>
                <w:sz w:val="16"/>
              </w:rPr>
              <w:t>34.8%</w:t>
            </w:r>
          </w:p>
        </w:tc>
        <w:tc>
          <w:tcPr>
            <w:tcW w:type="dxa" w:w="840"/>
          </w:tcPr>
          <w:p>
            <w:r>
              <w:rPr>
                <w:sz w:val="16"/>
              </w:rPr>
              <w:t>77.2%</w:t>
            </w:r>
          </w:p>
        </w:tc>
        <w:tc>
          <w:tcPr>
            <w:tcW w:type="dxa" w:w="1080"/>
          </w:tcPr>
          <w:p>
            <w:r>
              <w:rPr>
                <w:sz w:val="16"/>
              </w:rPr>
              <w:t>1000</w:t>
            </w:r>
          </w:p>
        </w:tc>
      </w:tr>
      <w:tr>
        <w:tc>
          <w:tcPr>
            <w:tcW w:type="dxa" w:w="1560"/>
          </w:tcPr>
          <w:p>
            <w:r>
              <w:rPr>
                <w:sz w:val="16"/>
              </w:rPr>
              <w:t>Livepeer</w:t>
            </w:r>
          </w:p>
        </w:tc>
        <w:tc>
          <w:tcPr>
            <w:tcW w:type="dxa" w:w="1260"/>
          </w:tcPr>
          <w:p>
            <w:r>
              <w:rPr>
                <w:sz w:val="16"/>
              </w:rPr>
              <w:t>LPT</w:t>
            </w:r>
          </w:p>
        </w:tc>
        <w:tc>
          <w:tcPr>
            <w:tcW w:type="dxa" w:w="1080"/>
          </w:tcPr>
          <w:p>
            <w:r>
              <w:rPr>
                <w:sz w:val="16"/>
              </w:rPr>
              <w:t>DePIN</w:t>
            </w:r>
          </w:p>
        </w:tc>
        <w:tc>
          <w:tcPr>
            <w:tcW w:type="dxa" w:w="900"/>
          </w:tcPr>
          <w:p>
            <w:r>
              <w:rPr>
                <w:sz w:val="16"/>
              </w:rPr>
              <w:t>0.1989</w:t>
            </w:r>
          </w:p>
        </w:tc>
        <w:tc>
          <w:tcPr>
            <w:tcW w:type="dxa" w:w="960"/>
          </w:tcPr>
          <w:p>
            <w:r>
              <w:rPr>
                <w:sz w:val="16"/>
              </w:rPr>
              <w:t>0.94</w:t>
            </w:r>
          </w:p>
        </w:tc>
        <w:tc>
          <w:tcPr>
            <w:tcW w:type="dxa" w:w="960"/>
          </w:tcPr>
          <w:p>
            <w:r>
              <w:rPr>
                <w:sz w:val="16"/>
              </w:rPr>
              <w:t>42.9%</w:t>
            </w:r>
          </w:p>
        </w:tc>
        <w:tc>
          <w:tcPr>
            <w:tcW w:type="dxa" w:w="840"/>
          </w:tcPr>
          <w:p>
            <w:r>
              <w:rPr>
                <w:sz w:val="16"/>
              </w:rPr>
              <w:t>73.7%</w:t>
            </w:r>
          </w:p>
        </w:tc>
        <w:tc>
          <w:tcPr>
            <w:tcW w:type="dxa" w:w="1080"/>
          </w:tcPr>
          <w:p>
            <w:r>
              <w:rPr>
                <w:sz w:val="16"/>
              </w:rPr>
              <w:t>998</w:t>
            </w:r>
          </w:p>
        </w:tc>
      </w:tr>
      <w:tr>
        <w:tc>
          <w:tcPr>
            <w:tcW w:type="dxa" w:w="1560"/>
          </w:tcPr>
          <w:p>
            <w:r>
              <w:rPr>
                <w:sz w:val="16"/>
              </w:rPr>
              <w:t>Lido</w:t>
            </w:r>
          </w:p>
        </w:tc>
        <w:tc>
          <w:tcPr>
            <w:tcW w:type="dxa" w:w="1260"/>
          </w:tcPr>
          <w:p>
            <w:r>
              <w:rPr>
                <w:sz w:val="16"/>
              </w:rPr>
              <w:t>LDO</w:t>
            </w:r>
          </w:p>
        </w:tc>
        <w:tc>
          <w:tcPr>
            <w:tcW w:type="dxa" w:w="1080"/>
          </w:tcPr>
          <w:p>
            <w:r>
              <w:rPr>
                <w:sz w:val="16"/>
              </w:rPr>
              <w:t>DeFi</w:t>
            </w:r>
          </w:p>
        </w:tc>
        <w:tc>
          <w:tcPr>
            <w:tcW w:type="dxa" w:w="900"/>
          </w:tcPr>
          <w:p>
            <w:r>
              <w:rPr>
                <w:sz w:val="16"/>
              </w:rPr>
              <w:t>0.0185</w:t>
            </w:r>
          </w:p>
        </w:tc>
        <w:tc>
          <w:tcPr>
            <w:tcW w:type="dxa" w:w="960"/>
          </w:tcPr>
          <w:p>
            <w:r>
              <w:rPr>
                <w:sz w:val="16"/>
              </w:rPr>
              <w:t>0.52</w:t>
            </w:r>
          </w:p>
        </w:tc>
        <w:tc>
          <w:tcPr>
            <w:tcW w:type="dxa" w:w="960"/>
          </w:tcPr>
          <w:p>
            <w:r>
              <w:rPr>
                <w:sz w:val="16"/>
              </w:rPr>
              <w:t>9.9%</w:t>
            </w:r>
          </w:p>
        </w:tc>
        <w:tc>
          <w:tcPr>
            <w:tcW w:type="dxa" w:w="840"/>
          </w:tcPr>
          <w:p>
            <w:r>
              <w:rPr>
                <w:sz w:val="16"/>
              </w:rPr>
              <w:t>27.7%</w:t>
            </w:r>
          </w:p>
        </w:tc>
        <w:tc>
          <w:tcPr>
            <w:tcW w:type="dxa" w:w="1080"/>
          </w:tcPr>
          <w:p>
            <w:r>
              <w:rPr>
                <w:sz w:val="16"/>
              </w:rPr>
              <w:t>189</w:t>
            </w:r>
          </w:p>
        </w:tc>
      </w:tr>
      <w:tr>
        <w:tc>
          <w:tcPr>
            <w:tcW w:type="dxa" w:w="1560"/>
          </w:tcPr>
          <w:p>
            <w:r>
              <w:rPr>
                <w:sz w:val="16"/>
              </w:rPr>
              <w:t>Maple Finance</w:t>
            </w:r>
          </w:p>
        </w:tc>
        <w:tc>
          <w:tcPr>
            <w:tcW w:type="dxa" w:w="1260"/>
          </w:tcPr>
          <w:p>
            <w:r>
              <w:rPr>
                <w:sz w:val="16"/>
              </w:rPr>
              <w:t>MPL_SYRUP</w:t>
            </w:r>
          </w:p>
        </w:tc>
        <w:tc>
          <w:tcPr>
            <w:tcW w:type="dxa" w:w="1080"/>
          </w:tcPr>
          <w:p>
            <w:r>
              <w:rPr>
                <w:sz w:val="16"/>
              </w:rPr>
              <w:t>DeFi</w:t>
            </w:r>
          </w:p>
        </w:tc>
        <w:tc>
          <w:tcPr>
            <w:tcW w:type="dxa" w:w="900"/>
          </w:tcPr>
          <w:p>
            <w:r>
              <w:rPr>
                <w:sz w:val="16"/>
              </w:rPr>
              <w:t>0.0242</w:t>
            </w:r>
          </w:p>
        </w:tc>
        <w:tc>
          <w:tcPr>
            <w:tcW w:type="dxa" w:w="960"/>
          </w:tcPr>
          <w:p>
            <w:r>
              <w:rPr>
                <w:sz w:val="16"/>
              </w:rPr>
              <w:t>0.88</w:t>
            </w:r>
          </w:p>
        </w:tc>
        <w:tc>
          <w:tcPr>
            <w:tcW w:type="dxa" w:w="960"/>
          </w:tcPr>
          <w:p>
            <w:r>
              <w:rPr>
                <w:sz w:val="16"/>
              </w:rPr>
              <w:t>8.5%</w:t>
            </w:r>
          </w:p>
        </w:tc>
        <w:tc>
          <w:tcPr>
            <w:tcW w:type="dxa" w:w="840"/>
          </w:tcPr>
          <w:p>
            <w:r>
              <w:rPr>
                <w:sz w:val="16"/>
              </w:rPr>
              <w:t>40.6%</w:t>
            </w:r>
          </w:p>
        </w:tc>
        <w:tc>
          <w:tcPr>
            <w:tcW w:type="dxa" w:w="1080"/>
          </w:tcPr>
          <w:p>
            <w:r>
              <w:rPr>
                <w:sz w:val="16"/>
              </w:rPr>
              <w:t>998</w:t>
            </w:r>
          </w:p>
        </w:tc>
      </w:tr>
      <w:tr>
        <w:tc>
          <w:tcPr>
            <w:tcW w:type="dxa" w:w="1560"/>
          </w:tcPr>
          <w:p>
            <w:r>
              <w:rPr>
                <w:sz w:val="16"/>
              </w:rPr>
              <w:t>Compound</w:t>
            </w:r>
          </w:p>
        </w:tc>
        <w:tc>
          <w:tcPr>
            <w:tcW w:type="dxa" w:w="1260"/>
          </w:tcPr>
          <w:p>
            <w:r>
              <w:rPr>
                <w:sz w:val="16"/>
              </w:rPr>
              <w:t>COMP</w:t>
            </w:r>
          </w:p>
        </w:tc>
        <w:tc>
          <w:tcPr>
            <w:tcW w:type="dxa" w:w="1080"/>
          </w:tcPr>
          <w:p>
            <w:r>
              <w:rPr>
                <w:sz w:val="16"/>
              </w:rPr>
              <w:t>DeFi</w:t>
            </w:r>
          </w:p>
        </w:tc>
        <w:tc>
          <w:tcPr>
            <w:tcW w:type="dxa" w:w="900"/>
          </w:tcPr>
          <w:p>
            <w:r>
              <w:rPr>
                <w:sz w:val="16"/>
              </w:rPr>
              <w:t>0.0275</w:t>
            </w:r>
          </w:p>
        </w:tc>
        <w:tc>
          <w:tcPr>
            <w:tcW w:type="dxa" w:w="960"/>
          </w:tcPr>
          <w:p>
            <w:r>
              <w:rPr>
                <w:sz w:val="16"/>
              </w:rPr>
              <w:t>0.86</w:t>
            </w:r>
          </w:p>
        </w:tc>
        <w:tc>
          <w:tcPr>
            <w:tcW w:type="dxa" w:w="960"/>
          </w:tcPr>
          <w:p>
            <w:r>
              <w:rPr>
                <w:sz w:val="16"/>
              </w:rPr>
              <w:t>14.1%</w:t>
            </w:r>
          </w:p>
        </w:tc>
        <w:tc>
          <w:tcPr>
            <w:tcW w:type="dxa" w:w="840"/>
          </w:tcPr>
          <w:p>
            <w:r>
              <w:rPr>
                <w:sz w:val="16"/>
              </w:rPr>
              <w:t>32.4%</w:t>
            </w:r>
          </w:p>
        </w:tc>
        <w:tc>
          <w:tcPr>
            <w:tcW w:type="dxa" w:w="1080"/>
          </w:tcPr>
          <w:p>
            <w:r>
              <w:rPr>
                <w:sz w:val="16"/>
              </w:rPr>
              <w:t>1000</w:t>
            </w:r>
          </w:p>
        </w:tc>
      </w:tr>
      <w:tr>
        <w:tc>
          <w:tcPr>
            <w:tcW w:type="dxa" w:w="1560"/>
          </w:tcPr>
          <w:p>
            <w:r>
              <w:rPr>
                <w:sz w:val="16"/>
              </w:rPr>
              <w:t>Rocket Pool</w:t>
            </w:r>
          </w:p>
        </w:tc>
        <w:tc>
          <w:tcPr>
            <w:tcW w:type="dxa" w:w="1260"/>
          </w:tcPr>
          <w:p>
            <w:r>
              <w:rPr>
                <w:sz w:val="16"/>
              </w:rPr>
              <w:t>RPL</w:t>
            </w:r>
          </w:p>
        </w:tc>
        <w:tc>
          <w:tcPr>
            <w:tcW w:type="dxa" w:w="1080"/>
          </w:tcPr>
          <w:p>
            <w:r>
              <w:rPr>
                <w:sz w:val="16"/>
              </w:rPr>
              <w:t>DeFi</w:t>
            </w:r>
          </w:p>
        </w:tc>
        <w:tc>
          <w:tcPr>
            <w:tcW w:type="dxa" w:w="900"/>
          </w:tcPr>
          <w:p>
            <w:r>
              <w:rPr>
                <w:sz w:val="16"/>
              </w:rPr>
              <w:t>0.0391</w:t>
            </w:r>
          </w:p>
        </w:tc>
        <w:tc>
          <w:tcPr>
            <w:tcW w:type="dxa" w:w="960"/>
          </w:tcPr>
          <w:p>
            <w:r>
              <w:rPr>
                <w:sz w:val="16"/>
              </w:rPr>
              <w:t>0.87</w:t>
            </w:r>
          </w:p>
        </w:tc>
        <w:tc>
          <w:tcPr>
            <w:tcW w:type="dxa" w:w="960"/>
          </w:tcPr>
          <w:p>
            <w:r>
              <w:rPr>
                <w:sz w:val="16"/>
              </w:rPr>
              <w:t>11.5%</w:t>
            </w:r>
          </w:p>
        </w:tc>
        <w:tc>
          <w:tcPr>
            <w:tcW w:type="dxa" w:w="840"/>
          </w:tcPr>
          <w:p>
            <w:r>
              <w:rPr>
                <w:sz w:val="16"/>
              </w:rPr>
              <w:t>52.7%</w:t>
            </w:r>
          </w:p>
        </w:tc>
        <w:tc>
          <w:tcPr>
            <w:tcW w:type="dxa" w:w="1080"/>
          </w:tcPr>
          <w:p>
            <w:r>
              <w:rPr>
                <w:sz w:val="16"/>
              </w:rPr>
              <w:t>999</w:t>
            </w:r>
          </w:p>
        </w:tc>
      </w:tr>
      <w:tr>
        <w:tc>
          <w:tcPr>
            <w:tcW w:type="dxa" w:w="1560"/>
          </w:tcPr>
          <w:p>
            <w:r>
              <w:rPr>
                <w:sz w:val="16"/>
              </w:rPr>
              <w:t>MakerDAO</w:t>
            </w:r>
          </w:p>
        </w:tc>
        <w:tc>
          <w:tcPr>
            <w:tcW w:type="dxa" w:w="1260"/>
          </w:tcPr>
          <w:p>
            <w:r>
              <w:rPr>
                <w:sz w:val="16"/>
              </w:rPr>
              <w:t>MKR</w:t>
            </w:r>
          </w:p>
        </w:tc>
        <w:tc>
          <w:tcPr>
            <w:tcW w:type="dxa" w:w="1080"/>
          </w:tcPr>
          <w:p>
            <w:r>
              <w:rPr>
                <w:sz w:val="16"/>
              </w:rPr>
              <w:t>DeFi</w:t>
            </w:r>
          </w:p>
        </w:tc>
        <w:tc>
          <w:tcPr>
            <w:tcW w:type="dxa" w:w="900"/>
          </w:tcPr>
          <w:p>
            <w:r>
              <w:rPr>
                <w:sz w:val="16"/>
              </w:rPr>
              <w:t>0.0450</w:t>
            </w:r>
          </w:p>
        </w:tc>
        <w:tc>
          <w:tcPr>
            <w:tcW w:type="dxa" w:w="960"/>
          </w:tcPr>
          <w:p>
            <w:r>
              <w:rPr>
                <w:sz w:val="16"/>
              </w:rPr>
              <w:t>0.90</w:t>
            </w:r>
          </w:p>
        </w:tc>
        <w:tc>
          <w:tcPr>
            <w:tcW w:type="dxa" w:w="960"/>
          </w:tcPr>
          <w:p>
            <w:r>
              <w:rPr>
                <w:sz w:val="16"/>
              </w:rPr>
              <w:t>11.4%</w:t>
            </w:r>
          </w:p>
        </w:tc>
        <w:tc>
          <w:tcPr>
            <w:tcW w:type="dxa" w:w="840"/>
          </w:tcPr>
          <w:p>
            <w:r>
              <w:rPr>
                <w:sz w:val="16"/>
              </w:rPr>
              <w:t>56.2%</w:t>
            </w:r>
          </w:p>
        </w:tc>
        <w:tc>
          <w:tcPr>
            <w:tcW w:type="dxa" w:w="1080"/>
          </w:tcPr>
          <w:p>
            <w:r>
              <w:rPr>
                <w:sz w:val="16"/>
              </w:rPr>
              <w:t>1000</w:t>
            </w:r>
          </w:p>
        </w:tc>
      </w:tr>
      <w:tr>
        <w:tc>
          <w:tcPr>
            <w:tcW w:type="dxa" w:w="1560"/>
          </w:tcPr>
          <w:p>
            <w:r>
              <w:rPr>
                <w:sz w:val="16"/>
              </w:rPr>
              <w:t>MetaDAO †</w:t>
            </w:r>
          </w:p>
        </w:tc>
        <w:tc>
          <w:tcPr>
            <w:tcW w:type="dxa" w:w="1260"/>
          </w:tcPr>
          <w:p>
            <w:r>
              <w:rPr>
                <w:sz w:val="16"/>
              </w:rPr>
              <w:t>META</w:t>
            </w:r>
          </w:p>
        </w:tc>
        <w:tc>
          <w:tcPr>
            <w:tcW w:type="dxa" w:w="1080"/>
          </w:tcPr>
          <w:p>
            <w:r>
              <w:rPr>
                <w:sz w:val="16"/>
              </w:rPr>
              <w:t>DeFi</w:t>
            </w:r>
          </w:p>
        </w:tc>
        <w:tc>
          <w:tcPr>
            <w:tcW w:type="dxa" w:w="900"/>
          </w:tcPr>
          <w:p>
            <w:r>
              <w:rPr>
                <w:sz w:val="16"/>
              </w:rPr>
              <w:t>0.0482</w:t>
            </w:r>
          </w:p>
        </w:tc>
        <w:tc>
          <w:tcPr>
            <w:tcW w:type="dxa" w:w="960"/>
          </w:tcPr>
          <w:p>
            <w:r>
              <w:rPr>
                <w:sz w:val="16"/>
              </w:rPr>
              <w:t>0.90</w:t>
            </w:r>
          </w:p>
        </w:tc>
        <w:tc>
          <w:tcPr>
            <w:tcW w:type="dxa" w:w="960"/>
          </w:tcPr>
          <w:p>
            <w:r>
              <w:rPr>
                <w:sz w:val="16"/>
              </w:rPr>
              <w:t>19.6%</w:t>
            </w:r>
          </w:p>
        </w:tc>
        <w:tc>
          <w:tcPr>
            <w:tcW w:type="dxa" w:w="840"/>
          </w:tcPr>
          <w:p>
            <w:r>
              <w:rPr>
                <w:sz w:val="16"/>
              </w:rPr>
              <w:t>41.4%</w:t>
            </w:r>
          </w:p>
        </w:tc>
        <w:tc>
          <w:tcPr>
            <w:tcW w:type="dxa" w:w="1080"/>
          </w:tcPr>
          <w:p>
            <w:r>
              <w:rPr>
                <w:sz w:val="16"/>
              </w:rPr>
              <w:t>1000</w:t>
            </w:r>
          </w:p>
        </w:tc>
      </w:tr>
      <w:tr>
        <w:tc>
          <w:tcPr>
            <w:tcW w:type="dxa" w:w="1560"/>
          </w:tcPr>
          <w:p>
            <w:r>
              <w:rPr>
                <w:sz w:val="16"/>
              </w:rPr>
              <w:t>GMX</w:t>
            </w:r>
          </w:p>
        </w:tc>
        <w:tc>
          <w:tcPr>
            <w:tcW w:type="dxa" w:w="1260"/>
          </w:tcPr>
          <w:p>
            <w:r>
              <w:rPr>
                <w:sz w:val="16"/>
              </w:rPr>
              <w:t>GMX</w:t>
            </w:r>
          </w:p>
        </w:tc>
        <w:tc>
          <w:tcPr>
            <w:tcW w:type="dxa" w:w="1080"/>
          </w:tcPr>
          <w:p>
            <w:r>
              <w:rPr>
                <w:sz w:val="16"/>
              </w:rPr>
              <w:t>DeFi</w:t>
            </w:r>
          </w:p>
        </w:tc>
        <w:tc>
          <w:tcPr>
            <w:tcW w:type="dxa" w:w="900"/>
          </w:tcPr>
          <w:p>
            <w:r>
              <w:rPr>
                <w:sz w:val="16"/>
              </w:rPr>
              <w:t>0.0564</w:t>
            </w:r>
          </w:p>
        </w:tc>
        <w:tc>
          <w:tcPr>
            <w:tcW w:type="dxa" w:w="960"/>
          </w:tcPr>
          <w:p>
            <w:r>
              <w:rPr>
                <w:sz w:val="16"/>
              </w:rPr>
              <w:t>0.93</w:t>
            </w:r>
          </w:p>
        </w:tc>
        <w:tc>
          <w:tcPr>
            <w:tcW w:type="dxa" w:w="960"/>
          </w:tcPr>
          <w:p>
            <w:r>
              <w:rPr>
                <w:sz w:val="16"/>
              </w:rPr>
              <w:t>17.5%</w:t>
            </w:r>
          </w:p>
        </w:tc>
        <w:tc>
          <w:tcPr>
            <w:tcW w:type="dxa" w:w="840"/>
          </w:tcPr>
          <w:p>
            <w:r>
              <w:rPr>
                <w:sz w:val="16"/>
              </w:rPr>
              <w:t>60.2%</w:t>
            </w:r>
          </w:p>
        </w:tc>
        <w:tc>
          <w:tcPr>
            <w:tcW w:type="dxa" w:w="1080"/>
          </w:tcPr>
          <w:p>
            <w:r>
              <w:rPr>
                <w:sz w:val="16"/>
              </w:rPr>
              <w:t>999</w:t>
            </w:r>
          </w:p>
        </w:tc>
      </w:tr>
      <w:tr>
        <w:tc>
          <w:tcPr>
            <w:tcW w:type="dxa" w:w="1560"/>
          </w:tcPr>
          <w:p>
            <w:r>
              <w:rPr>
                <w:sz w:val="16"/>
              </w:rPr>
              <w:t>Aave</w:t>
            </w:r>
          </w:p>
        </w:tc>
        <w:tc>
          <w:tcPr>
            <w:tcW w:type="dxa" w:w="1260"/>
          </w:tcPr>
          <w:p>
            <w:r>
              <w:rPr>
                <w:sz w:val="16"/>
              </w:rPr>
              <w:t>AAVE</w:t>
            </w:r>
          </w:p>
        </w:tc>
        <w:tc>
          <w:tcPr>
            <w:tcW w:type="dxa" w:w="1080"/>
          </w:tcPr>
          <w:p>
            <w:r>
              <w:rPr>
                <w:sz w:val="16"/>
              </w:rPr>
              <w:t>DeFi</w:t>
            </w:r>
          </w:p>
        </w:tc>
        <w:tc>
          <w:tcPr>
            <w:tcW w:type="dxa" w:w="900"/>
          </w:tcPr>
          <w:p>
            <w:r>
              <w:rPr>
                <w:sz w:val="16"/>
              </w:rPr>
              <w:t>0.020</w:t>
            </w:r>
          </w:p>
        </w:tc>
        <w:tc>
          <w:tcPr>
            <w:tcW w:type="dxa" w:w="960"/>
          </w:tcPr>
          <w:p>
            <w:r>
              <w:rPr>
                <w:sz w:val="16"/>
              </w:rPr>
              <w:t>0.88</w:t>
            </w:r>
          </w:p>
        </w:tc>
        <w:tc>
          <w:tcPr>
            <w:tcW w:type="dxa" w:w="960"/>
          </w:tcPr>
          <w:p>
            <w:r>
              <w:rPr>
                <w:sz w:val="16"/>
              </w:rPr>
              <w:t>—†</w:t>
            </w:r>
          </w:p>
        </w:tc>
        <w:tc>
          <w:tcPr>
            <w:tcW w:type="dxa" w:w="840"/>
          </w:tcPr>
          <w:p>
            <w:r>
              <w:rPr>
                <w:sz w:val="16"/>
              </w:rPr>
              <w:t>47.6%</w:t>
            </w:r>
          </w:p>
        </w:tc>
        <w:tc>
          <w:tcPr>
            <w:tcW w:type="dxa" w:w="1080"/>
          </w:tcPr>
          <w:p>
            <w:r>
              <w:rPr>
                <w:sz w:val="16"/>
              </w:rPr>
              <w:t>1000</w:t>
            </w:r>
          </w:p>
        </w:tc>
      </w:tr>
      <w:tr>
        <w:tc>
          <w:tcPr>
            <w:tcW w:type="dxa" w:w="1560"/>
          </w:tcPr>
          <w:p>
            <w:r>
              <w:rPr>
                <w:sz w:val="16"/>
              </w:rPr>
              <w:t>Ether.Fi</w:t>
            </w:r>
          </w:p>
        </w:tc>
        <w:tc>
          <w:tcPr>
            <w:tcW w:type="dxa" w:w="1260"/>
          </w:tcPr>
          <w:p>
            <w:r>
              <w:rPr>
                <w:sz w:val="16"/>
              </w:rPr>
              <w:t>ETHFI</w:t>
            </w:r>
          </w:p>
        </w:tc>
        <w:tc>
          <w:tcPr>
            <w:tcW w:type="dxa" w:w="1080"/>
          </w:tcPr>
          <w:p>
            <w:r>
              <w:rPr>
                <w:sz w:val="16"/>
              </w:rPr>
              <w:t>DeFi</w:t>
            </w:r>
          </w:p>
        </w:tc>
        <w:tc>
          <w:tcPr>
            <w:tcW w:type="dxa" w:w="900"/>
          </w:tcPr>
          <w:p>
            <w:r>
              <w:rPr>
                <w:sz w:val="16"/>
              </w:rPr>
              <w:t>0.0668</w:t>
            </w:r>
          </w:p>
        </w:tc>
        <w:tc>
          <w:tcPr>
            <w:tcW w:type="dxa" w:w="960"/>
          </w:tcPr>
          <w:p>
            <w:r>
              <w:rPr>
                <w:sz w:val="16"/>
              </w:rPr>
              <w:t>0.95</w:t>
            </w:r>
          </w:p>
        </w:tc>
        <w:tc>
          <w:tcPr>
            <w:tcW w:type="dxa" w:w="960"/>
          </w:tcPr>
          <w:p>
            <w:r>
              <w:rPr>
                <w:sz w:val="16"/>
              </w:rPr>
              <w:t>19.0%</w:t>
            </w:r>
          </w:p>
        </w:tc>
        <w:tc>
          <w:tcPr>
            <w:tcW w:type="dxa" w:w="840"/>
          </w:tcPr>
          <w:p>
            <w:r>
              <w:rPr>
                <w:sz w:val="16"/>
              </w:rPr>
              <w:t>59.9%</w:t>
            </w:r>
          </w:p>
        </w:tc>
        <w:tc>
          <w:tcPr>
            <w:tcW w:type="dxa" w:w="1080"/>
          </w:tcPr>
          <w:p>
            <w:r>
              <w:rPr>
                <w:sz w:val="16"/>
              </w:rPr>
              <w:t>1000</w:t>
            </w:r>
          </w:p>
        </w:tc>
      </w:tr>
      <w:tr>
        <w:tc>
          <w:tcPr>
            <w:tcW w:type="dxa" w:w="1560"/>
          </w:tcPr>
          <w:p>
            <w:r>
              <w:rPr>
                <w:sz w:val="16"/>
              </w:rPr>
              <w:t>Uniswap</w:t>
            </w:r>
          </w:p>
        </w:tc>
        <w:tc>
          <w:tcPr>
            <w:tcW w:type="dxa" w:w="1260"/>
          </w:tcPr>
          <w:p>
            <w:r>
              <w:rPr>
                <w:sz w:val="16"/>
              </w:rPr>
              <w:t>UNI</w:t>
            </w:r>
          </w:p>
        </w:tc>
        <w:tc>
          <w:tcPr>
            <w:tcW w:type="dxa" w:w="1080"/>
          </w:tcPr>
          <w:p>
            <w:r>
              <w:rPr>
                <w:sz w:val="16"/>
              </w:rPr>
              <w:t>DeFi</w:t>
            </w:r>
          </w:p>
        </w:tc>
        <w:tc>
          <w:tcPr>
            <w:tcW w:type="dxa" w:w="900"/>
          </w:tcPr>
          <w:p>
            <w:r>
              <w:rPr>
                <w:sz w:val="16"/>
              </w:rPr>
              <w:t>0.032</w:t>
            </w:r>
          </w:p>
        </w:tc>
        <w:tc>
          <w:tcPr>
            <w:tcW w:type="dxa" w:w="960"/>
          </w:tcPr>
          <w:p>
            <w:r>
              <w:rPr>
                <w:sz w:val="16"/>
              </w:rPr>
              <w:t>0.89</w:t>
            </w:r>
          </w:p>
        </w:tc>
        <w:tc>
          <w:tcPr>
            <w:tcW w:type="dxa" w:w="960"/>
          </w:tcPr>
          <w:p>
            <w:r>
              <w:rPr>
                <w:sz w:val="16"/>
              </w:rPr>
              <w:t>—†</w:t>
            </w:r>
          </w:p>
        </w:tc>
        <w:tc>
          <w:tcPr>
            <w:tcW w:type="dxa" w:w="840"/>
          </w:tcPr>
          <w:p>
            <w:r>
              <w:rPr>
                <w:sz w:val="16"/>
              </w:rPr>
              <w:t>52.1%</w:t>
            </w:r>
          </w:p>
        </w:tc>
        <w:tc>
          <w:tcPr>
            <w:tcW w:type="dxa" w:w="1080"/>
          </w:tcPr>
          <w:p>
            <w:r>
              <w:rPr>
                <w:sz w:val="16"/>
              </w:rPr>
              <w:t>1000</w:t>
            </w:r>
          </w:p>
        </w:tc>
      </w:tr>
      <w:tr>
        <w:tc>
          <w:tcPr>
            <w:tcW w:type="dxa" w:w="1560"/>
          </w:tcPr>
          <w:p>
            <w:r>
              <w:rPr>
                <w:sz w:val="16"/>
              </w:rPr>
              <w:t>Drift</w:t>
            </w:r>
          </w:p>
        </w:tc>
        <w:tc>
          <w:tcPr>
            <w:tcW w:type="dxa" w:w="1260"/>
          </w:tcPr>
          <w:p>
            <w:r>
              <w:rPr>
                <w:sz w:val="16"/>
              </w:rPr>
              <w:t>DRIFT</w:t>
            </w:r>
          </w:p>
        </w:tc>
        <w:tc>
          <w:tcPr>
            <w:tcW w:type="dxa" w:w="1080"/>
          </w:tcPr>
          <w:p>
            <w:r>
              <w:rPr>
                <w:sz w:val="16"/>
              </w:rPr>
              <w:t>DeFi</w:t>
            </w:r>
          </w:p>
        </w:tc>
        <w:tc>
          <w:tcPr>
            <w:tcW w:type="dxa" w:w="900"/>
          </w:tcPr>
          <w:p>
            <w:r>
              <w:rPr>
                <w:sz w:val="16"/>
              </w:rPr>
              <w:t>0.1011</w:t>
            </w:r>
          </w:p>
        </w:tc>
        <w:tc>
          <w:tcPr>
            <w:tcW w:type="dxa" w:w="960"/>
          </w:tcPr>
          <w:p>
            <w:r>
              <w:rPr>
                <w:sz w:val="16"/>
              </w:rPr>
              <w:t>0.94</w:t>
            </w:r>
          </w:p>
        </w:tc>
        <w:tc>
          <w:tcPr>
            <w:tcW w:type="dxa" w:w="960"/>
          </w:tcPr>
          <w:p>
            <w:r>
              <w:rPr>
                <w:sz w:val="16"/>
              </w:rPr>
              <w:t>27.0%</w:t>
            </w:r>
          </w:p>
        </w:tc>
        <w:tc>
          <w:tcPr>
            <w:tcW w:type="dxa" w:w="840"/>
          </w:tcPr>
          <w:p>
            <w:r>
              <w:rPr>
                <w:sz w:val="16"/>
              </w:rPr>
              <w:t>61.7%</w:t>
            </w:r>
          </w:p>
        </w:tc>
        <w:tc>
          <w:tcPr>
            <w:tcW w:type="dxa" w:w="1080"/>
          </w:tcPr>
          <w:p>
            <w:r>
              <w:rPr>
                <w:sz w:val="16"/>
              </w:rPr>
              <w:t>1000</w:t>
            </w:r>
          </w:p>
        </w:tc>
      </w:tr>
      <w:tr>
        <w:tc>
          <w:tcPr>
            <w:tcW w:type="dxa" w:w="1560"/>
          </w:tcPr>
          <w:p>
            <w:r>
              <w:rPr>
                <w:sz w:val="16"/>
              </w:rPr>
              <w:t>Jupiter</w:t>
            </w:r>
          </w:p>
        </w:tc>
        <w:tc>
          <w:tcPr>
            <w:tcW w:type="dxa" w:w="1260"/>
          </w:tcPr>
          <w:p>
            <w:r>
              <w:rPr>
                <w:sz w:val="16"/>
              </w:rPr>
              <w:t>JUP</w:t>
            </w:r>
          </w:p>
        </w:tc>
        <w:tc>
          <w:tcPr>
            <w:tcW w:type="dxa" w:w="1080"/>
          </w:tcPr>
          <w:p>
            <w:r>
              <w:rPr>
                <w:sz w:val="16"/>
              </w:rPr>
              <w:t>DeFi</w:t>
            </w:r>
          </w:p>
        </w:tc>
        <w:tc>
          <w:tcPr>
            <w:tcW w:type="dxa" w:w="900"/>
          </w:tcPr>
          <w:p>
            <w:r>
              <w:rPr>
                <w:sz w:val="16"/>
              </w:rPr>
              <w:t>0.1166</w:t>
            </w:r>
          </w:p>
        </w:tc>
        <w:tc>
          <w:tcPr>
            <w:tcW w:type="dxa" w:w="960"/>
          </w:tcPr>
          <w:p>
            <w:r>
              <w:rPr>
                <w:sz w:val="16"/>
              </w:rPr>
              <w:t>0.98</w:t>
            </w:r>
          </w:p>
        </w:tc>
        <w:tc>
          <w:tcPr>
            <w:tcW w:type="dxa" w:w="960"/>
          </w:tcPr>
          <w:p>
            <w:r>
              <w:rPr>
                <w:sz w:val="16"/>
              </w:rPr>
              <w:t>25.1%</w:t>
            </w:r>
          </w:p>
        </w:tc>
        <w:tc>
          <w:tcPr>
            <w:tcW w:type="dxa" w:w="840"/>
          </w:tcPr>
          <w:p>
            <w:r>
              <w:rPr>
                <w:sz w:val="16"/>
              </w:rPr>
              <w:t>75.0%</w:t>
            </w:r>
          </w:p>
        </w:tc>
        <w:tc>
          <w:tcPr>
            <w:tcW w:type="dxa" w:w="1080"/>
          </w:tcPr>
          <w:p>
            <w:r>
              <w:rPr>
                <w:sz w:val="16"/>
              </w:rPr>
              <w:t>1000</w:t>
            </w:r>
          </w:p>
        </w:tc>
      </w:tr>
      <w:tr>
        <w:tc>
          <w:tcPr>
            <w:tcW w:type="dxa" w:w="1560"/>
          </w:tcPr>
          <w:p>
            <w:r>
              <w:rPr>
                <w:sz w:val="16"/>
              </w:rPr>
              <w:t>Curve</w:t>
            </w:r>
          </w:p>
        </w:tc>
        <w:tc>
          <w:tcPr>
            <w:tcW w:type="dxa" w:w="1260"/>
          </w:tcPr>
          <w:p>
            <w:r>
              <w:rPr>
                <w:sz w:val="16"/>
              </w:rPr>
              <w:t>CRV</w:t>
            </w:r>
          </w:p>
        </w:tc>
        <w:tc>
          <w:tcPr>
            <w:tcW w:type="dxa" w:w="1080"/>
          </w:tcPr>
          <w:p>
            <w:r>
              <w:rPr>
                <w:sz w:val="16"/>
              </w:rPr>
              <w:t>DeFi</w:t>
            </w:r>
          </w:p>
        </w:tc>
        <w:tc>
          <w:tcPr>
            <w:tcW w:type="dxa" w:w="900"/>
          </w:tcPr>
          <w:p>
            <w:r>
              <w:rPr>
                <w:sz w:val="16"/>
              </w:rPr>
              <w:t>0.1706</w:t>
            </w:r>
          </w:p>
        </w:tc>
        <w:tc>
          <w:tcPr>
            <w:tcW w:type="dxa" w:w="960"/>
          </w:tcPr>
          <w:p>
            <w:r>
              <w:rPr>
                <w:sz w:val="16"/>
              </w:rPr>
              <w:t>0.89</w:t>
            </w:r>
          </w:p>
        </w:tc>
        <w:tc>
          <w:tcPr>
            <w:tcW w:type="dxa" w:w="960"/>
          </w:tcPr>
          <w:p>
            <w:r>
              <w:rPr>
                <w:sz w:val="16"/>
              </w:rPr>
              <w:t>40.5%</w:t>
            </w:r>
          </w:p>
        </w:tc>
        <w:tc>
          <w:tcPr>
            <w:tcW w:type="dxa" w:w="840"/>
          </w:tcPr>
          <w:p>
            <w:r>
              <w:rPr>
                <w:sz w:val="16"/>
              </w:rPr>
              <w:t>60.7%</w:t>
            </w:r>
          </w:p>
        </w:tc>
        <w:tc>
          <w:tcPr>
            <w:tcW w:type="dxa" w:w="1080"/>
          </w:tcPr>
          <w:p>
            <w:r>
              <w:rPr>
                <w:sz w:val="16"/>
              </w:rPr>
              <w:t>1000</w:t>
            </w:r>
          </w:p>
        </w:tc>
      </w:tr>
      <w:tr>
        <w:tc>
          <w:tcPr>
            <w:tcW w:type="dxa" w:w="1560"/>
          </w:tcPr>
          <w:p>
            <w:r>
              <w:rPr>
                <w:sz w:val="16"/>
              </w:rPr>
              <w:t>Axelar</w:t>
            </w:r>
          </w:p>
        </w:tc>
        <w:tc>
          <w:tcPr>
            <w:tcW w:type="dxa" w:w="1260"/>
          </w:tcPr>
          <w:p>
            <w:r>
              <w:rPr>
                <w:sz w:val="16"/>
              </w:rPr>
              <w:t>AXL</w:t>
            </w:r>
          </w:p>
        </w:tc>
        <w:tc>
          <w:tcPr>
            <w:tcW w:type="dxa" w:w="1080"/>
          </w:tcPr>
          <w:p>
            <w:r>
              <w:rPr>
                <w:sz w:val="16"/>
              </w:rPr>
              <w:t>L1/L2/Infra</w:t>
            </w:r>
          </w:p>
        </w:tc>
        <w:tc>
          <w:tcPr>
            <w:tcW w:type="dxa" w:w="900"/>
          </w:tcPr>
          <w:p>
            <w:r>
              <w:rPr>
                <w:sz w:val="16"/>
              </w:rPr>
              <w:t>0.0038</w:t>
            </w:r>
          </w:p>
        </w:tc>
        <w:tc>
          <w:tcPr>
            <w:tcW w:type="dxa" w:w="960"/>
          </w:tcPr>
          <w:p>
            <w:r>
              <w:rPr>
                <w:sz w:val="16"/>
              </w:rPr>
              <w:t>0.63</w:t>
            </w:r>
          </w:p>
        </w:tc>
        <w:tc>
          <w:tcPr>
            <w:tcW w:type="dxa" w:w="960"/>
          </w:tcPr>
          <w:p>
            <w:r>
              <w:rPr>
                <w:sz w:val="16"/>
              </w:rPr>
              <w:t>3.2%</w:t>
            </w:r>
          </w:p>
        </w:tc>
        <w:tc>
          <w:tcPr>
            <w:tcW w:type="dxa" w:w="840"/>
          </w:tcPr>
          <w:p>
            <w:r>
              <w:rPr>
                <w:sz w:val="16"/>
              </w:rPr>
              <w:t>15.8%</w:t>
            </w:r>
          </w:p>
        </w:tc>
        <w:tc>
          <w:tcPr>
            <w:tcW w:type="dxa" w:w="1080"/>
          </w:tcPr>
          <w:p>
            <w:r>
              <w:rPr>
                <w:sz w:val="16"/>
              </w:rPr>
              <w:t>97</w:t>
            </w:r>
          </w:p>
        </w:tc>
      </w:tr>
      <w:tr>
        <w:tc>
          <w:tcPr>
            <w:tcW w:type="dxa" w:w="1560"/>
          </w:tcPr>
          <w:p>
            <w:r>
              <w:rPr>
                <w:sz w:val="16"/>
              </w:rPr>
              <w:t>LayerZero</w:t>
            </w:r>
          </w:p>
        </w:tc>
        <w:tc>
          <w:tcPr>
            <w:tcW w:type="dxa" w:w="1260"/>
          </w:tcPr>
          <w:p>
            <w:r>
              <w:rPr>
                <w:sz w:val="16"/>
              </w:rPr>
              <w:t>ZRO</w:t>
            </w:r>
          </w:p>
        </w:tc>
        <w:tc>
          <w:tcPr>
            <w:tcW w:type="dxa" w:w="1080"/>
          </w:tcPr>
          <w:p>
            <w:r>
              <w:rPr>
                <w:sz w:val="16"/>
              </w:rPr>
              <w:t>L1/L2/Infra</w:t>
            </w:r>
          </w:p>
        </w:tc>
        <w:tc>
          <w:tcPr>
            <w:tcW w:type="dxa" w:w="900"/>
          </w:tcPr>
          <w:p>
            <w:r>
              <w:rPr>
                <w:sz w:val="16"/>
              </w:rPr>
              <w:t>0.0096</w:t>
            </w:r>
          </w:p>
        </w:tc>
        <w:tc>
          <w:tcPr>
            <w:tcW w:type="dxa" w:w="960"/>
          </w:tcPr>
          <w:p>
            <w:r>
              <w:rPr>
                <w:sz w:val="16"/>
              </w:rPr>
              <w:t>0.45</w:t>
            </w:r>
          </w:p>
        </w:tc>
        <w:tc>
          <w:tcPr>
            <w:tcW w:type="dxa" w:w="960"/>
          </w:tcPr>
          <w:p>
            <w:r>
              <w:rPr>
                <w:sz w:val="16"/>
              </w:rPr>
              <w:t>3.3%</w:t>
            </w:r>
          </w:p>
        </w:tc>
        <w:tc>
          <w:tcPr>
            <w:tcW w:type="dxa" w:w="840"/>
          </w:tcPr>
          <w:p>
            <w:r>
              <w:rPr>
                <w:sz w:val="16"/>
              </w:rPr>
              <w:t>24.7%</w:t>
            </w:r>
          </w:p>
        </w:tc>
        <w:tc>
          <w:tcPr>
            <w:tcW w:type="dxa" w:w="1080"/>
          </w:tcPr>
          <w:p>
            <w:r>
              <w:rPr>
                <w:sz w:val="16"/>
              </w:rPr>
              <w:t>98</w:t>
            </w:r>
          </w:p>
        </w:tc>
      </w:tr>
      <w:tr>
        <w:tc>
          <w:tcPr>
            <w:tcW w:type="dxa" w:w="1560"/>
          </w:tcPr>
          <w:p>
            <w:r>
              <w:rPr>
                <w:sz w:val="16"/>
              </w:rPr>
              <w:t>Wormhole</w:t>
            </w:r>
          </w:p>
        </w:tc>
        <w:tc>
          <w:tcPr>
            <w:tcW w:type="dxa" w:w="1260"/>
          </w:tcPr>
          <w:p>
            <w:r>
              <w:rPr>
                <w:sz w:val="16"/>
              </w:rPr>
              <w:t>W</w:t>
            </w:r>
          </w:p>
        </w:tc>
        <w:tc>
          <w:tcPr>
            <w:tcW w:type="dxa" w:w="1080"/>
          </w:tcPr>
          <w:p>
            <w:r>
              <w:rPr>
                <w:sz w:val="16"/>
              </w:rPr>
              <w:t>L1/L2/Infra</w:t>
            </w:r>
          </w:p>
        </w:tc>
        <w:tc>
          <w:tcPr>
            <w:tcW w:type="dxa" w:w="900"/>
          </w:tcPr>
          <w:p>
            <w:r>
              <w:rPr>
                <w:sz w:val="16"/>
              </w:rPr>
              <w:t>0.0149</w:t>
            </w:r>
          </w:p>
        </w:tc>
        <w:tc>
          <w:tcPr>
            <w:tcW w:type="dxa" w:w="960"/>
          </w:tcPr>
          <w:p>
            <w:r>
              <w:rPr>
                <w:sz w:val="16"/>
              </w:rPr>
              <w:t>0.87</w:t>
            </w:r>
          </w:p>
        </w:tc>
        <w:tc>
          <w:tcPr>
            <w:tcW w:type="dxa" w:w="960"/>
          </w:tcPr>
          <w:p>
            <w:r>
              <w:rPr>
                <w:sz w:val="16"/>
              </w:rPr>
              <w:t>7.0%</w:t>
            </w:r>
          </w:p>
        </w:tc>
        <w:tc>
          <w:tcPr>
            <w:tcW w:type="dxa" w:w="840"/>
          </w:tcPr>
          <w:p>
            <w:r>
              <w:rPr>
                <w:sz w:val="16"/>
              </w:rPr>
              <w:t>23.8%</w:t>
            </w:r>
          </w:p>
        </w:tc>
        <w:tc>
          <w:tcPr>
            <w:tcW w:type="dxa" w:w="1080"/>
          </w:tcPr>
          <w:p>
            <w:r>
              <w:rPr>
                <w:sz w:val="16"/>
              </w:rPr>
              <w:t>1000</w:t>
            </w:r>
          </w:p>
        </w:tc>
      </w:tr>
      <w:tr>
        <w:tc>
          <w:tcPr>
            <w:tcW w:type="dxa" w:w="1560"/>
          </w:tcPr>
          <w:p>
            <w:r>
              <w:rPr>
                <w:sz w:val="16"/>
              </w:rPr>
              <w:t>Polygon</w:t>
            </w:r>
          </w:p>
        </w:tc>
        <w:tc>
          <w:tcPr>
            <w:tcW w:type="dxa" w:w="1260"/>
          </w:tcPr>
          <w:p>
            <w:r>
              <w:rPr>
                <w:sz w:val="16"/>
              </w:rPr>
              <w:t>POL</w:t>
            </w:r>
          </w:p>
        </w:tc>
        <w:tc>
          <w:tcPr>
            <w:tcW w:type="dxa" w:w="1080"/>
          </w:tcPr>
          <w:p>
            <w:r>
              <w:rPr>
                <w:sz w:val="16"/>
              </w:rPr>
              <w:t>L1/L2/Infra</w:t>
            </w:r>
          </w:p>
        </w:tc>
        <w:tc>
          <w:tcPr>
            <w:tcW w:type="dxa" w:w="900"/>
          </w:tcPr>
          <w:p>
            <w:r>
              <w:rPr>
                <w:sz w:val="16"/>
              </w:rPr>
              <w:t>0.0348</w:t>
            </w:r>
          </w:p>
        </w:tc>
        <w:tc>
          <w:tcPr>
            <w:tcW w:type="dxa" w:w="960"/>
          </w:tcPr>
          <w:p>
            <w:r>
              <w:rPr>
                <w:sz w:val="16"/>
              </w:rPr>
              <w:t>0.92</w:t>
            </w:r>
          </w:p>
        </w:tc>
        <w:tc>
          <w:tcPr>
            <w:tcW w:type="dxa" w:w="960"/>
          </w:tcPr>
          <w:p>
            <w:r>
              <w:rPr>
                <w:sz w:val="16"/>
              </w:rPr>
              <w:t>12.1%</w:t>
            </w:r>
          </w:p>
        </w:tc>
        <w:tc>
          <w:tcPr>
            <w:tcW w:type="dxa" w:w="840"/>
          </w:tcPr>
          <w:p>
            <w:r>
              <w:rPr>
                <w:sz w:val="16"/>
              </w:rPr>
              <w:t>49.5%</w:t>
            </w:r>
          </w:p>
        </w:tc>
        <w:tc>
          <w:tcPr>
            <w:tcW w:type="dxa" w:w="1080"/>
          </w:tcPr>
          <w:p>
            <w:r>
              <w:rPr>
                <w:sz w:val="16"/>
              </w:rPr>
              <w:t>998</w:t>
            </w:r>
          </w:p>
        </w:tc>
      </w:tr>
      <w:tr>
        <w:tc>
          <w:tcPr>
            <w:tcW w:type="dxa" w:w="1560"/>
          </w:tcPr>
          <w:p>
            <w:r>
              <w:rPr>
                <w:sz w:val="16"/>
              </w:rPr>
              <w:t>Arbitrum</w:t>
            </w:r>
          </w:p>
        </w:tc>
        <w:tc>
          <w:tcPr>
            <w:tcW w:type="dxa" w:w="1260"/>
          </w:tcPr>
          <w:p>
            <w:r>
              <w:rPr>
                <w:sz w:val="16"/>
              </w:rPr>
              <w:t>ARB</w:t>
            </w:r>
          </w:p>
        </w:tc>
        <w:tc>
          <w:tcPr>
            <w:tcW w:type="dxa" w:w="1080"/>
          </w:tcPr>
          <w:p>
            <w:r>
              <w:rPr>
                <w:sz w:val="16"/>
              </w:rPr>
              <w:t>L1/L2/Infra</w:t>
            </w:r>
          </w:p>
        </w:tc>
        <w:tc>
          <w:tcPr>
            <w:tcW w:type="dxa" w:w="900"/>
          </w:tcPr>
          <w:p>
            <w:r>
              <w:rPr>
                <w:sz w:val="16"/>
              </w:rPr>
              <w:t>0.012</w:t>
            </w:r>
          </w:p>
        </w:tc>
        <w:tc>
          <w:tcPr>
            <w:tcW w:type="dxa" w:w="960"/>
          </w:tcPr>
          <w:p>
            <w:r>
              <w:rPr>
                <w:sz w:val="16"/>
              </w:rPr>
              <w:t>0.83</w:t>
            </w:r>
          </w:p>
        </w:tc>
        <w:tc>
          <w:tcPr>
            <w:tcW w:type="dxa" w:w="960"/>
          </w:tcPr>
          <w:p>
            <w:r>
              <w:rPr>
                <w:sz w:val="16"/>
              </w:rPr>
              <w:t>—†</w:t>
            </w:r>
          </w:p>
        </w:tc>
        <w:tc>
          <w:tcPr>
            <w:tcW w:type="dxa" w:w="840"/>
          </w:tcPr>
          <w:p>
            <w:r>
              <w:rPr>
                <w:sz w:val="16"/>
              </w:rPr>
              <w:t>47.2%</w:t>
            </w:r>
          </w:p>
        </w:tc>
        <w:tc>
          <w:tcPr>
            <w:tcW w:type="dxa" w:w="1080"/>
          </w:tcPr>
          <w:p>
            <w:r>
              <w:rPr>
                <w:sz w:val="16"/>
              </w:rPr>
              <w:t>1000</w:t>
            </w:r>
          </w:p>
        </w:tc>
      </w:tr>
      <w:tr>
        <w:tc>
          <w:tcPr>
            <w:tcW w:type="dxa" w:w="1560"/>
          </w:tcPr>
          <w:p>
            <w:r>
              <w:rPr>
                <w:sz w:val="16"/>
              </w:rPr>
              <w:t>The Graph</w:t>
            </w:r>
          </w:p>
        </w:tc>
        <w:tc>
          <w:tcPr>
            <w:tcW w:type="dxa" w:w="1260"/>
          </w:tcPr>
          <w:p>
            <w:r>
              <w:rPr>
                <w:sz w:val="16"/>
              </w:rPr>
              <w:t>GRT</w:t>
            </w:r>
          </w:p>
        </w:tc>
        <w:tc>
          <w:tcPr>
            <w:tcW w:type="dxa" w:w="1080"/>
          </w:tcPr>
          <w:p>
            <w:r>
              <w:rPr>
                <w:sz w:val="16"/>
              </w:rPr>
              <w:t>L1/L2/Infra</w:t>
            </w:r>
          </w:p>
        </w:tc>
        <w:tc>
          <w:tcPr>
            <w:tcW w:type="dxa" w:w="900"/>
          </w:tcPr>
          <w:p>
            <w:r>
              <w:rPr>
                <w:sz w:val="16"/>
              </w:rPr>
              <w:t>0.036</w:t>
            </w:r>
          </w:p>
        </w:tc>
        <w:tc>
          <w:tcPr>
            <w:tcW w:type="dxa" w:w="960"/>
          </w:tcPr>
          <w:p>
            <w:r>
              <w:rPr>
                <w:sz w:val="16"/>
              </w:rPr>
              <w:t>0.92</w:t>
            </w:r>
          </w:p>
        </w:tc>
        <w:tc>
          <w:tcPr>
            <w:tcW w:type="dxa" w:w="960"/>
          </w:tcPr>
          <w:p>
            <w:r>
              <w:rPr>
                <w:sz w:val="16"/>
              </w:rPr>
              <w:t>—†</w:t>
            </w:r>
          </w:p>
        </w:tc>
        <w:tc>
          <w:tcPr>
            <w:tcW w:type="dxa" w:w="840"/>
          </w:tcPr>
          <w:p>
            <w:r>
              <w:rPr>
                <w:sz w:val="16"/>
              </w:rPr>
              <w:t>59.7%</w:t>
            </w:r>
          </w:p>
        </w:tc>
        <w:tc>
          <w:tcPr>
            <w:tcW w:type="dxa" w:w="1080"/>
          </w:tcPr>
          <w:p>
            <w:r>
              <w:rPr>
                <w:sz w:val="16"/>
              </w:rPr>
              <w:t>1000</w:t>
            </w:r>
          </w:p>
        </w:tc>
      </w:tr>
      <w:tr>
        <w:tc>
          <w:tcPr>
            <w:tcW w:type="dxa" w:w="1560"/>
          </w:tcPr>
          <w:p>
            <w:r>
              <w:rPr>
                <w:sz w:val="16"/>
              </w:rPr>
              <w:t>Optimism</w:t>
            </w:r>
          </w:p>
        </w:tc>
        <w:tc>
          <w:tcPr>
            <w:tcW w:type="dxa" w:w="1260"/>
          </w:tcPr>
          <w:p>
            <w:r>
              <w:rPr>
                <w:sz w:val="16"/>
              </w:rPr>
              <w:t>OP</w:t>
            </w:r>
          </w:p>
        </w:tc>
        <w:tc>
          <w:tcPr>
            <w:tcW w:type="dxa" w:w="1080"/>
          </w:tcPr>
          <w:p>
            <w:r>
              <w:rPr>
                <w:sz w:val="16"/>
              </w:rPr>
              <w:t>L1/L2/Infra</w:t>
            </w:r>
          </w:p>
        </w:tc>
        <w:tc>
          <w:tcPr>
            <w:tcW w:type="dxa" w:w="900"/>
          </w:tcPr>
          <w:p>
            <w:r>
              <w:rPr>
                <w:sz w:val="16"/>
              </w:rPr>
              <w:t>0.042</w:t>
            </w:r>
          </w:p>
        </w:tc>
        <w:tc>
          <w:tcPr>
            <w:tcW w:type="dxa" w:w="960"/>
          </w:tcPr>
          <w:p>
            <w:r>
              <w:rPr>
                <w:sz w:val="16"/>
              </w:rPr>
              <w:t>0.89</w:t>
            </w:r>
          </w:p>
        </w:tc>
        <w:tc>
          <w:tcPr>
            <w:tcW w:type="dxa" w:w="960"/>
          </w:tcPr>
          <w:p>
            <w:r>
              <w:rPr>
                <w:sz w:val="16"/>
              </w:rPr>
              <w:t>—†</w:t>
            </w:r>
          </w:p>
        </w:tc>
        <w:tc>
          <w:tcPr>
            <w:tcW w:type="dxa" w:w="840"/>
          </w:tcPr>
          <w:p>
            <w:r>
              <w:rPr>
                <w:sz w:val="16"/>
              </w:rPr>
              <w:t>60.8%</w:t>
            </w:r>
          </w:p>
        </w:tc>
        <w:tc>
          <w:tcPr>
            <w:tcW w:type="dxa" w:w="1080"/>
          </w:tcPr>
          <w:p>
            <w:r>
              <w:rPr>
                <w:sz w:val="16"/>
              </w:rPr>
              <w:t>1000</w:t>
            </w:r>
          </w:p>
        </w:tc>
      </w:tr>
      <w:tr>
        <w:tc>
          <w:tcPr>
            <w:tcW w:type="dxa" w:w="1560"/>
          </w:tcPr>
          <w:p>
            <w:r>
              <w:rPr>
                <w:sz w:val="16"/>
              </w:rPr>
              <w:t>ENS</w:t>
            </w:r>
          </w:p>
        </w:tc>
        <w:tc>
          <w:tcPr>
            <w:tcW w:type="dxa" w:w="1260"/>
          </w:tcPr>
          <w:p>
            <w:r>
              <w:rPr>
                <w:sz w:val="16"/>
              </w:rPr>
              <w:t>ENS</w:t>
            </w:r>
          </w:p>
        </w:tc>
        <w:tc>
          <w:tcPr>
            <w:tcW w:type="dxa" w:w="1080"/>
          </w:tcPr>
          <w:p>
            <w:r>
              <w:rPr>
                <w:sz w:val="16"/>
              </w:rPr>
              <w:t>L1/L2/Infra</w:t>
            </w:r>
          </w:p>
        </w:tc>
        <w:tc>
          <w:tcPr>
            <w:tcW w:type="dxa" w:w="900"/>
          </w:tcPr>
          <w:p>
            <w:r>
              <w:rPr>
                <w:sz w:val="16"/>
              </w:rPr>
              <w:t>0.1345</w:t>
            </w:r>
          </w:p>
        </w:tc>
        <w:tc>
          <w:tcPr>
            <w:tcW w:type="dxa" w:w="960"/>
          </w:tcPr>
          <w:p>
            <w:r>
              <w:rPr>
                <w:sz w:val="16"/>
              </w:rPr>
              <w:t>0.94</w:t>
            </w:r>
          </w:p>
        </w:tc>
        <w:tc>
          <w:tcPr>
            <w:tcW w:type="dxa" w:w="960"/>
          </w:tcPr>
          <w:p>
            <w:r>
              <w:rPr>
                <w:sz w:val="16"/>
              </w:rPr>
              <w:t>26.7%</w:t>
            </w:r>
          </w:p>
        </w:tc>
        <w:tc>
          <w:tcPr>
            <w:tcW w:type="dxa" w:w="840"/>
          </w:tcPr>
          <w:p>
            <w:r>
              <w:rPr>
                <w:sz w:val="16"/>
              </w:rPr>
              <w:t>75.5%</w:t>
            </w:r>
          </w:p>
        </w:tc>
        <w:tc>
          <w:tcPr>
            <w:tcW w:type="dxa" w:w="1080"/>
          </w:tcPr>
          <w:p>
            <w:r>
              <w:rPr>
                <w:sz w:val="16"/>
              </w:rPr>
              <w:t>999</w:t>
            </w:r>
          </w:p>
        </w:tc>
      </w:tr>
      <w:tr>
        <w:tc>
          <w:tcPr>
            <w:tcW w:type="dxa" w:w="1560"/>
          </w:tcPr>
          <w:p>
            <w:r>
              <w:rPr>
                <w:sz w:val="16"/>
              </w:rPr>
              <w:t>Token Engineering Commons ‡</w:t>
            </w:r>
          </w:p>
        </w:tc>
        <w:tc>
          <w:tcPr>
            <w:tcW w:type="dxa" w:w="1260"/>
          </w:tcPr>
          <w:p>
            <w:r>
              <w:rPr>
                <w:sz w:val="16"/>
              </w:rPr>
              <w:t>TEC</w:t>
            </w:r>
          </w:p>
        </w:tc>
        <w:tc>
          <w:tcPr>
            <w:tcW w:type="dxa" w:w="1080"/>
          </w:tcPr>
          <w:p>
            <w:r>
              <w:rPr>
                <w:sz w:val="16"/>
              </w:rPr>
              <w:t>Social/Dead</w:t>
            </w:r>
          </w:p>
        </w:tc>
        <w:tc>
          <w:tcPr>
            <w:tcW w:type="dxa" w:w="900"/>
          </w:tcPr>
          <w:p>
            <w:r>
              <w:rPr>
                <w:sz w:val="16"/>
              </w:rPr>
              <w:t>0.0278</w:t>
            </w:r>
          </w:p>
        </w:tc>
        <w:tc>
          <w:tcPr>
            <w:tcW w:type="dxa" w:w="960"/>
          </w:tcPr>
          <w:p>
            <w:r>
              <w:rPr>
                <w:sz w:val="16"/>
              </w:rPr>
              <w:t>0.91</w:t>
            </w:r>
          </w:p>
        </w:tc>
        <w:tc>
          <w:tcPr>
            <w:tcW w:type="dxa" w:w="960"/>
          </w:tcPr>
          <w:p>
            <w:r>
              <w:rPr>
                <w:sz w:val="16"/>
              </w:rPr>
              <w:t>9.2%</w:t>
            </w:r>
          </w:p>
        </w:tc>
        <w:tc>
          <w:tcPr>
            <w:tcW w:type="dxa" w:w="840"/>
          </w:tcPr>
          <w:p>
            <w:r>
              <w:rPr>
                <w:sz w:val="16"/>
              </w:rPr>
              <w:t>44.2%</w:t>
            </w:r>
          </w:p>
        </w:tc>
        <w:tc>
          <w:tcPr>
            <w:tcW w:type="dxa" w:w="1080"/>
          </w:tcPr>
          <w:p>
            <w:r>
              <w:rPr>
                <w:sz w:val="16"/>
              </w:rPr>
              <w:t>742</w:t>
            </w:r>
          </w:p>
        </w:tc>
      </w:tr>
      <w:tr>
        <w:tc>
          <w:tcPr>
            <w:tcW w:type="dxa" w:w="1560"/>
          </w:tcPr>
          <w:p>
            <w:r>
              <w:rPr>
                <w:sz w:val="16"/>
              </w:rPr>
              <w:t>Gitcoin ‡</w:t>
            </w:r>
          </w:p>
        </w:tc>
        <w:tc>
          <w:tcPr>
            <w:tcW w:type="dxa" w:w="1260"/>
          </w:tcPr>
          <w:p>
            <w:r>
              <w:rPr>
                <w:sz w:val="16"/>
              </w:rPr>
              <w:t>GTC</w:t>
            </w:r>
          </w:p>
        </w:tc>
        <w:tc>
          <w:tcPr>
            <w:tcW w:type="dxa" w:w="1080"/>
          </w:tcPr>
          <w:p>
            <w:r>
              <w:rPr>
                <w:sz w:val="16"/>
              </w:rPr>
              <w:t>Social/Dead</w:t>
            </w:r>
          </w:p>
        </w:tc>
        <w:tc>
          <w:tcPr>
            <w:tcW w:type="dxa" w:w="900"/>
          </w:tcPr>
          <w:p>
            <w:r>
              <w:rPr>
                <w:sz w:val="16"/>
              </w:rPr>
              <w:t>0.0766</w:t>
            </w:r>
          </w:p>
        </w:tc>
        <w:tc>
          <w:tcPr>
            <w:tcW w:type="dxa" w:w="960"/>
          </w:tcPr>
          <w:p>
            <w:r>
              <w:rPr>
                <w:sz w:val="16"/>
              </w:rPr>
              <w:t>0.94</w:t>
            </w:r>
          </w:p>
        </w:tc>
        <w:tc>
          <w:tcPr>
            <w:tcW w:type="dxa" w:w="960"/>
          </w:tcPr>
          <w:p>
            <w:r>
              <w:rPr>
                <w:sz w:val="16"/>
              </w:rPr>
              <w:t>17.6%</w:t>
            </w:r>
          </w:p>
        </w:tc>
        <w:tc>
          <w:tcPr>
            <w:tcW w:type="dxa" w:w="840"/>
          </w:tcPr>
          <w:p>
            <w:r>
              <w:rPr>
                <w:sz w:val="16"/>
              </w:rPr>
              <w:t>64.3%</w:t>
            </w:r>
          </w:p>
        </w:tc>
        <w:tc>
          <w:tcPr>
            <w:tcW w:type="dxa" w:w="1080"/>
          </w:tcPr>
          <w:p>
            <w:r>
              <w:rPr>
                <w:sz w:val="16"/>
              </w:rPr>
              <w:t>1000</w:t>
            </w:r>
          </w:p>
        </w:tc>
      </w:tr>
    </w:tbl>
    <w:p>
      <w:r>
        <w:rPr>
          <w:b w:val="0"/>
        </w:rPr>
        <w:t>Table 4. Governance concentration cross-section (March 2026 snapshot, Dune Analytics + Helius DAS API, top-1,000 holders per token, 35 protocol-controlled addresses excluded across 19 protocols). † = futarchy governance. ‡ = survivorship-bias control. Sorted by category then HHI ascending.</w:t>
      </w:r>
    </w:p>
    <w:p>
      <w:r>
        <w:rPr>
          <w:b w:val="0"/>
        </w:rPr>
        <w:t>Holding concentration spans nearly two orders of magnitude across the sample (Table 4). HHI ranges from 0.004 (Axelar, after excluding foundation treasury and exchange custodians) to 0.199 (Livepeer). Among DeFi governance tokens, HHI ranges from 0.018 (Lido) to 0.171 (Curve). DePIN protocols span a similar range: 0.013 (Morpheus AI, after excluding protocol distribution contracts) to 0.199 (Livepeer). The overlap between DePIN and DeFi HHI distributions is substantial, with 8 of 12 DePIN protocols falling within the DeFi range.</w:t>
      </w:r>
    </w:p>
    <w:p>
      <w:r>
        <w:rPr>
          <w:b w:val="0"/>
        </w:rPr>
        <w:t>After correcting for holder-list truncation (Solana tokens) and protocol-controlled address contamination (19 protocols), the DePIN-DeFi concentration gap narrows substantially. Several protocols previously appearing highly concentrated are revealed to have moderate concentration once measurement artifacts are removed: DRIFT (0.419 uncorrected to 0.101 corrected, reflecting Helius enumeration of 27,888 holders versus 104 from Dune), W (0.126 to 0.015), and GRASS (0.132 to 0.035). The exclusion methodology (Section 5.1a) is particularly consequential for protocols with large foundation treasuries or exchange custodian addresses in the top-10 holders.</w:t>
      </w:r>
    </w:p>
    <w:p>
      <w:r>
        <w:rPr>
          <w:b w:val="0"/>
        </w:rPr>
        <w:t>Several protocols demonstrate that low governance concentration is achievable across sectors. Axelar (HHI 0.004), LayerZero (0.010), and Wormhole (0.015) in L1/L2 infrastructure; Morpheus AI (0.013) in DePIN; and Lido (0.018) in DeFi all achieve HHI below 0.02. These counterexamples demonstrate that governance concentration reflects distribution design choices, not sector constraints.</w:t>
      </w:r>
    </w:p>
    <w:p>
      <w:r>
        <w:rPr>
          <w:b w:val="0"/>
        </w:rPr>
        <w:t>Three measurement choices affect these results and should be noted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5.3 DePIN vs. DeFi Contrast</w:t>
      </w:r>
    </w:p>
    <w:p>
      <w:r>
        <w:rPr>
          <w:b w:val="0"/>
        </w:rPr>
        <w:t>The expanded 35-protocol dataset reveals a striking finding: DePIN and DeFi governance concentration are not statistically distinguishable (p = 0.20), though DePIN concentration is significantly higher than L1/L2 infrastructure protocols (p = 0.038). DePIN mean HHI (0.088, N=12) exceeds DeFi mean HHI (0.059, N=13) by a factor of 1.49x, but this difference is not statistically significant (Welch t-test t=1.33, p=0.20, Cohen’s d=0.54). Both sectors span similar ranges and overlap substantially. The high within-sector variance (DePIN standard deviation 0.061, DeFi 0.044) overwhelms the between-sector difference, yielding a small effect size.</w:t>
      </w:r>
    </w:p>
    <w:p>
      <w:r>
        <w:rPr>
          <w:b w:val="0"/>
        </w:rPr>
        <w:t xml:space="preserve">DePIN governance concentration is also significantly higher than L1/L2 infrastructure protocols (mean HHI 0.036, N=8): Welch t-test p = 0.038, Cohen’s d = 0.95; Mann-Whitney p = 0.031. This divergence between sectors is driven by the post-exclusion infrastructure mean: ARB (0.012), OP (0.042), and GRT (0.036) all have relatively distributed token holdings once foundation and bridge addresses are removed.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(r = +0.08, p = 0.64), suggesting that the distribution design channel operates through qualitative mechanisms not captured by the allocation percentage alone. The Anyone Protocol counterexample supports this interpretation: its low concentration (HHI 0.040) reflects deliberate distribution design choices that most DePIN protocols have not yet made.</w:t>
      </w:r>
    </w:p>
    <w:p>
      <w:r>
        <w:rPr>
          <w:b w:val="0"/>
        </w:rPr>
        <w:t>The distribution design explanation is consistent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compression mechanisms entirely. The governance concentration patterns in Table 4 may reflect distribution mechanism design rather than sector-level differences. However, the regression null on insider allocation (Section 5.3) cautions against treating initial token allocation as a sufficient statistic for distribution design: compression mechanisms (sub-linear scaling, activity-based caps, delegation incentives) operate through ongoing protocol governance, not through the initial percentage split alone.</w:t>
      </w:r>
    </w:p>
    <w:p>
      <w:r>
        <w:rPr>
          <w:b w:val="0"/>
        </w:rPr>
        <w:t xml:space="preserve">Regression analysis on the 33-protocol subset with verified allocation data tests whether initial token distribution predicts governance concentration directly. The correlation between insider allocation share (team plus investor percentage at genesis) and holding HHI is near-zero (Pearson r = +0.08, p = 0.64; Spearman rho = -0.07, p = 0.70). Neither team allocation (r = -0.13, p = 0.46), investor allocation (r = +0.26, p = 0.14), community allocation (r = +0.09, p = 0.61), nor protocol maturity (r = +0.12, p = 0.51) significantly predicts holding concentration. The only covariate significantly associated with HHI is the Gini coefficient (r = +0.56, p &lt; 0.001), which is partly tautological (both measure concentration). Token unlock status (circulating-to-total supply ratio) similarly shows no association with HHI (r = -0.03, p = 0.87, N = 30), ruling out vesting schedule timing as a concentration driver.</w:t>
      </w:r>
    </w:p>
    <w:p>
      <w:r>
        <w:rPr>
          <w:b w:val="0"/>
        </w:rPr>
        <w:t xml:space="preserve">This null result is informative. MakerDAO (100% insider allocation at genesis, HHI 0.045) and Aave (0% insider allocation, HHI 0.059) show nearly identical governance concentration despite opposite allocation designs. Livepeer (76% insider, HHI 0.199) and Compound (50% insider, HHI 0.028) span the full HHI range at similar insider levels. Post-distribution dynamics, including secondary market trading, delegation behavior, and protocol-specific emission schedules, appear to dominate initial allocation as determinants of long-run governance concentration. The qualitative pattern visible in Table 4 (airdrop-distributed protocols tend toward lower HHI) may reflect correlated design choices rather than a direct causal channel from allocation to concentration.</w:t>
      </w:r>
    </w:p>
    <w:p>
      <w:r>
        <w:rPr>
          <w:b w:val="0"/>
        </w:rPr>
        <w:t>This contrast has normative significance beyond descriptive interest. The theoretical framework (Section 3) argues that governance concentration affects legitimacy through multiple channels: publicity (Hypothesis 3.1)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3.2)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Heading2"/>
      </w:pPr>
      <w:r>
        <w:t xml:space="preserve">5.4 Voting Power vs Holding Concentration</w:t>
      </w:r>
    </w:p>
    <w:p>
      <w:pPr>
        <w:pStyle w:val="Normal"/>
      </w:pPr>
      <w:r>
        <w:t xml:space="preserve">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6 reports the holding-voting HHI gap. The delegation amplification ratio (voting HHI divided by holding HHI) reveals a sector-dependent pattern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xmlns:a="http://schemas.openxmlformats.org/drawingml/2006/main" xmlns:pic="http://schemas.openxmlformats.org/drawingml/2006/picture">
          <wp:inline distT="0" distB="0" distL="0" distR="0">
            <wp:extent cx="5029200" cy="2514600"/>
            <wp:docPr id="105" name="Figure 5"/>
            <a:graphic>
              <a:graphicData uri="http://schemas.openxmlformats.org/drawingml/2006/picture">
                <pic:pic>
                  <pic:nvPicPr>
                    <pic:cNvPr id="105" name="Figure 5"/>
                    <pic:cNvPicPr/>
                  </pic:nvPicPr>
                  <pic:blipFill>
                    <a:blip r:embed="rId13"/>
                    <a:stretch>
                      <a:fillRect/>
                    </a:stretch>
                  </pic:blipFill>
                  <pic:spPr>
                    <a:xfrm>
                      <a:off x="0" y="0"/>
                      <a:ext cx="5029200" cy="2514600"/>
                    </a:xfrm>
                    <a:prstGeom prst="rect">
                      <a:avLst/>
                    </a:prstGeom>
                  </pic:spPr>
                </pic:pic>
              </a:graphicData>
            </a:graphic>
          </wp:inline>
        </w:drawing>
      </w:r>
    </w:p>
    <w:p>
      <w:pPr>
        <w:jc w:val="center"/>
      </w:pPr>
      <w:r>
        <w:rPr>
          <w:i/>
          <w:sz w:val="20"/>
        </w:rPr>
        <w:t xml:space="preserve">Figure 5. Raw holding HHI vs. delegation-adjusted HHI for five Tally-sourced protocols.</w:t>
      </w:r>
    </w:p>
    <w:p>
      <w:pPr>
        <w:pStyle w:val="Normal"/>
      </w:pPr>
      <w:r>
        <w:t xml:space="preserve">Figure 5 compares raw and delegation-adjusted HHI for five Tally-sourced protocols.</w:t>
      </w:r>
    </w:p>
    <w:p>
      <w:pPr>
        <w:pStyle w:val="Normal"/>
      </w:pPr>
      <w:r>
        <w:t xml:space="preserve">DeFi protocols show a mixed pattern. Lido exhibits substantial amplification (4.8 times), consistent with its known delegate concentration. Compound shows moderate amplification (1.9 times). Aave is roughly neutral (1.3 times). Uniswap shows mild distribution through delegation (0.67 times), suggesting its active delegate ecosystem partially decompresses governance power.</w:t>
      </w:r>
    </w:p>
    <w:p>
      <w:pPr>
        <w:pStyle w:val="Normal"/>
      </w:pPr>
      <w:r>
        <w:t xml:space="preserve">Infrastructure protocols show the reverse pattern: delegation distributes rather than concentrates. Optimism’s voting HHI (0.033) is 0.27 times its holding HHI (0.121), and Arbitrum’s (0.052) is 0.54 times its holding HHI (0.097). Both protocols have invested heavily in delegate programs, compensated delegation, and constitutional governance structures that effectively distribute voting power beyond holding concentration.</w:t>
      </w:r>
    </w:p>
    <w:p>
      <w:pPr>
        <w:pStyle w:val="Normal"/>
      </w:pPr>
      <w:r>
        <w:t xml:space="preserve">The delegation amplification finding reintroduces a sector-dependent pattern that the holding data alone did not support. While holding concentration is sector-invariant (Section 5.3), delegation amplification is not: DePIN protocols concentrate governance power through delegation at rates 3 to 6 times higher than their holding concentration, while infrastructure protocols achieve the opposite. This pattern is consistent with differences in governance infrastructure maturity.</w:t>
      </w:r>
    </w:p>
    <w:p>
      <w:pPr>
        <w:pStyle w:val="Normal"/>
      </w:pPr>
      <w:r>
        <w:t xml:space="preserve">Table 6. 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tbl>
      <w:tblPr>
        <w:tblStyle w:val="TableGrid"/>
        <w:tblW w:w="0" w:type="auto"/>
      </w:tblPr>
      <w:tblGrid>
        <w:gridCol/>
        <w:gridCol/>
        <w:gridCol/>
        <w:gridCol/>
        <w:gridCol/>
        <w:gridCol/>
      </w:tblGrid>
      <w:tr>
        <w:tc>
          <w:tcPr/>
          <w:p>
            <w:r>
              <w:rPr>
                <w:b/>
                <w:sz w:val="20"/>
              </w:rPr>
              <w:t xml:space="preserve">Protocol</w:t>
            </w:r>
          </w:p>
        </w:tc>
        <w:tc>
          <w:tcPr/>
          <w:p>
            <w:r>
              <w:rPr>
                <w:b/>
                <w:sz w:val="20"/>
              </w:rPr>
              <w:t xml:space="preserve">Category</w:t>
            </w:r>
          </w:p>
        </w:tc>
        <w:tc>
          <w:tcPr/>
          <w:p>
            <w:r>
              <w:rPr>
                <w:b/>
                <w:sz w:val="20"/>
              </w:rPr>
              <w:t xml:space="preserve">Holding HHI</w:t>
            </w:r>
          </w:p>
        </w:tc>
        <w:tc>
          <w:tcPr/>
          <w:p>
            <w:r>
              <w:rPr>
                <w:b/>
                <w:sz w:val="20"/>
              </w:rPr>
              <w:t xml:space="preserve">Voting HHI</w:t>
            </w:r>
          </w:p>
        </w:tc>
        <w:tc>
          <w:tcPr/>
          <w:p>
            <w:r>
              <w:rPr>
                <w:b/>
                <w:sz w:val="20"/>
              </w:rPr>
              <w:t xml:space="preserve">Ratio</w:t>
            </w:r>
          </w:p>
        </w:tc>
        <w:tc>
          <w:tcPr/>
          <w:p>
            <w:r>
              <w:rPr>
                <w:b/>
                <w:sz w:val="20"/>
              </w:rPr>
              <w:t xml:space="preserve">Source</w:t>
            </w:r>
          </w:p>
        </w:tc>
      </w:tr>
      <w:tr>
        <w:tc>
          <w:tcPr/>
          <w:p>
            <w:r>
              <w:rPr>
                <w:sz w:val="20"/>
              </w:rPr>
              <w:t xml:space="preserve">DIMO</w:t>
            </w:r>
          </w:p>
        </w:tc>
        <w:tc>
          <w:tcPr/>
          <w:p>
            <w:r>
              <w:rPr>
                <w:sz w:val="20"/>
              </w:rPr>
              <w:t xml:space="preserve">DePIN</w:t>
            </w:r>
          </w:p>
        </w:tc>
        <w:tc>
          <w:tcPr/>
          <w:p>
            <w:r>
              <w:rPr>
                <w:sz w:val="20"/>
              </w:rPr>
              <w:t xml:space="preserve">0.038</w:t>
            </w:r>
          </w:p>
        </w:tc>
        <w:tc>
          <w:tcPr/>
          <w:p>
            <w:r>
              <w:rPr>
                <w:sz w:val="20"/>
              </w:rPr>
              <w:t xml:space="preserve">0.228</w:t>
            </w:r>
          </w:p>
        </w:tc>
        <w:tc>
          <w:tcPr/>
          <w:p>
            <w:r>
              <w:rPr>
                <w:sz w:val="20"/>
              </w:rPr>
              <w:t xml:space="preserve">6.0x</w:t>
            </w:r>
          </w:p>
        </w:tc>
        <w:tc>
          <w:tcPr/>
          <w:p>
            <w:r>
              <w:rPr>
                <w:sz w:val="20"/>
              </w:rPr>
              <w:t xml:space="preserve">Snapshot</w:t>
            </w:r>
          </w:p>
        </w:tc>
      </w:tr>
      <w:tr>
        <w:tc>
          <w:tcPr/>
          <w:p>
            <w:r>
              <w:rPr>
                <w:sz w:val="20"/>
              </w:rPr>
              <w:t xml:space="preserve">Lido</w:t>
            </w:r>
          </w:p>
        </w:tc>
        <w:tc>
          <w:tcPr/>
          <w:p>
            <w:r>
              <w:rPr>
                <w:sz w:val="20"/>
              </w:rPr>
              <w:t xml:space="preserve">DeFi</w:t>
            </w:r>
          </w:p>
        </w:tc>
        <w:tc>
          <w:tcPr/>
          <w:p>
            <w:r>
              <w:rPr>
                <w:sz w:val="20"/>
              </w:rPr>
              <w:t xml:space="preserve">0.018</w:t>
            </w:r>
          </w:p>
        </w:tc>
        <w:tc>
          <w:tcPr/>
          <w:p>
            <w:r>
              <w:rPr>
                <w:sz w:val="20"/>
              </w:rPr>
              <w:t xml:space="preserve">0.088</w:t>
            </w:r>
          </w:p>
        </w:tc>
        <w:tc>
          <w:tcPr/>
          <w:p>
            <w:r>
              <w:rPr>
                <w:sz w:val="20"/>
              </w:rPr>
              <w:t xml:space="preserve">4.8x</w:t>
            </w:r>
          </w:p>
        </w:tc>
        <w:tc>
          <w:tcPr/>
          <w:p>
            <w:r>
              <w:rPr>
                <w:sz w:val="20"/>
              </w:rPr>
              <w:t xml:space="preserve">Snapshot</w:t>
            </w:r>
          </w:p>
        </w:tc>
      </w:tr>
      <w:tr>
        <w:tc>
          <w:tcPr/>
          <w:p>
            <w:r>
              <w:rPr>
                <w:sz w:val="20"/>
              </w:rPr>
              <w:t xml:space="preserve">WeatherXM</w:t>
            </w:r>
          </w:p>
        </w:tc>
        <w:tc>
          <w:tcPr/>
          <w:p>
            <w:r>
              <w:rPr>
                <w:sz w:val="20"/>
              </w:rPr>
              <w:t xml:space="preserve">DePIN</w:t>
            </w:r>
          </w:p>
        </w:tc>
        <w:tc>
          <w:tcPr/>
          <w:p>
            <w:r>
              <w:rPr>
                <w:sz w:val="20"/>
              </w:rPr>
              <w:t xml:space="preserve">0.148</w:t>
            </w:r>
          </w:p>
        </w:tc>
        <w:tc>
          <w:tcPr/>
          <w:p>
            <w:r>
              <w:rPr>
                <w:sz w:val="20"/>
              </w:rPr>
              <w:t xml:space="preserve">0.486</w:t>
            </w:r>
          </w:p>
        </w:tc>
        <w:tc>
          <w:tcPr/>
          <w:p>
            <w:r>
              <w:rPr>
                <w:sz w:val="20"/>
              </w:rPr>
              <w:t xml:space="preserve">3.3x</w:t>
            </w:r>
          </w:p>
        </w:tc>
        <w:tc>
          <w:tcPr/>
          <w:p>
            <w:r>
              <w:rPr>
                <w:sz w:val="20"/>
              </w:rPr>
              <w:t xml:space="preserve">Snapshot</w:t>
            </w:r>
          </w:p>
        </w:tc>
      </w:tr>
      <w:tr>
        <w:tc>
          <w:tcPr/>
          <w:p>
            <w:r>
              <w:rPr>
                <w:sz w:val="20"/>
              </w:rPr>
              <w:t xml:space="preserve">Compound</w:t>
            </w:r>
          </w:p>
        </w:tc>
        <w:tc>
          <w:tcPr/>
          <w:p>
            <w:r>
              <w:rPr>
                <w:sz w:val="20"/>
              </w:rPr>
              <w:t xml:space="preserve">DeFi</w:t>
            </w:r>
          </w:p>
        </w:tc>
        <w:tc>
          <w:tcPr/>
          <w:p>
            <w:r>
              <w:rPr>
                <w:sz w:val="20"/>
              </w:rPr>
              <w:t xml:space="preserve">0.028</w:t>
            </w:r>
          </w:p>
        </w:tc>
        <w:tc>
          <w:tcPr/>
          <w:p>
            <w:r>
              <w:rPr>
                <w:sz w:val="20"/>
              </w:rPr>
              <w:t xml:space="preserve">0.053</w:t>
            </w:r>
          </w:p>
        </w:tc>
        <w:tc>
          <w:tcPr/>
          <w:p>
            <w:r>
              <w:rPr>
                <w:sz w:val="20"/>
              </w:rPr>
              <w:t xml:space="preserve">1.9x</w:t>
            </w:r>
          </w:p>
        </w:tc>
        <w:tc>
          <w:tcPr/>
          <w:p>
            <w:r>
              <w:rPr>
                <w:sz w:val="20"/>
              </w:rPr>
              <w:t xml:space="preserve">Tally</w:t>
            </w:r>
          </w:p>
        </w:tc>
      </w:tr>
      <w:tr>
        <w:tc>
          <w:tcPr/>
          <w:p>
            <w:r>
              <w:rPr>
                <w:sz w:val="20"/>
              </w:rPr>
              <w:t xml:space="preserve">Aave</w:t>
            </w:r>
          </w:p>
        </w:tc>
        <w:tc>
          <w:tcPr/>
          <w:p>
            <w:r>
              <w:rPr>
                <w:sz w:val="20"/>
              </w:rPr>
              <w:t xml:space="preserve">DeFi</w:t>
            </w:r>
          </w:p>
        </w:tc>
        <w:tc>
          <w:tcPr/>
          <w:p>
            <w:r>
              <w:rPr>
                <w:sz w:val="20"/>
              </w:rPr>
              <w:t>0.020</w:t>
            </w:r>
          </w:p>
        </w:tc>
        <w:tc>
          <w:tcPr/>
          <w:p>
            <w:r>
              <w:rPr>
                <w:sz w:val="20"/>
              </w:rPr>
              <w:t xml:space="preserve">0.076</w:t>
            </w:r>
          </w:p>
        </w:tc>
        <w:tc>
          <w:tcPr/>
          <w:p>
            <w:r>
              <w:rPr>
                <w:sz w:val="20"/>
              </w:rPr>
              <w:t>3.8x</w:t>
            </w:r>
          </w:p>
        </w:tc>
        <w:tc>
          <w:tcPr/>
          <w:p>
            <w:r>
              <w:rPr>
                <w:sz w:val="20"/>
              </w:rPr>
              <w:t xml:space="preserve">Tally</w:t>
            </w:r>
          </w:p>
        </w:tc>
      </w:tr>
      <w:tr>
        <w:tc>
          <w:tcPr/>
          <w:p>
            <w:r>
              <w:rPr>
                <w:sz w:val="20"/>
              </w:rPr>
              <w:t xml:space="preserve">Uniswap</w:t>
            </w:r>
          </w:p>
        </w:tc>
        <w:tc>
          <w:tcPr/>
          <w:p>
            <w:r>
              <w:rPr>
                <w:sz w:val="20"/>
              </w:rPr>
              <w:t xml:space="preserve">DeFi</w:t>
            </w:r>
          </w:p>
        </w:tc>
        <w:tc>
          <w:tcPr/>
          <w:p>
            <w:r>
              <w:rPr>
                <w:sz w:val="20"/>
              </w:rPr>
              <w:t>0.032</w:t>
            </w:r>
          </w:p>
        </w:tc>
        <w:tc>
          <w:tcPr/>
          <w:p>
            <w:r>
              <w:rPr>
                <w:sz w:val="20"/>
              </w:rPr>
              <w:t xml:space="preserve">0.068</w:t>
            </w:r>
          </w:p>
        </w:tc>
        <w:tc>
          <w:tcPr/>
          <w:p>
            <w:r>
              <w:rPr>
                <w:sz w:val="20"/>
              </w:rPr>
              <w:t>2.1x</w:t>
            </w:r>
          </w:p>
        </w:tc>
        <w:tc>
          <w:tcPr/>
          <w:p>
            <w:r>
              <w:rPr>
                <w:sz w:val="20"/>
              </w:rPr>
              <w:t xml:space="preserve">Tally</w:t>
            </w:r>
          </w:p>
        </w:tc>
      </w:tr>
      <w:tr>
        <w:tc>
          <w:tcPr/>
          <w:p>
            <w:r>
              <w:rPr>
                <w:sz w:val="20"/>
              </w:rPr>
              <w:t xml:space="preserve">Arbitrum</w:t>
            </w:r>
          </w:p>
        </w:tc>
        <w:tc>
          <w:tcPr/>
          <w:p>
            <w:r>
              <w:rPr>
                <w:sz w:val="20"/>
              </w:rPr>
              <w:t xml:space="preserve">Infra</w:t>
            </w:r>
          </w:p>
        </w:tc>
        <w:tc>
          <w:tcPr/>
          <w:p>
            <w:r>
              <w:rPr>
                <w:sz w:val="20"/>
              </w:rPr>
              <w:t>0.012</w:t>
            </w:r>
          </w:p>
        </w:tc>
        <w:tc>
          <w:tcPr/>
          <w:p>
            <w:r>
              <w:rPr>
                <w:sz w:val="20"/>
              </w:rPr>
              <w:t xml:space="preserve">0.052</w:t>
            </w:r>
          </w:p>
        </w:tc>
        <w:tc>
          <w:tcPr/>
          <w:p>
            <w:r>
              <w:rPr>
                <w:sz w:val="20"/>
              </w:rPr>
              <w:t>4.3x</w:t>
            </w:r>
          </w:p>
        </w:tc>
        <w:tc>
          <w:tcPr/>
          <w:p>
            <w:r>
              <w:rPr>
                <w:sz w:val="20"/>
              </w:rPr>
              <w:t xml:space="preserve">Tally</w:t>
            </w:r>
          </w:p>
        </w:tc>
      </w:tr>
      <w:tr>
        <w:tc>
          <w:tcPr/>
          <w:p>
            <w:r>
              <w:rPr>
                <w:sz w:val="20"/>
              </w:rPr>
              <w:t xml:space="preserve">Optimism</w:t>
            </w:r>
          </w:p>
        </w:tc>
        <w:tc>
          <w:tcPr/>
          <w:p>
            <w:r>
              <w:rPr>
                <w:sz w:val="20"/>
              </w:rPr>
              <w:t xml:space="preserve">Infra</w:t>
            </w:r>
          </w:p>
        </w:tc>
        <w:tc>
          <w:tcPr/>
          <w:p>
            <w:r>
              <w:rPr>
                <w:sz w:val="20"/>
              </w:rPr>
              <w:t>0.042</w:t>
            </w:r>
          </w:p>
        </w:tc>
        <w:tc>
          <w:tcPr/>
          <w:p>
            <w:r>
              <w:rPr>
                <w:sz w:val="20"/>
              </w:rPr>
              <w:t xml:space="preserve">0.033</w:t>
            </w:r>
          </w:p>
        </w:tc>
        <w:tc>
          <w:tcPr/>
          <w:p>
            <w:r>
              <w:rPr>
                <w:sz w:val="20"/>
              </w:rPr>
              <w:t>0.79x</w:t>
            </w:r>
          </w:p>
        </w:tc>
        <w:tc>
          <w:tcPr/>
          <w:p>
            <w:r>
              <w:rPr>
                <w:sz w:val="20"/>
              </w:rPr>
              <w:t xml:space="preserve">Tally</w:t>
            </w:r>
          </w:p>
        </w:tc>
      </w:tr>
    </w:tbl>
    <w:p>
      <w:pPr>
        <w:pStyle w:val="Heading2"/>
      </w:pPr>
      <w:r>
        <w:t>5.5 Hypothesis Evidence Status</w:t>
      </w:r>
    </w:p>
    <w:p>
      <w:r>
        <w:rPr>
          <w:b w:val="0"/>
        </w:rPr>
        <w:t>Most design hypotheses find at least partial empirical support in the governance data (Table 5). Additional case evidence for the hypotheses marked "not tested in this paper."</w:t>
      </w:r>
    </w:p>
    <w:tbl>
      <w:tblPr>
        <w:tblStyle w:val="TableGrid"/>
        <w:tblW w:type="dxa" w:w="8640"/>
        <w:tblLook w:firstColumn="1" w:firstRow="1" w:lastColumn="0" w:lastRow="0" w:noHBand="0" w:noVBand="1" w:val="04A0"/>
      </w:tblPr>
      <w:tblGrid>
        <w:gridCol w:w="2160"/>
        <w:gridCol w:w="1800"/>
        <w:gridCol w:w="1440"/>
        <w:gridCol w:w="3240"/>
      </w:tblGrid>
      <w:tr>
        <w:tc>
          <w:tcPr>
            <w:tcW w:type="dxa" w:w="2160"/>
          </w:tcPr>
          <w:p>
            <w:r>
              <w:rPr>
                <w:b/>
              </w:rPr>
              <w:t>Hypothesis</w:t>
            </w:r>
          </w:p>
        </w:tc>
        <w:tc>
          <w:tcPr>
            <w:tcW w:type="dxa" w:w="1800"/>
          </w:tcPr>
          <w:p>
            <w:r>
              <w:rPr>
                <w:b/>
              </w:rPr>
              <w:t>Evidence (this paper)</w:t>
            </w:r>
          </w:p>
        </w:tc>
        <w:tc>
          <w:tcPr>
            <w:tcW w:type="dxa" w:w="1440"/>
          </w:tcPr>
          <w:p>
            <w:r>
              <w:rPr>
                <w:b/>
              </w:rPr>
              <w:t>Verdict</w:t>
            </w:r>
          </w:p>
        </w:tc>
        <w:tc>
          <w:tcPr>
            <w:tcW w:type="dxa" w:w="3240"/>
          </w:tcPr>
          <w:p>
            <w:r>
              <w:rPr>
                <w:b/>
              </w:rPr>
              <w:t>Notes</w:t>
            </w:r>
          </w:p>
        </w:tc>
        <w:trPr>
          <w:tblHeader/>
        </w:trPr>
      </w:tr>
      <w:tr>
        <w:tc>
          <w:tcPr>
            <w:tcW w:type="dxa" w:w="2160"/>
          </w:tcPr>
          <w:p>
            <w:r>
              <w:t>H3.1 Publicity-Legitimacy</w:t>
            </w:r>
          </w:p>
        </w:tc>
        <w:tc>
          <w:tcPr>
            <w:tcW w:type="dxa" w:w="1800"/>
          </w:tcPr>
          <w:p>
            <w:r>
              <w:t>Quant (HHI cross-section)</w:t>
            </w:r>
          </w:p>
        </w:tc>
        <w:tc>
          <w:tcPr>
            <w:tcW w:type="dxa" w:w="1440"/>
          </w:tcPr>
          <w:p>
            <w:r>
              <w:t>Descriptive (concentration data consistent with publicity concerns; deliberation-quality metrics not collected)</w:t>
            </w:r>
          </w:p>
        </w:tc>
        <w:tc>
          <w:tcPr>
            <w:tcW w:type="dxa" w:w="3240"/>
          </w:tcPr>
          <w:p>
            <w:r>
              <w:t>HHI measures domination potential; deliberation-quality metrics not collected</w:t>
            </w:r>
          </w:p>
        </w:tc>
      </w:tr>
      <w:tr>
        <w:tc>
          <w:tcPr>
            <w:tcW w:type="dxa" w:w="2160"/>
          </w:tcPr>
          <w:p>
            <w:r>
              <w:t>H3.2 Contestability – Non-Domination</w:t>
            </w:r>
          </w:p>
        </w:tc>
        <w:tc>
          <w:tcPr>
            <w:tcW w:type="dxa" w:w="1800"/>
          </w:tcPr>
          <w:p>
            <w:r>
              <w:t>Quant (HHI cross-section)</w:t>
            </w:r>
          </w:p>
        </w:tc>
        <w:tc>
          <w:tcPr>
            <w:tcW w:type="dxa" w:w="1440"/>
          </w:tcPr>
          <w:p>
            <w:r>
              <w:t>Descriptive (HHI consistent with domination risk)</w:t>
            </w:r>
          </w:p>
        </w:tc>
        <w:tc>
          <w:tcPr>
            <w:tcW w:type="dxa" w:w="3240"/>
          </w:tcPr>
          <w:p>
            <w:r>
              <w:t>HHI &gt; 0.25 consistent with domination risk; testing contestation requires mechanism-level inventory</w:t>
            </w:r>
          </w:p>
        </w:tc>
      </w:tr>
      <w:tr>
        <w:tc>
          <w:tcPr>
            <w:tcW w:type="dxa" w:w="2160"/>
          </w:tcPr>
          <w:p>
            <w:r>
              <w:t>H3.3 Sinks Before Faucets</w:t>
            </w:r>
          </w:p>
        </w:tc>
        <w:tc>
          <w:tcPr>
            <w:tcW w:type="dxa" w:w="1800"/>
          </w:tcPr>
          <w:p>
            <w:r>
              <w:t>Not directly tested</w:t>
            </w:r>
          </w:p>
        </w:tc>
        <w:tc>
          <w:tcPr>
            <w:tcW w:type="dxa" w:w="1440"/>
          </w:tcPr>
          <w:p>
            <w:r>
              <w:t>Descriptive only</w:t>
            </w:r>
          </w:p>
        </w:tc>
        <w:tc>
          <w:tcPr>
            <w:tcW w:type="dxa" w:w="3240"/>
          </w:tcPr>
          <w:p>
            <w:r>
              <w:t>Fiscal sustainability not instrumentable with cross-sectional governance data; requires burn/emission flow analysis</w:t>
            </w:r>
          </w:p>
        </w:tc>
      </w:tr>
      <w:tr>
        <w:tc>
          <w:tcPr>
            <w:tcW w:type="dxa" w:w="2160"/>
          </w:tcPr>
          <w:p>
            <w:r>
              <w:t>H3.4 Service over Presence</w:t>
            </w:r>
          </w:p>
        </w:tc>
        <w:tc>
          <w:tcPr>
            <w:tcW w:type="dxa" w:w="1800"/>
          </w:tcPr>
          <w:p>
            <w:r>
              <w:t>Not directly tested</w:t>
            </w:r>
          </w:p>
        </w:tc>
        <w:tc>
          <w:tcPr>
            <w:tcW w:type="dxa" w:w="1440"/>
          </w:tcPr>
          <w:p>
            <w:r>
              <w:t>Indirect</w:t>
            </w:r>
          </w:p>
        </w:tc>
        <w:tc>
          <w:tcPr>
            <w:tcW w:type="dxa" w:w="3240"/>
          </w:tcPr>
          <w:p>
            <w:r>
              <w:t>DePIN-specific; requires operational data (proof-of-coverage, service quality) not available in governance snapshots</w:t>
            </w:r>
          </w:p>
        </w:tc>
      </w:tr>
      <w:tr>
        <w:tc>
          <w:tcPr>
            <w:tcW w:type="dxa" w:w="2160"/>
          </w:tcPr>
          <w:p>
            <w:r>
              <w:t>H3.5 Polycentric Adaptation</w:t>
            </w:r>
          </w:p>
        </w:tc>
        <w:tc>
          <w:tcPr>
            <w:tcW w:type="dxa" w:w="1800"/>
          </w:tcPr>
          <w:p>
            <w:r>
              <w:t>Indirect</w:t>
            </w:r>
          </w:p>
        </w:tc>
        <w:tc>
          <w:tcPr>
            <w:tcW w:type="dxa" w:w="1440"/>
          </w:tcPr>
          <w:p>
            <w:r>
              <w:t>Indirect</w:t>
            </w:r>
          </w:p>
        </w:tc>
        <w:tc>
          <w:tcPr>
            <w:tcW w:type="dxa" w:w="3240"/>
          </w:tcPr>
          <w:p>
            <w:r>
              <w:t>HHI does not measure polycentric structure; delegation patterns and council arrangements may reduce effective concentration</w:t>
            </w:r>
          </w:p>
        </w:tc>
      </w:tr>
    </w:tbl>
    <w:p>
      <w:r>
        <w:rPr/>
        <w:t>Evidence grades: Quant = computed from the governance concentration cross-section (this paper, N=13). Not directly tested = hypothesis not instrumentable with cross-sectional governance data. Not measured = data not instrumentable in current sample. Verdicts use the same vocabulary as the Integrity Ledger (Umbrella Table 1.1).</w:t>
      </w:r>
    </w:p>
    <w:p>
      <w:r>
        <w:rPr>
          <w:b w:val="0"/>
          <w:i/>
        </w:rPr>
        <w:t>Table 5. Design hypothesis evidence status.</w:t>
      </w:r>
    </w:p>
    <w:p>
      <w:r>
        <w:rPr>
          <w:b w:val="0"/>
        </w:rPr>
        <w:t>The governance concentration data (Table 4) provide descriptive evidence bearing on Hypotheses 3.1 (publicity-legitimacy) and 3.2 (contestability). Specifically, the finding that DePIN tokens are materially more concentrated than DeFi peers indicates that DePIN governance structures have not yet achieved the legitimacy properties these hypotheses require. The Anyone Protocol counterexample demonstrates that achieving low concentration is feasible, supporting the hypothesis that concentration reflects distribution design rather than structural necessity. Hypotheses 3.3 through 3.5 are not directly tested with the governance concentration data in this paper and require additional evidence (fiscal flow analysis, operational telemetry, and polycentric structure mapping respectively).</w:t>
      </w:r>
    </w:p>
    <w:p>
      <w:r>
        <w:t xml:space="preserve">5.6 Robustness: Alternative Concentration Metrics
The holding concentration results use HHI as the primary metric. Three alternative measures computed for all 35 protocols confirm internal consistency: HHI and normalized Shannon entropy are strongly anti-correlated (r = -0.837), and HHI and Gini are moderately correlated (r = 0.439). Sector comparisons are directionally consistent across all four metrics (DePIN higher than DeFi) but no metric produces a significant DePIN-DeFi difference (Mann-Whitney p &gt; 0.4 for all four), confirming that the sector-invariance null is robust to metric choice.</w:t>
      </w:r>
    </w:p>
    <w:p>
      <w:pPr>
        <w:jc w:val="center"/>
      </w:pPr>
      <w:r>
        <w:drawing xmlns:a="http://schemas.openxmlformats.org/drawingml/2006/main" xmlns:pic="http://schemas.openxmlformats.org/drawingml/2006/picture">
          <wp:inline distT="0" distB="0" distL="0" distR="0">
            <wp:extent cx="5029200" cy="3017520"/>
            <wp:docPr id="106" name="Figure 6"/>
            <a:graphic>
              <a:graphicData uri="http://schemas.openxmlformats.org/drawingml/2006/picture">
                <pic:pic>
                  <pic:nvPicPr>
                    <pic:cNvPr id="106" name="Figure 6"/>
                    <pic:cNvPicPr/>
                  </pic:nvPicPr>
                  <pic:blipFill>
                    <a:blip r:embed="rId15"/>
                    <a:stretch>
                      <a:fillRect/>
                    </a:stretch>
                  </pic:blipFill>
                  <pic:spPr>
                    <a:xfrm>
                      <a:off x="0" y="0"/>
                      <a:ext cx="5029200" cy="3017520"/>
                    </a:xfrm>
                    <a:prstGeom prst="rect">
                      <a:avLst/>
                    </a:prstGeom>
                  </pic:spPr>
                </pic:pic>
              </a:graphicData>
            </a:graphic>
          </wp:inline>
        </w:drawing>
      </w:r>
    </w:p>
    <w:p>
      <w:pPr>
        <w:jc w:val="center"/>
      </w:pPr>
      <w:r>
        <w:rPr>
          <w:i/>
          <w:sz w:val="20"/>
        </w:rPr>
        <w:t xml:space="preserve">Figure 6. HHI vs. voter participation rate for protocols with governance data.</w:t>
      </w:r>
    </w:p>
    <w:p>
      <w:pPr>
        <w:pStyle w:val="Heading1"/>
      </w:pPr>
      <w:r>
        <w:t>6. Discussion</w:t>
      </w:r>
    </w:p>
    <w:p>
      <w:pPr>
        <w:pStyle w:val="Heading2"/>
      </w:pPr>
      <w:r>
        <w:t>6.1 Design Hypotheses</w:t>
      </w:r>
    </w:p>
    <w:p>
      <w:r>
        <w:t xml:space="preserve">Rather than evaluating each hypothesis in isolation, we organize the evidence thematically: what the governance data directly demonstrate, what they constrain but cannot confirm, and what lies beyond the current evidence base. </w:t>
      </w:r>
    </w:p>
    <w:p>
      <w:r>
        <w:t>Descriptive evidence: governance concentration patterns (Hypotheses 3.1 and 3.2, with implications for the Rawlsian fairness lens). The governance cross-section (Table 4) provides descriptive evidence most directly relevant to Hypotheses 3.1 (publicity-legitimacy) and 3.2 (contestability), with implications for the Rawlsian fairness lens. The normative framework interprets this governance concentration patterns because when governance tokens are concentrated, the conditions these traditions identify as essential for legitimacy are structurally undermined. Protocols at the upper end of the concentration range (Livepeer at 0.199, WeatherXM at 0.148, GEODNET at 0.133) exhibit concentration levels the normative framework flags for scrutiny, though no protocol in the corrected cross-section exceeds the conventional 0.25 antitrust threshold. Even at these levels, governance decisions can disproportionately reflect a small set of holders’ preferences, making “public justification” structurally thin.</w:t>
        <w:br/>
        <w:t>These same protocols raise Rawlsian fairness concerns because operators who deploy hardware and deliver service hold insufficient tokens to influence governance outcomes affecting their investments.</w:t>
        <w:br/>
        <w:t>The republican non-domination condition is most directly measurable: concentration above the conventional threshold means few holders can override community preferences without formal contestation mechanisms. The counterexample (Anyone, HHI 0.040) demonstrates that these conditions are not inherent to DePIN architecture but reflect distribution design choices. Among DeFi benchmarks, Compound’s lower concentration (HHI 0.027) partly reflects active delegation, suggesting that institutional design can reduce effective concentration without token redistribution. Evidence grade: descriptive support for Hypotheses 3.1 and 3.2; the concentration data capture the conditions that publicity and non-domination traditions identify as problematic.</w:t>
      </w:r>
    </w:p>
    <w:p>
      <w:r>
        <w:t>Indirect signals: structural constraints on adaptivity (Hypotheses 3.4 and 3.5). The service-over-presence hypothesis (3.4) and the polycentric adaptation hypothesis (3.5) posit that governance structures incorporating diverse, edge-level input produce more adaptive systems. The HHI cross-section cannot test these claims directly because it measures token concentration, not governance structure diversity or information flow. However, the data reveal a structural constraint: edge-participant voice is suppressed when holdings are concentrated.</w:t>
        <w:br/>
        <w:t>Operators in DePIN networks who possess the most relevant operational knowledge (coverage gaps, hardware failure modes, local demand patterns) cannot influence governance decisions if they hold small token positions. The Helium case demonstrates this tension (Zukowski, 2026b): the HIP-147 reform succeeded partly because Helium’s governance process channeled edge-operator input despite concentrated holdings.</w:t>
        <w:br/>
        <w:t>The finding that delegation design affects concentration also indicates that polycentric features (subDAOs, councils, delegation hierarchies) may reduce effective concentration without requiring redistribution. Evidence grade: indirect; the concentration data identify structural constraints on adaptivity, but the adaptive mechanism itself requires longitudinal evidence beyond the scope of this cross-section. A companion simulation (Zukowski, 2026e) calibrated to Helium parameters demonstrates that PID-controlled emission compresses node-count variance by sixfold across a 240-run Monte Carlo ensemble, raising the 5th-percentile node count from 1,049 (static emission) to 8,880 (PID-controlled). The mechanism’s primary value is floor-raising: it prevents the worst outcomes rather than improving averages, consistent with the Rawlsian fairness lens’s emphasis on protecting the least advantaged.</w:t>
      </w:r>
    </w:p>
    <w:p>
      <w:r>
        <w:rPr/>
        <w:t>A companion study (Zukowski, 2026b) documents a related concentration risk in DePIN fiscal sustainability: Helium’s aggregate Spend-to-Reward ratio crossed fiscal parity, but approximately five purchasers account for 90% of token burns, a concentration invisible to aggregate metrics. Governance concentration and demand concentration are distinct failure modes that can coexist: a protocol may be governance-concentrated but demand-diversified, or vice versa.</w:t>
      </w:r>
    </w:p>
    <w:p>
      <w:r>
        <w:t>Evidence gaps and research frontiers. Three directions lie beyond the reach of governance token data. First, capability-oriented evaluation (following Sen and Nussbaum) requires participant-level data on income, skill development, and infrastructure access that no protocol currently instruments at scale. Second, contextual integrity (following Floridi and Nissenbaum) requires trust and data governance metrics; the concentration finding raises a related concern, since concentrated governance means decisions about data use and privacy norms are made by a small group rather than by the community whose data is at stake. This concern is particularly relevant for protocols collecting location data (Helium), vehicle telemetry (DIMO), or health data (CUDIS). Third, cosmopolitan inclusion (following Appiah) identifies a tension the data confirm descriptively: most DePIN protocols have global operator bases but concentrated governance, meaning geographic inclusion coexists with governance exclusion. Testing whether cosmopolitan governance improves outcomes requires longitudinal analysis across jurisdictions.</w:t>
      </w:r>
    </w:p>
    <w:p>
      <w:r>
        <w:t>In sum, the governance cross-section provides descriptive evidence consistent with the two hypotheses most central to legitimacy (publicity-legitimacy, contestability) and with implications for the Rawlsian fairness lens, plus indirect evidence constraining the two hypotheses about adaptive governance (polycentricity, knowledge-use), and identifies three evidence frontiers (capability, contextual integrity, cosmopolitanism) that define the next phase of empirical work. The evidence frontiers identified here (service verification, contextual integrity, concentration dynamics) require new data collection infrastructure that does not yet exist in the DePIN ecosystem.</w:t>
      </w:r>
    </w:p>
    <w:p>
      <w:pPr>
        <w:pStyle w:val="Heading2"/>
      </w:pPr>
      <w:r>
        <w:t>6.2 Governance Design Implications</w:t>
      </w:r>
    </w:p>
    <w:p>
      <w:r>
        <w:rPr/>
        <w:t>The governance concentration evidence demands specific institutional responses. Five design implications translate the framework into mechanisms, grounded in executed evidence where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35 protocols with valid data (Gini 0.45–0.99; Table 4; Livepeer excluded due to bridge-schema measurement failure)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can exercise unchecked power. The concentration cross-section (Table 4) shows that some tokens sit in the “highly concentrated” regime even before delegated voting is considered (e.g., WXM holding HHI 0.148; DIMO 0.038). Among mature DeFi governance tokens, the CRV case (HHI 0.174, highest among DeFi peers in the sample) illustrates how locking mechanisms can concentrate governance: Convex controls approximately 47% of veCRV (DeFi Llama, 2026).</w:t>
        <w:br/>
        <w:t>Design implication: treat integrity as an institutional layer. Separation of powers (e.g., Optimism’s bicameral Token House / Citizens’ House), independent security councils or audit committees with narrowly scoped veto authority over security-critical changes. Mandatory timelocks and public disclosure requirements for large delegates are especially important in GeoDePINs where thousands of operators can be exposed to governance outcomes without holding meaningful token power.</w:t>
      </w:r>
    </w:p>
    <w:p>
      <w:r>
        <w:rPr/>
        <w:t>Appeals and Dispute Resolution Contestability requires formal appeal mechanisms. HIP-147’s acceptance (even by operators whose rewards were reduced; see Zukowski, 2026b) indicates that structured processes with clear rules produce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allowing rule evolution suggests building in periodic constitutional reviews, scheduled opportunities to adjust quorums, proposal formats, and role definitions based on participation data. An emergency governance protocol is also prudent: defining in advance who can act under crisis conditions (e.g., a smart contract exploit), with what authority, and subject to what retroactive accountability. This bounded emergency power paradoxically strengthens legitimacy by making deviations from normal process predictable and auditable.</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6.3 Broader Institutional Implications</w:t>
      </w:r>
    </w:p>
    <w:p>
      <w:r>
        <w:rPr>
          <w:b w:val="0"/>
        </w:rPr>
        <w:t>Three transfers extend these principles beyond tokenomics. First, the transparency principles operationalized through the Kantian publicity lens (Section 3) apply to any institution that claims legitimacy through openness: cooperative governance, public benefit corporations, and regulatory sandboxes face similar tensions between claimed transparency and operational opacity. Second, the governance concentration finding (Section 5) raises accountability questions that echo existing debates about corporate board composition and shareholder activism: who governs, and by what right? Third, the scoring rubric (Table 1) demonstrates that normative philosophy can be operationalized as measurement infrastructure, a methodological contribution that extends beyond blockchain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6.4 Risks and Counterpoints</w:t>
      </w:r>
    </w:p>
    <w:p>
      <w:r>
        <w:rPr>
          <w:b w:val="0"/>
          <w:i w:val="0"/>
        </w:rPr>
        <w:t>Several risks deserve candid acknowledgment.</w:t>
      </w:r>
    </w:p>
    <w:p>
      <w:r>
        <w:rPr>
          <w:b w:val="0"/>
        </w:rPr>
        <w:t>Philosophical overreach.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structured signals, not verdicts.</w:t>
      </w:r>
    </w:p>
    <w:p>
      <w:r>
        <w:rPr>
          <w:b w:val="0"/>
        </w:rPr>
        <w:t>Plutocratic concentration as equilibrium. The governance concentration data (Table 4) may reflect a stable equilibrium rather than a design flaw: if governance power accrues to those with the most skin in the game, concentration may be the efficient outcome.</w:t>
      </w:r>
    </w:p>
    <w:p>
      <w:r>
        <w:rPr>
          <w:b w:val="0"/>
        </w:rPr>
        <w:t>Distribution breadth at token launch may be a poor predictor of long-term governance concentration. Practitioner evidence documents participation declines of 50 percent or more after initial token distributions as recipients with short time horizons exit (Sawinyh, 2025). If exiting participants sell governance tokens into thin order books, concentrated buyers absorb the supply, and post-distribution HHI exceeds pre-distribution HHI. The result is a ratchet: broad initial allocation converges toward a concentrated steady state through secondary market dynamics rather than protocol design. The DePIN concentration levels in Table 4 are consistent with this pattern, though the single-snapshot design cannot distinguish concentration that was designed in from concentration that accumulated through post-launch trading.</w:t>
      </w:r>
    </w:p>
    <w:p>
      <w:r>
        <w:rPr>
          <w:b w:val="0"/>
        </w:rPr>
        <w:t>The counterargument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val="0"/>
        </w:rPr>
        <w:t>Measurement challenges. The scoring rubric depends on publicly observable design features, but some legitimacy-relevant properties (backroom governance, informal influence, regulatory relationships) are not observable on-chain. We specify inter-rater reliability protocols (Supplementary File S2)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parameter-setting legitimacy deficit that the framework diagnoses under Hypotheses 3.1 and 3.2.</w:t>
      </w:r>
    </w:p>
    <w:p>
      <w:r>
        <w:rPr>
          <w:b w:val="0"/>
        </w:rPr>
        <w:t>Speed versus legitimacy trade-off.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6.5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Werbach’s (2018) blockchain governance taxonomy, de Filippi &amp; Wright’s (2018) code-as-law analysis, and Reijers &amp; Coeckelbergh’s (2018) blockchain ethics framework by moving from descriptive classification to prescriptive mechanism design grounded in political philosophy. The GeoDePIN taxonomy and demand-concentration diagnostic are, to our knowledge, new to the literature.</w:t>
      </w:r>
    </w:p>
    <w:p>
      <w:r>
        <w:rPr/>
        <w:t>Mechanism Design and Institutional Economics.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 rather than social norms. The governance concentration data (Table 4) provides the kind of empirical institutional comparison Ostrom advocated.</w:t>
      </w:r>
    </w:p>
    <w:p>
      <w:r>
        <w:rPr/>
        <w:t>Political Philosophy and Institutional Design. The philosophical framework (Section 3)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 The thesis demonstrates that philosophical principles are not merely aspirational but can be operationalized as measurable design criteria.</w:t>
      </w:r>
    </w:p>
    <w:p>
      <w:r>
        <w:rPr/>
        <w:t>Blockchain Governance Scholarship.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extends the literature on DePIN sustainability with longitudinal data showing how tokenomic design shifts affect burn-to-issuance trajectories.</w:t>
      </w:r>
    </w:p>
    <w:p>
      <w:r>
        <w:rPr/>
        <w:t>Token Engineering and Cryptoeconomics.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A cost comparison analysis developed separately contributes a practitioner-relevant benchmark that the token engineering literature currently lacks.</w:t>
      </w:r>
    </w:p>
    <w:p>
      <w:r>
        <w:rPr/>
        <w:t>The paper demonstrates the value of interdisciplinary synthesis: applying humanities and social science frameworks to technical system design yields insights that neither discipline produces alone.</w:t>
      </w:r>
    </w:p>
    <w:p>
      <w:pPr>
        <w:pStyle w:val="Heading1"/>
      </w:pPr>
      <w:r>
        <w:t>7. Conclusion</w:t>
      </w:r>
    </w:p>
    <w:p>
      <w:pPr>
        <w:pStyle w:val="Heading2"/>
      </w:pPr>
      <w:r>
        <w:t>7.1 Summary</w:t>
      </w:r>
    </w:p>
    <w:p>
      <w:r>
        <w:rPr>
          <w:b w:val="0"/>
        </w:rPr>
        <w:t xml:space="preserve">Within DeFi, subsidy ratio (token incentives relative to revenue) shows a moderate positive association with corrected holding HHI (r = +0.36, p = 0.34, N = 9), though this does not reach significance after the stkAAVE and UNI Timelock exclusions reduced AAVE and Uniswap HHI substantially. The sensitivity of this result to the exclusion methodology cautions against treating it as robust.</w:t>
      </w:r>
    </w:p>
    <w:p>
      <w:r>
        <w:t xml:space="preserve">On-chain subsidy ratios, computed from protocol-native revenue and emission events rather than aggregator definitions, do not predict governance concentration cross-sector (Pearson r = +0.15, p = 0.57, N = 17 protocols with computable ratios; Spearman rho = +0.37, p = 0.14). DePIN protocols span a wide subsidy range: DIMO operates below burn-mint equilibrium (subsidy ratio 0.3x, burns exceed emissions), while Filecoin sustains a 22x subsidy ratio through block rewards that dwarf storage deal fees. Despite this 66-fold range, subsidy ratio does not significantly correlate with governance concentration in either sector or cross-sector. A Blinder-Oaxaca decomposition using TT-independent covariates (maturity, log FDV, insider allocation) finds that available covariates explain approximately 2% of the DePIN-DeFi HHI gap (N = 22), with the residual reflecting unmeasured factors that the on-chain subsidy data also fails to capture.</w:t>
      </w:r>
    </w:p>
    <w:p>
      <w:r>
        <w:t xml:space="preserve">Table 7 reports multivariate OLS regressions of HHI on protocol characteristics. The DePIN coefficient is positive across all specifications (Model 1: +0.028, p = 0.20, N = 24) but does not reach conventional significance. No individual covariate achieves p &lt; 0.10. The adjusted R-squared ranges from 0.01 to 0.08, confirming that measured covariates explain very little cross-sectional variation. The sample (N = 24 to 33 depending on specification) is underpowered for multivariate inference; the pipeline specification (Supplementary File S5) documents the infrastructure for replication at larger sample sizes.</w:t>
      </w:r>
    </w:p>
    <w:p>
      <w:r>
        <w:t xml:space="preserve">[Table 7. OLS regression of HHI on protocol characteristics. Robust SEs. Models 1-3: full sample, TT-independent covariates. * p &lt; 0.10, ** p &lt; 0.05, *** p &lt; 0.01.]</w:t>
      </w:r>
    </w:p>
    <w:p>
      <w:pPr>
        <w:pStyle w:val="Heading2"/>
      </w:pPr>
      <w:r>
        <w:t>7.2 Contributions</w:t>
      </w:r>
    </w:p>
    <w:p>
      <w:r>
        <w:rPr>
          <w:b w:val="0"/>
        </w:rPr>
        <w:t xml:space="preserve">Legitimacy in tokenized systems can be made an evaluable design property rather than a rhetorical claim. Four artifacts make this concrete. First, a normative framework bridging political philosophy and token engineering. Second, a replicable scoring rubric (Table 1) with explicit criteria for five design dimensions. Third, no measured covariate predicts long-run governance concentration: not sector membership, not initial token allocation (r = +0.08, p = 0.64, N = 33), not protocol maturity, not market capitalization, and not subsidy structure. On-chain subsidy ratios, computed from protocol-native revenue and emission events for 8 DePIN and 9 DeFi protocols, do not correlate with HHI cross-sector (r = +0.15, p = 0.57, N = 17). A systematic data coverage asymmetry between DeFi and DePIN financial metrics (Token Terminal covers 100% of DeFi but 25-58% of DePIN protocols) motivated on-chain measurement; closing this gap confirmed rather than overturned the null. Fourth, delegation amplification is sector-dependent: DePIN protocols concentrate governance through delegation (3 to 6 times holding HHI), while infrastructure protocols with funded delegate programs achieve the reverse (delegation-adjusted HHI decreasing 16 to 21%).</w:t>
      </w:r>
    </w:p>
    <w:p>
      <w:pPr>
        <w:pStyle w:val="Heading2"/>
      </w:pPr>
      <w:r>
        <w:t>7.3 Limitations</w:t>
      </w:r>
    </w:p>
    <w:p>
      <w:r>
        <w:rPr>
          <w:b w:val="0"/>
        </w:rPr>
        <w:t>The evidence carries several limitations. The governance concentration analysis is a March 2026 snapshot: concentration trajectories over time would enable deconcentration analysis and strengthen causal claims. A single scorer has applied the scoring rubric; inter-rater reliability testing with independent scorers is needed before the rubric can claim measurement validity beyond its current proof-of-concept status. The sample of 35 sampled protocols is sufficient for descriptive comparison but too small for robust regression analysis; the pipeline specification (Supplementary File S5) is designed for expansion to 20+ protocols. The sample includes only active protocols, introducing potential survivorship bias (see Section 4.3 for planned inclusion of stagnated projects). We have not validated the Synergy Index against outcome measures; Partial validation through case evidence is reported separately, but a full validation study is future work.</w:t>
      </w:r>
    </w:p>
    <w:p>
      <w:pPr>
        <w:pStyle w:val="Heading2"/>
      </w:pPr>
      <w:r>
        <w:t>7.4 Future Research</w:t>
      </w:r>
    </w:p>
    <w:p>
      <w:r>
        <w:rPr>
          <w:b w:val="0"/>
        </w:rPr>
        <w:t>Three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Second, sample expansion: the pipeline is designed for N = 20+ protocols; reaching this threshold would enable the regression, panel, and event-study analyses currently specified as replication-ready designs. Third, inter-rater reliability: recruiting independent scorers to apply the rubric to overlapping protocol subsets would test whether the philosophical lens scores are reproducible and would strengthen the measurement claim.</w:t>
      </w:r>
    </w:p>
    <w:p>
      <w:pPr>
        <w:pStyle w:val="Heading2"/>
      </w:pPr>
      <w:r>
        <w:t>7.5 Closing</w:t>
      </w:r>
    </w:p>
    <w:p>
      <w:r>
        <w:rPr>
          <w:b w:val="0"/>
        </w:rPr>
        <w:t>If blockchains are to govern real resources and real communities, their institutional design must be held to real standards. This paper offers one path toward that standard: a framework rooted in the traditions that have shaped how societies evaluate legitimate governance, translated into tools that designers and evaluators can use. The governance concentration data suggest that the gap between aspiration and reality is wide. Closing that gap is a design problem, and design problems have solutions.</w:t>
      </w:r>
    </w:p>
    <w:p>
      <w:pPr>
        <w:pStyle w:val="Heading1"/>
      </w:pPr>
      <w:r>
        <w:t>Supplementary Material</w:t>
      </w:r>
    </w:p>
    <w:p>
      <w:r>
        <w:t>The following supplementary files accompany this paper:</w:t>
      </w:r>
    </w:p>
    <w:p>
      <w:r>
        <w:t xml:space="preserve">Supplementary File S1: Extended metric definitions, including the Synergy Index construction and inter-rater reliability specification for multi-coder deployment of the scoring rubric.</w:t>
      </w:r>
    </w:p>
    <w:p>
      <w:r>
        <w:t xml:space="preserve">Supplementary File S2: Research instrument templates, including the protocol codebook schema and scoring sheet template with worked examples.</w:t>
      </w:r>
    </w:p>
    <w:p>
      <w:r>
        <w:t xml:space="preserve">Supplementary File S3: Scoring tables (protocol × criterion matrices with evidence links) for all 11 scored protocols.</w:t>
      </w:r>
    </w:p>
    <w:p>
      <w:r>
        <w:t xml:space="preserve">Supplementary File S4: Events table for future event-study analyses.</w:t>
      </w:r>
    </w:p>
    <w:p>
      <w:r>
        <w:t xml:space="preserve">Supplementary File S5: Full empirical pipeline specification (16 analyses across five categories), including replication-ready design for cross-sectional, panel, event-study, and qualitative analyses.</w:t>
      </w:r>
    </w:p>
    <w:p>
      <w:r>
        <w:t>Supplementary File S6: Raw governance token distribution data (Dune Analytics SQL queries and results, March 2026 snapshot).</w:t>
      </w:r>
    </w:p>
    <w:p>
      <w:r>
        <w:t xml:space="preserve">Replication data: https://github.com/Research-Publications-and-Data/Tokenomics-As-Institutional_Design</w:t>
      </w:r>
    </w:p>
    <w:p>
      <w:pPr>
        <w:pStyle w:val="Heading1"/>
      </w:pPr>
      <w:r>
        <w:t>References</w:t>
      </w:r>
    </w:p>
    <w:p>
      <w:r>
        <w:t>Appiah, K. A. (2006). Cosmopolitanism: Ethics in a world of strangers. W. W. Norton.</w:t>
      </w:r>
    </w:p>
    <w:p>
      <w:r>
        <w:t>Aramonte, S., Huang, W., &amp; Schrimpf, A. (2021). DeFi risks and the decentralisation illusion. BIS Quarterly Review, December 2021, 21–36. https://www.bis.org/publ/qtrpdf/r_qt2112b.htm</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Buchanan, J. M., &amp; Tullock, G. (1962). The calculus of consent: Logical foundations of constitutional democracy. University of Michigan Press.</w:t>
      </w:r>
    </w:p>
    <w:p>
      <w:r>
        <w:t>Buterin, V., Conner, E., Dudley, R., Slipper, M., &amp; Norder, I. (2019). EIP-1559: Fee market change for ETH 1.0 chain (Ethereum Improvement Proposal). https://eips.ethereum.org/EIPS/eip-1559</w:t>
      </w:r>
    </w:p>
    <w:p>
      <w:r>
        <w:t>CoinGecko. (2026). Cryptocurrency market data. Retrieved March 2026, from https://www.coingecko.com</w:t>
      </w:r>
    </w:p>
    <w:p>
      <w:r>
        <w:t>Cong, L. W., Rabetti, D., Wang, C. C. Y., &amp; Yan, Y. (2025). Centralized governance in decentralized organizations (Draft: August 2025). Working Paper.</w:t>
      </w:r>
    </w:p>
    <w:p>
      <w:r>
        <w:t>Cosmos. (2026). IBC protocol documentation. https://cosmos.network/ibc</w:t>
      </w:r>
    </w:p>
    <w:p>
      <w:r>
        <w:t>DeepDAO. (2023). DAO governance analytics [Data set]. Retrieved 2023, from https://deepdao.io</w:t>
      </w:r>
    </w:p>
    <w:p>
      <w:r>
        <w:t>Dune Analytics. (2026). On-chain governance token holder data [Data set]. Retrieved March 2026, from https://dune.com</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Gersbach, H., Schneider, M., &amp; Shahkar, P. (2024). Effects of vote delegation in blockchains: Who wins? arXiv:2408.05410 (revised July 2025). https://doi.org/10.48550/arXiv.2408.05410</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Liu, Y., Makarov, I., &amp; Schoar, A. (2023). Anatomy of a run: The Terra Luna crash. NBER Working Paper No. 31160. https://doi.org/10.3386/w31160</w:t>
      </w:r>
    </w:p>
    <w:p>
      <w:r>
        <w:t>Myerson, R. B. (1981). Optimal auction design. Mathematics of Operations Research, 6(1), 58–73. https://doi.org/10.1287/moor.6.1.58</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Ostrom, E. (1990). Governing the commons: The evolution of institutions for collective action. Cambridge University Press.</w:t>
      </w:r>
    </w:p>
    <w:p>
      <w:r>
        <w:t>OpenGov.Watch. (2024). 2024-H1 Polkadot Treasury Report. https://www.opengov.watch/reports/treasury-reports/03_2024-treasury-report-h1</w:t>
      </w:r>
    </w:p>
    <w:p>
      <w:r>
        <w:t xml:space="preserve">Optimism. (2024). Optimism governance documentation: Citizens’ House. https://community.optimism.io/docs/governance/</w:t>
      </w:r>
    </w:p>
    <w:p>
      <w:r>
        <w:t>Pettit, P. (1997). Republicanism: A theory of freedom and government. Oxford University Press.</w:t>
      </w:r>
    </w:p>
    <w:p>
      <w:r>
        <w:t>Rawls, J. (1999). A theory of justice (Rev. ed.). Belknap Press of Harvard University Press. https://doi.org/10.4159/9780674042582 (Original work published 1971.)</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Shapira, L. (2022, July 26). Is Helium Really Doing $6,500 a Month in Revenue? DeWi on-chain analysis. https://x.com/liron/status/1552102241259163648</w:t>
      </w:r>
    </w:p>
    <w:p>
      <w:r>
        <w:t>Sen, A. (1999). Development as freedom. Alfred A. Knopf.</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Werner, S. M., Perez, D., Gudgeon, L., Klages-Mundt, A., Harz, D., &amp; Knottenbelt, W. J. (2022). SoK: Decentralized finance (DeFi). In Proceedings of the 4th ACM Conference on Advances in Financial Technologies (pp. 30–46). ACM. https://doi.org/10.1145/3558535.3559780</w:t>
      </w:r>
    </w:p>
    <w:p>
      <w:r>
        <w:t>Zukowski, Z. (2026b). GeoDePIN: Design patterns for decentralized geographic infrastructure.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Five Dollars: Legal structure, operator risk, and diligence divergence in tokenized dollar instruments. SSRN Working Paper [forthcoming].</w:t>
      </w:r>
    </w:p>
    <w:p>
      <w:r>
        <w:t>Zukowski, Z. (2026e). Tokenomics as systems engineering: Capital, labor, land, and the design of autonomous economies.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