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4"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0"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69"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Sim API verification in</w:t>
      </w:r>
      <w:r>
        <w:t xml:space="preserve"> </w:t>
      </w:r>
      <w:hyperlink r:id="rId67">
        <w:r>
          <w:rPr>
            <w:rStyle w:val="Hyperlink"/>
          </w:rPr>
          <w:t xml:space="preserve">Supplementary File S13</w:t>
        </w:r>
      </w:hyperlink>
      <w:r>
        <w:t xml:space="preserve">). A universal CEX hot-wallet sweep across the N = 40 cross-section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 equalizes nominator-to-validator allocation by design. Operator-level concentration is the more meaningful axis: Binance operates 15 of 600 validator slots (2.5 percent slot share; 3.72 percent of bonded stake), the largest single CEX-validator footprint in the Polkadot validator set. NPoS protocols and similar stake-equalizing architectures do not fit the standard holder-HHI methodology cleanly; operator-class concentration analysis is the methodologically-appropriate axis. Polkadot is a HALT-4.1 case in the Phase 4 sample-expansion dispatch (</w:t>
      </w:r>
      <w:hyperlink r:id="rId68">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operator-level analysis as the primary axis (sister-finding: TAO/Bittensor also exhibits low pre-exclusion HHI 0.014 at the validator network layer; both DOT and TAO form a substrate-native L1+DePIN cluster around HHI 0.014-0.0017 that the standard holder-HHI methodology underweights).</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69"/>
    <w:bookmarkEnd w:id="70"/>
    <w:bookmarkStart w:id="83"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2" name="Picture"/>
            <a:graphic>
              <a:graphicData uri="http://schemas.openxmlformats.org/drawingml/2006/picture">
                <pic:pic>
                  <pic:nvPicPr>
                    <pic:cNvPr descr="media/fig9_loo_forest.png" id="73" name="Picture"/>
                    <pic:cNvPicPr>
                      <a:picLocks noChangeArrowheads="1" noChangeAspect="1"/>
                    </pic:cNvPicPr>
                  </pic:nvPicPr>
                  <pic:blipFill>
                    <a:blip r:embed="rId71"/>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4">
        <w:r>
          <w:rPr>
            <w:rStyle w:val="Hyperlink"/>
          </w:rPr>
          <w:t xml:space="preserve">Supplementary File S8</w:t>
        </w:r>
      </w:hyperlink>
      <w:r>
        <w:t xml:space="preserve">.</w:t>
      </w:r>
    </w:p>
    <w:p>
      <w:pPr>
        <w:pStyle w:val="BodyText"/>
      </w:pPr>
      <w:r>
        <w:drawing>
          <wp:inline>
            <wp:extent cx="5334000" cy="4186514"/>
            <wp:effectExtent b="0" l="0" r="0" t="0"/>
            <wp:docPr descr="" title="" id="76" name="Picture"/>
            <a:graphic>
              <a:graphicData uri="http://schemas.openxmlformats.org/drawingml/2006/picture">
                <pic:pic>
                  <pic:nvPicPr>
                    <pic:cNvPr descr="media/fig7_subsidy_scatter.png" id="77" name="Picture"/>
                    <pic:cNvPicPr>
                      <a:picLocks noChangeArrowheads="1" noChangeAspect="1"/>
                    </pic:cNvPicPr>
                  </pic:nvPicPr>
                  <pic:blipFill>
                    <a:blip r:embed="rId75"/>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4">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9"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8">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8">
        <w:r>
          <w:rPr>
            <w:rStyle w:val="Hyperlink"/>
          </w:rPr>
          <w:t xml:space="preserve">Supplementary File S12</w:t>
        </w:r>
      </w:hyperlink>
      <w:r>
        <w:t xml:space="preserve">.</w:t>
      </w:r>
    </w:p>
    <w:bookmarkEnd w:id="79"/>
    <w:bookmarkStart w:id="81"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0">
        <w:r>
          <w:rPr>
            <w:rStyle w:val="Hyperlink"/>
          </w:rPr>
          <w:t xml:space="preserve">Supplementary File S10</w:t>
        </w:r>
      </w:hyperlink>
      <w:r>
        <w:t xml:space="preserve">.</w:t>
      </w:r>
    </w:p>
    <w:bookmarkEnd w:id="81"/>
    <w:bookmarkStart w:id="82"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2"/>
    <w:bookmarkEnd w:id="83"/>
    <w:bookmarkEnd w:id="84"/>
    <w:bookmarkStart w:id="96" w:name="discussion"/>
    <w:p>
      <w:pPr>
        <w:pStyle w:val="Heading1"/>
      </w:pPr>
      <w:r>
        <w:t xml:space="preserve">5 Discussion</w:t>
      </w:r>
    </w:p>
    <w:bookmarkStart w:id="85"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5"/>
    <w:bookmarkStart w:id="86"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6"/>
    <w:bookmarkStart w:id="87"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7"/>
    <w:bookmarkStart w:id="88"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8"/>
    <w:bookmarkStart w:id="89"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89"/>
    <w:bookmarkStart w:id="90"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0"/>
    <w:bookmarkStart w:id="91"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1"/>
    <w:bookmarkStart w:id="94"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2">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3">
        <w:r>
          <w:rPr>
            <w:rStyle w:val="Hyperlink"/>
          </w:rPr>
          <w:t xml:space="preserve">Supplementary File S17</w:t>
        </w:r>
      </w:hyperlink>
      <w:r>
        <w:t xml:space="preserve">.</w:t>
      </w:r>
    </w:p>
    <w:bookmarkEnd w:id="94"/>
    <w:bookmarkStart w:id="95"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5"/>
    <w:bookmarkEnd w:id="96"/>
    <w:bookmarkStart w:id="97"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7"/>
    <w:bookmarkStart w:id="98"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8"/>
    <w:bookmarkStart w:id="99"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9"/>
    <w:bookmarkStart w:id="100"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hyperlink" Id="rId80" Target="https://github.com/Research-Publications-and-Data/Tokenomics-As-Institutional_Design/blob/main/b2/paper/supplements/S10_pca_classification_robustness.md" TargetMode="External" /><Relationship Type="http://schemas.openxmlformats.org/officeDocument/2006/relationships/hyperlink" Id="rId78"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8" Target="https://github.com/Research-Publications-and-Data/Tokenomics-As-Institutional_Design/blob/main/b2/paper/supplements/S16_phase4_minibatch_2026-05-27.md" TargetMode="External" /><Relationship Type="http://schemas.openxmlformats.org/officeDocument/2006/relationships/hyperlink" Id="rId9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4" Target="https://github.com/Research-Publications-and-Data/Tokenomics-As-Institutional_Design/blob/main/b2/paper/supplements/S8_tt_expansion.md" TargetMode="External" /><Relationship Type="http://schemas.openxmlformats.org/officeDocument/2006/relationships/hyperlink" Id="rId9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0" Target="https://github.com/Research-Publications-and-Data/Tokenomics-As-Institutional_Design/blob/main/b2/paper/supplements/S10_pca_classification_robustness.md" TargetMode="External" /><Relationship Type="http://schemas.openxmlformats.org/officeDocument/2006/relationships/hyperlink" Id="rId78"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8" Target="https://github.com/Research-Publications-and-Data/Tokenomics-As-Institutional_Design/blob/main/b2/paper/supplements/S16_phase4_minibatch_2026-05-27.md" TargetMode="External" /><Relationship Type="http://schemas.openxmlformats.org/officeDocument/2006/relationships/hyperlink" Id="rId9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4" Target="https://github.com/Research-Publications-and-Data/Tokenomics-As-Institutional_Design/blob/main/b2/paper/supplements/S8_tt_expansion.md" TargetMode="External" /><Relationship Type="http://schemas.openxmlformats.org/officeDocument/2006/relationships/hyperlink" Id="rId9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2026-05-27T08:33:24Z</dcterms:created>
  <dcterms:modified xsi:type="dcterms:W3CDTF">2026-05-27T08:33:24Z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