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and current institutional structure (sector,</w:t>
      </w:r>
      <w:r>
        <w:t xml:space="preserve"> </w:t>
      </w:r>
      <w:r>
        <w:t xml:space="preserve">insider retention, and delegation design) is the more informative</w:t>
      </w:r>
      <w:r>
        <w:t xml:space="preserve"> </w:t>
      </w:r>
      <w:r>
        <w:t xml:space="preserve">correlate.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3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3.8),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p>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r>
              <w:t xml:space="preserve">DePIN (vs DeFi)</w:t>
            </w:r>
            <w:r>
              <w:t xml:space="preserve"> </w:t>
            </w:r>
            <w:r>
              <w:t xml:space="preserve">L1/L2/Infra (vs DeFi)</w:t>
            </w:r>
            <w:r>
              <w:t xml:space="preserve"> </w:t>
            </w:r>
            <w:r>
              <w:t xml:space="preserve">Log revenue-intensity</w:t>
            </w:r>
            <w:r>
              <w:t xml:space="preserve"> </w:t>
            </w:r>
            <w:r>
              <w:t xml:space="preserve">Protocol maturity (years)</w:t>
            </w:r>
            <w:r>
              <w:t xml:space="preserve"> </w:t>
            </w:r>
            <w:r>
              <w:t xml:space="preserve">Constant</w:t>
            </w:r>
          </w:p>
        </w:tc>
        <w:tc>
          <w:tcPr/>
          <w:p>
            <w:pPr>
              <w:pStyle w:val="Compact"/>
              <w:jc w:val="left"/>
            </w:pPr>
            <w:r>
              <w:t xml:space="preserve">+0.733</w:t>
            </w:r>
            <w:r>
              <w:t xml:space="preserve"> </w:t>
            </w:r>
            <w:r>
              <w:t xml:space="preserve">-0.353</w:t>
            </w:r>
            <w:r>
              <w:t xml:space="preserve"> </w:t>
            </w:r>
            <w:r>
              <w:t xml:space="preserve">-0.010</w:t>
            </w:r>
            <w:r>
              <w:t xml:space="preserve"> </w:t>
            </w:r>
            <w:r>
              <w:t xml:space="preserve">+0.026</w:t>
            </w:r>
            <w:r>
              <w:t xml:space="preserve"> </w:t>
            </w:r>
            <w:r>
              <w:t xml:space="preserve">-3.866</w:t>
            </w:r>
          </w:p>
        </w:tc>
        <w:tc>
          <w:tcPr/>
          <w:p>
            <w:pPr>
              <w:pStyle w:val="Compact"/>
              <w:jc w:val="left"/>
            </w:pPr>
            <w:r>
              <w:t xml:space="preserve">0.275</w:t>
            </w:r>
            <w:r>
              <w:t xml:space="preserve"> </w:t>
            </w:r>
            <w:r>
              <w:t xml:space="preserve">0.307</w:t>
            </w:r>
            <w:r>
              <w:t xml:space="preserve"> </w:t>
            </w:r>
            <w:r>
              <w:t xml:space="preserve">0.077</w:t>
            </w:r>
            <w:r>
              <w:t xml:space="preserve"> </w:t>
            </w:r>
            <w:r>
              <w:t xml:space="preserve">0.050</w:t>
            </w:r>
            <w:r>
              <w:t xml:space="preserve"> </w:t>
            </w:r>
            <w:r>
              <w:t xml:space="preserve">0.304</w:t>
            </w:r>
          </w:p>
        </w:tc>
        <w:tc>
          <w:tcPr/>
          <w:p>
            <w:pPr>
              <w:pStyle w:val="Compact"/>
              <w:jc w:val="left"/>
            </w:pPr>
            <w:r>
              <w:t xml:space="preserve">0.011</w:t>
            </w:r>
            <w:r>
              <w:t xml:space="preserve"> </w:t>
            </w:r>
            <w:r>
              <w:t xml:space="preserve">0.256</w:t>
            </w:r>
            <w:r>
              <w:t xml:space="preserve"> </w:t>
            </w:r>
            <w:r>
              <w:t xml:space="preserve">0.894</w:t>
            </w:r>
            <w:r>
              <w:t xml:space="preserve"> </w:t>
            </w:r>
            <w:r>
              <w:t xml:space="preserve">0.601</w:t>
            </w:r>
            <w:r>
              <w:t xml:space="preserve"> </w:t>
            </w: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ENS (0.48x), GMX</w:t>
      </w:r>
      <w:r>
        <w:rPr>
          <w:i/>
          <w:iCs/>
        </w:rPr>
        <w:t xml:space="preserve"> </w:t>
      </w:r>
      <w:r>
        <w:rPr>
          <w:i/>
          <w:iCs/>
        </w:rPr>
        <w:t xml:space="preserve">(0.87x), HNT (0.26x to 0.39x), JUP (0.12x, the most-extreme dispersion</w:t>
      </w:r>
      <w:r>
        <w:rPr>
          <w:i/>
          <w:iCs/>
        </w:rPr>
        <w:t xml:space="preserve"> </w:t>
      </w:r>
      <w:r>
        <w:rPr>
          <w:i/>
          <w:iCs/>
        </w:rPr>
        <w:t xml:space="preserve">outlier), and Livepeer (0.27x, the most pronounced DePIN governance</w:t>
      </w:r>
      <w:r>
        <w:rPr>
          <w:i/>
          <w:iCs/>
        </w:rPr>
        <w:t xml:space="preserve"> </w:t>
      </w:r>
      <w:r>
        <w:rPr>
          <w:i/>
          <w:iCs/>
        </w:rPr>
        <w:t xml:space="preserve">disperser).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at 0.48x; GMX at 0.87x; HNT at 0.26x-0.39x; JUP at 0.12x; and LPT at 0.27x are</w:t>
      </w:r>
      <w:r>
        <w:t xml:space="preserve"> </w:t>
      </w:r>
      <w:r>
        <w:t xml:space="preserve">the five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r>
        <w:t xml:space="preserve"> </w:t>
      </w:r>
      <w:r>
        <w:t xml:space="preserve">sample, the 2.5x to 25.6x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(ENS at 0.48x; GMX at 0.87x; HNT at 0.26x-0.39x; JUP at 0.12x; LPT at 0.27x)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 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 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 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2026-06-01T04:19:49Z</dcterms:created>
  <dcterms:modified xsi:type="dcterms:W3CDTF">2026-06-01T04:19:49Z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