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pBdr>
          <w:bottom w:val="nil"/>
        </w:pBdr>
        <w:spacing w:before="240" w:after="60"/>
        <w:ind w:hanging="0" w:start="0"/>
        <w:jc w:val="start"/>
        <w:rPr>
          <w:rFonts w:ascii="Times New Roman" w:hAnsi="Times New Roman" w:cs="Times New Roman"/>
          <w:i w:val="false"/>
          <w:i w:val="false"/>
          <w:sz w:val="24"/>
          <w:szCs w:val="24"/>
        </w:rPr>
      </w:pPr>
      <w:r>
        <w:rPr>
          <w:rFonts w:cs="Times New Roman" w:ascii="Times New Roman" w:hAnsi="Times New Roman"/>
          <w:i w:val="false"/>
          <w:sz w:val="24"/>
          <w:szCs w:val="24"/>
        </w:rPr>
        <w:t>Joachim H. Spangenberg</w:t>
      </w:r>
    </w:p>
    <w:p>
      <w:pPr>
        <w:pStyle w:val="Normal"/>
        <w:jc w:val="center"/>
        <w:rPr>
          <w:rFonts w:ascii="Times New Roman" w:hAnsi="Times New Roman" w:cs="Times New Roman"/>
          <w:sz w:val="24"/>
          <w:szCs w:val="24"/>
        </w:rPr>
      </w:pPr>
      <w:r>
        <w:rPr>
          <w:rFonts w:cs="Times New Roman" w:ascii="Times New Roman" w:hAnsi="Times New Roman"/>
          <w:sz w:val="24"/>
          <w:szCs w:val="24"/>
        </w:rPr>
        <w:t>Editorial</w:t>
      </w:r>
    </w:p>
    <w:p>
      <w:pPr>
        <w:pStyle w:val="Normal"/>
        <w:rPr/>
      </w:pPr>
      <w:r>
        <w:rPr>
          <w:rFonts w:cs="Times New Roman" w:ascii="Times New Roman" w:hAnsi="Times New Roman"/>
          <w:sz w:val="24"/>
          <w:szCs w:val="24"/>
        </w:rPr>
        <w:t xml:space="preserve">&amp;Ü1&amp; Sustainability Strategies: History, Concepts, Relevance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start"/>
        <w:rPr/>
      </w:pPr>
      <w:r>
        <w:rPr>
          <w:rFonts w:cs="Times New Roman" w:ascii="Times New Roman" w:hAnsi="Times New Roman"/>
          <w:sz w:val="24"/>
          <w:szCs w:val="24"/>
        </w:rPr>
        <w:t>Sustainability</w:t>
      </w:r>
      <w:r>
        <w:rPr>
          <w:rFonts w:cs="Times New Roman" w:ascii="Times New Roman" w:hAnsi="Times New Roman"/>
          <w:b/>
          <w:bCs/>
          <w:sz w:val="24"/>
          <w:szCs w:val="24"/>
        </w:rPr>
        <w:t xml:space="preserve"> </w:t>
      </w:r>
      <w:r>
        <w:rPr>
          <w:rFonts w:cs="Times New Roman" w:ascii="Times New Roman" w:hAnsi="Times New Roman"/>
          <w:sz w:val="24"/>
          <w:szCs w:val="24"/>
        </w:rPr>
        <w:t>for the Planet and the People (the motto of the 2002 Johannesburg World Summit) is a complex political, economic and cultural issue: it comprises peace and prosperity, participation and protection of the environment. All these guiding principles have deep roots in human and in particular in European history, and positive as well as negative connotations and backgrounds. For any attempt to change the prevailing development trajectories to be successful, it is necessary to have a closer look at roots and past developments (part 1 of this book) to be able to contextualise current discussions and problems (part 2) and to make better use of international experience not only from Europe, but also from China and the USA by putting them in a global political and historical context (part 3).</w:t>
      </w:r>
    </w:p>
    <w:p>
      <w:pPr>
        <w:pStyle w:val="Heading2"/>
        <w:rPr>
          <w:rFonts w:ascii="Times New Roman" w:hAnsi="Times New Roman" w:cs="Times New Roman"/>
          <w:sz w:val="24"/>
          <w:szCs w:val="24"/>
        </w:rPr>
      </w:pPr>
      <w:r>
        <w:rPr>
          <w:rFonts w:cs="Times New Roman" w:ascii="Times New Roman" w:hAnsi="Times New Roman"/>
          <w:sz w:val="24"/>
          <w:szCs w:val="24"/>
        </w:rPr>
        <w:t xml:space="preserve">&amp;Ü2&amp;  </w:t>
      </w:r>
      <w:r>
        <w:rPr>
          <w:rFonts w:cs="Times New Roman" w:ascii="Times New Roman" w:hAnsi="Times New Roman"/>
          <w:b w:val="false"/>
          <w:sz w:val="24"/>
          <w:szCs w:val="24"/>
        </w:rPr>
        <w:t>1. Where we come from</w:t>
      </w:r>
    </w:p>
    <w:p>
      <w:pPr>
        <w:pStyle w:val="Normal"/>
        <w:jc w:val="start"/>
        <w:rPr/>
      </w:pPr>
      <w:r>
        <w:rPr>
          <w:rFonts w:cs="Times New Roman" w:ascii="Times New Roman" w:hAnsi="Times New Roman"/>
          <w:sz w:val="24"/>
          <w:szCs w:val="24"/>
        </w:rPr>
        <w:t xml:space="preserve">Not only economic scarcities and social tensions, but also over utilisation of environmental sources and sinks has been a constant feature of human civilisations since the Stone Age. Again and again, human intervention caused unintended environmental side effects from reversible local disturbances to the irreversible extinction of species and regional changes in fauna, flora and farming conditions. So for instance Middle East migratory wildlife became extinct due to large scale hunting in the earliest phases of the Neolithic revolution of humans settling down for agriculture. Large birds in the Pacific islands including New Zealand fell victim to highly skilled Stone Age hunters and gatherers </w:t>
      </w:r>
      <w:r>
        <w:fldChar w:fldCharType="begin"/>
      </w:r>
      <w:r>
        <w:rPr>
          <w:sz w:val="24"/>
          <w:szCs w:val="24"/>
          <w:rFonts w:cs="Times New Roman" w:ascii="Times New Roman" w:hAnsi="Times New Roman"/>
        </w:rPr>
        <w:instrText xml:space="preserve"> ADDIN ENRfu _x0001_</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(Pimm 2002)</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despite their low population densities.</w:t>
      </w:r>
    </w:p>
    <w:p>
      <w:pPr>
        <w:pStyle w:val="Normal"/>
        <w:jc w:val="start"/>
        <w:rPr/>
      </w:pPr>
      <w:r>
        <w:rPr>
          <w:rFonts w:cs="Times New Roman" w:ascii="Times New Roman" w:hAnsi="Times New Roman"/>
          <w:sz w:val="24"/>
          <w:szCs w:val="24"/>
        </w:rPr>
        <w:t xml:space="preserve">Deforestation and/or salinisation occurred in the ancient Chinese, Mayan, Mesopotamian, Egyptian, Greek, Roman and other empires: organic, i.e. chemicals free agriculture is not necessarily sustainable </w:t>
      </w:r>
      <w:r>
        <w:fldChar w:fldCharType="begin"/>
      </w:r>
      <w:r>
        <w:rPr>
          <w:sz w:val="24"/>
          <w:szCs w:val="24"/>
          <w:rFonts w:cs="Times New Roman" w:ascii="Times New Roman" w:hAnsi="Times New Roman"/>
        </w:rPr>
        <w:instrText xml:space="preserve"> ADDIN ENRfu _x0001_</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(Rigby, Bown 2003)</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Nonetheless, if examples of a rather sustainable economy are sought, it is frequently case studies about pre-modern agro-economic systems which are suggested (often by bio-scientists and most often neglecting the dire social sustainability perspective of poor peasants, slaves, and the suppression of women). This can be explained as an attempt of creating a retrospective vision, inventing an idealised past </w:t>
      </w:r>
      <w:r>
        <w:fldChar w:fldCharType="begin"/>
      </w:r>
      <w:r>
        <w:rPr>
          <w:sz w:val="24"/>
          <w:szCs w:val="24"/>
          <w:rFonts w:cs="Times New Roman" w:ascii="Times New Roman" w:hAnsi="Times New Roman"/>
        </w:rPr>
        <w:instrText xml:space="preserve"> ADDIN EN.CITE &lt;EndNote&gt;&lt;Cite&gt;&lt;Author&gt;Giddens&lt;/Author&gt;&lt;Year&gt;1996&lt;/Year&gt;&lt;RecNum&gt;3&lt;/RecNum&gt;&lt;record&gt;&lt;source-app name='EndNote' version='8.0'&gt;EndNote&lt;/source-app&gt;&lt;rec-number&gt;0&lt;/rec-number&gt;&lt;ref-type name='Book Section'&gt;5&lt;/ref-type&gt;&lt;contributors&gt;&lt;authors&gt;&lt;author&gt;&lt;style face='normal' font='default' size='100%'&gt;Giddens, Anthony&lt;/style&gt;&lt;/author&gt;&lt;/authors&gt;&lt;secondary-authors&gt;&lt;author&gt;&lt;style face='normal' font='default' size='100%'&gt;Beck. Giddens. Lash,&lt;/style&gt;&lt;/author&gt;&lt;/secondary-authors&gt;&lt;/contributors&gt;&lt;titles&gt;&lt;title&gt;&lt;style face='normal' font='default' size='100%'&gt;Leben in einer posttraditionalen Gesellschaft&lt;/style&gt;&lt;/title&gt;&lt;secondary-title&gt;&lt;style face='normal' font='default' size='100%'&gt;Reflexive Modernisierung - Eine Kontroverse&lt;/style&gt;&lt;/secondary-title&gt;&lt;/titles&gt;&lt;pages&gt;&lt;style face='normal' font='default' size='100%'&gt;113 - 194&lt;/style&gt;&lt;/pages&gt;&lt;dates&gt;&lt;year&gt;&lt;style face='normal' font='default' size='100%'&gt;1996&lt;/style&gt;&lt;/year&gt;&lt;/dates&gt;&lt;pub-location&gt;&lt;style face='normal' font='default' size='100%'&gt;Frankfurt&lt;/style&gt;&lt;/pub-location&gt;&lt;publisher&gt;&lt;style face='normal' font='default' size='100%'&gt;Suhrkamp&lt;/style&gt;&lt;/publisher&gt;&lt;urls&gt;&lt;/urls&gt;&lt;/record&gt;&lt;/Cite&gt;&lt;/EndNote&gt;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(Giddens 1996)</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in these cases the legitimation base of environmentalists can be rightly claimed to be an idealised pre-modern situation. On the other hand, it is a simple fact that modernity has neither lasted long enough nor has it, driven by a permanent process of accelerating social, economic and technological change, produced stable enough situations to identify any of them as sustainable. For scholars motivated by this deficit, the reason to look back is not the desire for an idealised past, but the lack of present examples in the globalised European civilisation. This group of authors, often with a social science background and not neglecting but highlighting the social dimension of sustainability, frequently refers to (early) modern values like social security, solidarity and a good life (Spangenberg 2000).</w:t>
      </w:r>
    </w:p>
    <w:p>
      <w:pPr>
        <w:pStyle w:val="Normal"/>
        <w:jc w:val="start"/>
        <w:rPr/>
      </w:pPr>
      <w:r>
        <w:rPr>
          <w:rFonts w:cs="Times New Roman" w:ascii="Times New Roman" w:hAnsi="Times New Roman"/>
          <w:sz w:val="24"/>
          <w:szCs w:val="24"/>
        </w:rPr>
        <w:t xml:space="preserve">Pollution from semi-industrial activities is also not new, as waste management in ancient Rome </w:t>
      </w:r>
      <w:r>
        <w:fldChar w:fldCharType="begin"/>
      </w:r>
      <w:r>
        <w:rPr>
          <w:sz w:val="24"/>
          <w:szCs w:val="24"/>
          <w:rFonts w:cs="Times New Roman" w:ascii="Times New Roman" w:hAnsi="Times New Roman"/>
        </w:rPr>
        <w:instrText xml:space="preserve"> ADDIN EN.CITE &lt;EndNote&gt;&lt;Cite&gt;&lt;Author&gt;Grassmuck&lt;/Author&gt;&lt;Year&gt;1991&lt;/Year&gt;&lt;RecNum&gt;3482&lt;/RecNum&gt;&lt;record&gt;&lt;rec-number&gt;3482&lt;/rec-number&gt;&lt;ref-type name="Book"&gt;6&lt;/ref-type&gt;&lt;contributors&gt;&lt;authors&gt;&lt;author&gt;Grassmuck, Volker, Unverzagt, Christian&lt;/author&gt;&lt;/authors&gt;&lt;/contributors&gt;&lt;titles&gt;&lt;title&gt;Das Müll-System&lt;/title&gt;&lt;/titles&gt;&lt;pages&gt;320&lt;/pages&gt;&lt;edition&gt;1&lt;/edition&gt;&lt;dates&gt;&lt;year&gt;1991&lt;/year&gt;&lt;/dates&gt;&lt;pub-location&gt;Frankfurt&lt;/pub-location&gt;&lt;publisher&gt;edition suhrkamp&lt;/publisher&gt;&lt;urls&gt;&lt;/urls&gt;&lt;/record&gt;&lt;/Cite&gt;&lt;/EndNote&gt;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(Grassmuck, Unverzagt 1991)</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regulation of water use patterns (one day for tanning, one day for brewing) in 15</w:t>
      </w:r>
      <w:r>
        <w:rPr>
          <w:rFonts w:cs="Times New Roman" w:ascii="Times New Roman" w:hAnsi="Times New Roman"/>
          <w:sz w:val="24"/>
          <w:szCs w:val="24"/>
          <w:vertAlign w:val="superscript"/>
        </w:rPr>
        <w:t>th</w:t>
      </w:r>
      <w:r>
        <w:rPr>
          <w:rFonts w:cs="Times New Roman" w:ascii="Times New Roman" w:hAnsi="Times New Roman"/>
          <w:sz w:val="24"/>
          <w:szCs w:val="24"/>
        </w:rPr>
        <w:t xml:space="preserve"> century Cologne, or the complaints about the impacts of hard coal burning in England in the 18</w:t>
      </w:r>
      <w:r>
        <w:rPr>
          <w:rFonts w:cs="Times New Roman" w:ascii="Times New Roman" w:hAnsi="Times New Roman"/>
          <w:sz w:val="24"/>
          <w:szCs w:val="24"/>
          <w:vertAlign w:val="superscript"/>
        </w:rPr>
        <w:t>th</w:t>
      </w:r>
      <w:r>
        <w:rPr>
          <w:rFonts w:cs="Times New Roman" w:ascii="Times New Roman" w:hAnsi="Times New Roman"/>
          <w:sz w:val="24"/>
          <w:szCs w:val="24"/>
        </w:rPr>
        <w:t xml:space="preserve"> century show</w:t>
      </w:r>
      <w:r>
        <w:fldChar w:fldCharType="begin"/>
      </w:r>
      <w:r>
        <w:rPr>
          <w:sz w:val="24"/>
          <w:szCs w:val="24"/>
          <w:rFonts w:cs="Times New Roman" w:ascii="Times New Roman" w:hAnsi="Times New Roman"/>
        </w:rPr>
        <w:instrText xml:space="preserve"> ADDIN EN.CITE &lt;EndNote&gt;&lt;Cite&gt;&lt;Author&gt;Weizsäcker&lt;/Author&gt;&lt;Year&gt;1999&lt;/Year&gt;&lt;RecNum&gt;45&lt;/RecNum&gt;&lt;record&gt;&lt;source-app name='EndNote' version='8.0'&gt;EndNote&lt;/source-app&gt;&lt;rec-number&gt;0&lt;/rec-number&gt;&lt;ref-type name='Manuscript'&gt;36&lt;/ref-type&gt;&lt;contributors&gt;&lt;authors&gt;&lt;author&gt;&lt;style face='normal' font='default' size='100%'&gt;Weizsäcker, Carl Christion von&lt;/style&gt;&lt;/author&gt;&lt;/authors&gt;&lt;/contributors&gt;&lt;titles&gt;&lt;title&gt;&lt;style face='normal' font='default' size='100%'&gt;Umwelt- und Ressourcenökonomie&lt;/style&gt;&lt;/title&gt;&lt;secondary-title&gt;&lt;style face='normal' font='default' size='100%'&gt;Bibliothek des staatswissenschaftlichen Instituts der Universität&lt;/style&gt;&lt;/secondary-title&gt;&lt;/titles&gt;&lt;pages&gt;&lt;style face='normal' font='default' size='100%'&gt;148&lt;/style&gt;&lt;/pages&gt;&lt;dates&gt;&lt;year&gt;&lt;style face='normal' font='default' size='100%'&gt;1999&lt;/style&gt;&lt;/year&gt;&lt;/dates&gt;&lt;pub-location&gt;&lt;style face='normal' font='default' size='100%'&gt;Köln&lt;/style&gt;&lt;/pub-location&gt;&lt;work-type&gt;&lt;style face='normal' font='default' size='100%'&gt;Vorlesungsmanuskript&lt;/style&gt;&lt;/work-type&gt;&lt;urls&gt;&lt;/urls&gt;&lt;/record&gt;&lt;/Cite&gt;&lt;Cite&gt;&lt;Author&gt;Polo&lt;/Author&gt;&lt;Year&gt;1298&lt;/Year&gt;&lt;RecNum&gt;4&lt;/RecNum&gt;&lt;record&gt;&lt;source-app name='EndNote' version='8.0'&gt;EndNote&lt;/source-app&gt;&lt;rec-number&gt;0&lt;/rec-number&gt;&lt;ref-type name='Book'&gt;6&lt;/ref-type&gt;&lt;contributors&gt;&lt;authors&gt;&lt;author&gt;&lt;style face='normal' font='default' size='100%'&gt;Polo, Marco&lt;/style&gt;&lt;/author&gt;&lt;/authors&gt;&lt;/contributors&gt;&lt;titles&gt;&lt;title&gt;&lt;style face='normal' font='default' size='100%'&gt;Die Reisen des Venzianers Marco Polo&lt;/style&gt;&lt;/title&gt;&lt;/titles&gt;&lt;pages&gt;&lt;style face='normal' font='default' size='100%'&gt;573&lt;/style&gt;&lt;/pages&gt;&lt;edition&gt;&lt;style face='normal' font='default' size='100%'&gt;Edition 1908, Reprint 2001&lt;/style&gt;&lt;/edition&gt;&lt;dates&gt;&lt;year&gt;&lt;style face='normal' font='default' size='100%'&gt;1298&lt;/style&gt;&lt;/year&gt;&lt;/dates&gt;&lt;pub-location&gt;&lt;style face='normal' font='default' size='100%'&gt;Köln&lt;/style&gt;&lt;/pub-location&gt;&lt;publisher&gt;&lt;style face='normal' font='default' size='100%'&gt;Parkland Verlag&lt;/style&gt;&lt;/publisher&gt;&lt;urls&gt;&lt;/urls&gt;&lt;/record&gt;&lt;/Cite&gt;&lt;/EndNote&gt;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However, with the development of the mercantilist nation state, the institutional setting changed and rapidly growing demand made the availability of increasingly scarce resources a prominent policy issue. Scarcity of resource supply first became obvious in the most developed nations during the late 17</w:t>
      </w:r>
      <w:r>
        <w:rPr>
          <w:rFonts w:cs="Times New Roman" w:ascii="Times New Roman" w:hAnsi="Times New Roman"/>
          <w:sz w:val="24"/>
          <w:szCs w:val="24"/>
          <w:vertAlign w:val="superscript"/>
        </w:rPr>
        <w:t>th</w:t>
      </w:r>
      <w:r>
        <w:rPr>
          <w:rFonts w:cs="Times New Roman" w:ascii="Times New Roman" w:hAnsi="Times New Roman"/>
          <w:sz w:val="24"/>
          <w:szCs w:val="24"/>
        </w:rPr>
        <w:t xml:space="preserve"> century, when pre-modern industrial production led to the emergence of a foreseeable shortage and a continuous price increase of wood (by this time coal use as a replacement for charcoal was already wide spread in the English industry, but it took another two generations before its superior qualities in iron production were fully acknowledged; see Common 1995). As in pre-industrial societies biomass is the common resource base for food, materials and energy, their economic and population growth had been limited by the lack of additional resources, given the inherent difficulties and time constraints in increasing biomass production </w:t>
      </w:r>
      <w:r>
        <w:fldChar w:fldCharType="begin"/>
      </w:r>
      <w:r>
        <w:rPr>
          <w:sz w:val="24"/>
          <w:szCs w:val="24"/>
          <w:rFonts w:cs="Times New Roman" w:ascii="Times New Roman" w:hAnsi="Times New Roman"/>
        </w:rPr>
        <w:instrText xml:space="preserve"> ADDIN EN.CITE &lt;EndNote&gt;&lt;Cite&gt;&lt;Author&gt;Fischer-Kowalski&lt;/Author&gt;&lt;Year&gt;1997&lt;/Year&gt;&lt;RecNum&gt;348&lt;/RecNum&gt;&lt;record&gt;&lt;rec-number&gt;348&lt;/rec-number&gt;&lt;ref-type name='Journal Article'&gt;17&lt;/ref-type&gt;&lt;contributors&gt;&lt;authors&gt;&lt;author&gt;Fischer-Kowalski, Marina, Haberl, H.&lt;/author&gt;&lt;/authors&gt;&lt;/contributors&gt;&lt;titles&gt;&lt;title&gt;Tons, Joules, and Money: Modes of Production and Their Sustainability Problems&lt;/title&gt;&lt;secondary-title&gt;Society &amp;amp; Natural Resources&lt;/secondary-title&gt;&lt;/titles&gt;&lt;pages&gt;61-85&lt;/pages&gt;&lt;volume&gt;10&lt;/volume&gt;&lt;number&gt;1&lt;/number&gt;&lt;dates&gt;&lt;year&gt;1997&lt;/year&gt;&lt;/dates&gt;&lt;urls&gt;&lt;/urls&gt;&lt;/record&gt;&lt;/Cite&gt;&lt;Cite&gt;&lt;Author&gt;Haberl&lt;/Author&gt;&lt;Year&gt;2002&lt;/Year&gt;&lt;RecNum&gt;2489&lt;/RecNum&gt;&lt;record&gt;&lt;rec-number&gt;2489&lt;/rec-number&gt;&lt;ref-type name='Journal Article'&gt;17&lt;/ref-type&gt;&lt;contributors&gt;&lt;authors&gt;&lt;author&gt;Haberl, Helmut&lt;/author&gt;&lt;/authors&gt;&lt;/contributors&gt;&lt;titles&gt;&lt;title&gt;The Energetic Metabolism of Societies. Part II: Empirical Examples&lt;/title&gt;&lt;secondary-title&gt;Journal of Industrial Ecology&lt;/secondary-title&gt;&lt;/titles&gt;&lt;periodical&gt;&lt;full-title&gt;Journal of Industrial Ecology&lt;/full-title&gt;&lt;/periodical&gt;&lt;pages&gt;71-88&lt;/pages&gt;&lt;volume&gt;5&lt;/volume&gt;&lt;number&gt;2&lt;/number&gt;&lt;dates&gt;&lt;year&gt;2002&lt;/year&gt;&lt;/dates&gt;&lt;urls&gt;&lt;/urls&gt;&lt;/record&gt;&lt;/Cite&gt;&lt;/EndNote&gt;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(Fischer-Kowalski 1997; Haberl 2002)</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Consequently, the availability of increasingly scarce resources became a prominent policy issue. Thus the fuel wood crisis challenging the silver industry of August II of Saxony and Poland was of serious concern for king and country, and experience from France, Britain, Scandinavia and Switzerland were activated to develop a concept to deal with it. Grober (in this volume) describes these experiences and the resulting concept, sustainable yield.</w:t>
      </w:r>
    </w:p>
    <w:p>
      <w:pPr>
        <w:pStyle w:val="Normal"/>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Economic, national power and imperial/military concerns were the root causes for developing the concept of sustainable development as a strategy for risk minimisation. It is not, as sometimes claimed in order to postpone action, a “good weather politics”, but to the contrary, a “bad weather rescue operation”.</w:t>
      </w:r>
    </w:p>
    <w:p>
      <w:pPr>
        <w:pStyle w:val="Heading2"/>
        <w:rPr>
          <w:rFonts w:ascii="Times New Roman" w:hAnsi="Times New Roman" w:cs="Times New Roman"/>
          <w:sz w:val="24"/>
          <w:szCs w:val="24"/>
        </w:rPr>
      </w:pPr>
      <w:r>
        <w:rPr>
          <w:rFonts w:cs="Times New Roman" w:ascii="Times New Roman" w:hAnsi="Times New Roman"/>
          <w:sz w:val="24"/>
          <w:szCs w:val="24"/>
        </w:rPr>
        <w:t xml:space="preserve">&amp;Ü2&amp;  </w:t>
      </w:r>
      <w:r>
        <w:rPr>
          <w:rFonts w:cs="Times New Roman" w:ascii="Times New Roman" w:hAnsi="Times New Roman"/>
          <w:b w:val="false"/>
          <w:sz w:val="24"/>
          <w:szCs w:val="24"/>
        </w:rPr>
        <w:t>2. Choices to be made</w:t>
      </w:r>
    </w:p>
    <w:p>
      <w:pPr>
        <w:pStyle w:val="Normal1"/>
        <w:jc w:val="start"/>
        <w:rPr>
          <w:rFonts w:ascii="Times New Roman" w:hAnsi="Times New Roman" w:cs="Times New Roman"/>
          <w:sz w:val="24"/>
          <w:szCs w:val="24"/>
        </w:rPr>
      </w:pPr>
      <w:r>
        <w:rPr>
          <w:rFonts w:cs="Times New Roman" w:ascii="Times New Roman" w:hAnsi="Times New Roman"/>
          <w:sz w:val="24"/>
          <w:szCs w:val="24"/>
        </w:rPr>
        <w:t>In any situation of scarcity of sources (means of production) or sinks (effluent disposal options), a choice has to be made, to pursue either decrease in demand or increase of supply, in the latter case, to do so by military or by economic means, and, again in the latter case, by international free trade, or by fostering efficiency and substitution processes in the domestic market. The choices result in four strategies that are theoretically feasible and have been pursued in practice throughout history and on different continents, in isolation or, more frequently, in combination (for more details see Spangenberg 2008). They are:</w:t>
      </w:r>
    </w:p>
    <w:p>
      <w:pPr>
        <w:pStyle w:val="Normal1"/>
        <w:numPr>
          <w:ilvl w:val="0"/>
          <w:numId w:val="2"/>
        </w:numPr>
        <w:tabs>
          <w:tab w:val="clear" w:pos="708"/>
        </w:tabs>
        <w:spacing w:lineRule="auto" w:line="240"/>
        <w:jc w:val="start"/>
        <w:rPr>
          <w:rFonts w:ascii="Times New Roman" w:hAnsi="Times New Roman" w:cs="Times New Roman"/>
          <w:sz w:val="24"/>
          <w:szCs w:val="24"/>
        </w:rPr>
      </w:pPr>
      <w:r>
        <w:rPr>
          <w:rFonts w:cs="Times New Roman" w:ascii="Times New Roman" w:hAnsi="Times New Roman"/>
          <w:i/>
          <w:sz w:val="24"/>
          <w:szCs w:val="24"/>
        </w:rPr>
        <w:t>The free market option:</w:t>
      </w:r>
      <w:r>
        <w:rPr>
          <w:rFonts w:cs="Times New Roman" w:ascii="Times New Roman" w:hAnsi="Times New Roman"/>
          <w:sz w:val="24"/>
          <w:szCs w:val="24"/>
        </w:rPr>
        <w:t xml:space="preserve"> overcoming shortage of supply by efficiency increases and by substitution triggered by competitive markets</w:t>
      </w:r>
      <w:r>
        <w:rPr>
          <w:rStyle w:val="FootnoteCharacters"/>
          <w:rStyle w:val="FootnoteReference"/>
          <w:rFonts w:cs="Times New Roman" w:ascii="Times New Roman" w:hAnsi="Times New Roman"/>
          <w:sz w:val="24"/>
          <w:szCs w:val="24"/>
        </w:rPr>
        <w:footnoteReference w:id="2"/>
      </w:r>
      <w:r>
        <w:rPr>
          <w:rFonts w:cs="Times New Roman" w:ascii="Times New Roman" w:hAnsi="Times New Roman"/>
          <w:sz w:val="24"/>
          <w:szCs w:val="24"/>
        </w:rPr>
        <w:t>.</w:t>
      </w:r>
    </w:p>
    <w:p>
      <w:pPr>
        <w:pStyle w:val="Normal1"/>
        <w:numPr>
          <w:ilvl w:val="0"/>
          <w:numId w:val="2"/>
        </w:numPr>
        <w:tabs>
          <w:tab w:val="clear" w:pos="708"/>
        </w:tabs>
        <w:spacing w:lineRule="auto" w:line="240" w:before="0" w:after="0"/>
        <w:jc w:val="start"/>
        <w:rPr>
          <w:rFonts w:ascii="Times New Roman" w:hAnsi="Times New Roman" w:cs="Times New Roman"/>
          <w:sz w:val="24"/>
          <w:szCs w:val="24"/>
        </w:rPr>
      </w:pPr>
      <w:r>
        <w:rPr>
          <w:rFonts w:cs="Times New Roman" w:ascii="Times New Roman" w:hAnsi="Times New Roman"/>
          <w:i/>
          <w:sz w:val="24"/>
          <w:szCs w:val="24"/>
        </w:rPr>
        <w:t>The free trade option:</w:t>
      </w:r>
      <w:r>
        <w:rPr>
          <w:rFonts w:cs="Times New Roman" w:ascii="Times New Roman" w:hAnsi="Times New Roman"/>
          <w:sz w:val="24"/>
          <w:szCs w:val="24"/>
        </w:rPr>
        <w:t xml:space="preserve"> increasing supply through enhanced access to foreign resources by demanding and enforcing open markets and free trade, or exporting the resource intensive production units to countries with abundant resources or “underpolluted” territories (including toxic waste shipments despite the regulations of the Basle convention).</w:t>
      </w:r>
    </w:p>
    <w:p>
      <w:pPr>
        <w:pStyle w:val="Normal1"/>
        <w:numPr>
          <w:ilvl w:val="0"/>
          <w:numId w:val="2"/>
        </w:numPr>
        <w:tabs>
          <w:tab w:val="clear" w:pos="708"/>
        </w:tabs>
        <w:spacing w:lineRule="auto" w:line="240" w:before="0" w:after="0"/>
        <w:jc w:val="start"/>
        <w:rPr>
          <w:rFonts w:ascii="Times New Roman" w:hAnsi="Times New Roman" w:cs="Times New Roman"/>
          <w:sz w:val="24"/>
          <w:szCs w:val="24"/>
        </w:rPr>
      </w:pPr>
      <w:r>
        <w:rPr>
          <w:rFonts w:cs="Times New Roman" w:ascii="Times New Roman" w:hAnsi="Times New Roman"/>
          <w:i/>
          <w:sz w:val="24"/>
          <w:szCs w:val="24"/>
        </w:rPr>
        <w:t>The imperial/colonial option:</w:t>
      </w:r>
      <w:r>
        <w:rPr>
          <w:rFonts w:cs="Times New Roman" w:ascii="Times New Roman" w:hAnsi="Times New Roman"/>
          <w:sz w:val="24"/>
          <w:szCs w:val="24"/>
        </w:rPr>
        <w:t xml:space="preserve"> increasing supply through taking control of foreign resources, by seizing distant, threatened or so far unused or underutilised resources, thus exporting local unsustainability by means of conquest, colonisation and ‘plunder economies’. This included the systematic suppression of local industries and investments in man-made and human capital exclusively for export purposes </w:t>
      </w:r>
      <w:r>
        <w:fldChar w:fldCharType="begin"/>
      </w:r>
      <w:r>
        <w:rPr>
          <w:sz w:val="24"/>
          <w:szCs w:val="24"/>
          <w:rFonts w:cs="Times New Roman" w:ascii="Times New Roman" w:hAnsi="Times New Roman"/>
        </w:rPr>
        <w:instrText xml:space="preserve"> ADDIN EN.CITE &lt;EndNote&gt;&lt;Cite&gt;&lt;Author&gt;Ayres&lt;/Author&gt;&lt;Year&gt;1999&lt;/Year&gt;&lt;RecNum&gt;2898&lt;/RecNum&gt;&lt;record&gt;&lt;rec-number&gt;2898&lt;/rec-number&gt;&lt;ref-type name="Book"&gt;6&lt;/ref-type&gt;&lt;contributors&gt;&lt;authors&gt;&lt;author&gt;Ayres, Robert U.&lt;/author&gt;&lt;/authors&gt;&lt;/contributors&gt;&lt;titles&gt;&lt;title&gt;Turning Point. The End of the Growth Paradigm&lt;/title&gt;&lt;/titles&gt;&lt;pages&gt;258&lt;/pages&gt;&lt;edition&gt;2nd&lt;/edition&gt;&lt;dates&gt;&lt;year&gt;1999&lt;/year&gt;&lt;/dates&gt;&lt;pub-location&gt;London&lt;/pub-location&gt;&lt;publisher&gt;Earthscan&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(Ayres 1999)</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today it is used for instance to enforce the privatisation of the Iraqi oil industry.</w:t>
      </w:r>
    </w:p>
    <w:p>
      <w:pPr>
        <w:pStyle w:val="Normal"/>
        <w:jc w:val="start"/>
        <w:rPr/>
      </w:pPr>
      <w:r>
        <w:rPr>
          <w:rFonts w:cs="Times New Roman" w:ascii="Times New Roman" w:hAnsi="Times New Roman"/>
          <w:sz w:val="24"/>
          <w:szCs w:val="24"/>
        </w:rPr>
        <w:t xml:space="preserve">In sustainability terminology the last option of changing consumption and production patterns is called the strong sustainability approach </w:t>
      </w:r>
      <w:r>
        <w:fldChar w:fldCharType="begin"/>
      </w:r>
      <w:r>
        <w:rPr>
          <w:sz w:val="24"/>
          <w:szCs w:val="24"/>
          <w:rFonts w:cs="Times New Roman" w:ascii="Times New Roman" w:hAnsi="Times New Roman"/>
        </w:rPr>
        <w:instrText xml:space="preserve"> ADDIN EN.CITE &lt;EndNote&gt;&lt;Cite&gt;&lt;Author&gt;Daly&lt;/Author&gt;&lt;Year&gt;1996&lt;/Year&gt;&lt;RecNum&gt;355&lt;/RecNum&gt;&lt;record&gt;&lt;rec-number&gt;355&lt;/rec-number&gt;&lt;ref-type name="Book"&gt;6&lt;/ref-type&gt;&lt;contributors&gt;&lt;authors&gt;&lt;author&gt;Daly, Herman E.&lt;/author&gt;&lt;/authors&gt;&lt;/contributors&gt;&lt;titles&gt;&lt;title&gt;Beyond Growth. The Economics of Sustainable Developoment&lt;/title&gt;&lt;/titles&gt;&lt;dates&gt;&lt;year&gt;1996&lt;/year&gt;&lt;/dates&gt;&lt;pub-location&gt;Boston&lt;/pub-location&gt;&lt;publisher&gt;Beacon Press&lt;/publisher&gt;&lt;urls&gt;&lt;/urls&gt;&lt;/record&gt;&lt;/Cite&gt;&lt;/EndNote&gt;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(Daly 1996)</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whereas the two liberal ones emphasising globalisation of trade, foreign direct investment and ecological modernisation by market driven efficiency increase and substitution processes are considered weak sustainability strategies </w:t>
      </w:r>
      <w:r>
        <w:fldChar w:fldCharType="begin"/>
      </w:r>
      <w:r>
        <w:rPr>
          <w:sz w:val="24"/>
          <w:szCs w:val="24"/>
          <w:rFonts w:cs="Times New Roman" w:ascii="Times New Roman" w:hAnsi="Times New Roman"/>
        </w:rPr>
        <w:instrText xml:space="preserve"> ADDIN EN.CITE &lt;EndNote&gt;&lt;Cite&gt;&lt;Author&gt;Pearce&lt;/Author&gt;&lt;Year&gt;1993&lt;/Year&gt;&lt;RecNum&gt;325&lt;/RecNum&gt;&lt;record&gt;&lt;rec-number&gt;325&lt;/rec-number&gt;&lt;ref-type name="Journal Article"&gt;17&lt;/ref-type&gt;&lt;contributors&gt;&lt;authors&gt;&lt;author&gt;Pearce, D.W., Atkinson, G.&lt;/author&gt;&lt;/authors&gt;&lt;/contributors&gt;&lt;titles&gt;&lt;title&gt;Capital Theory and the Measurement of Sustainable Development: An Indicator of Weak Sustainability&lt;/title&gt;&lt;secondary-title&gt;Ecological Economics&lt;/secondary-title&gt;&lt;/titles&gt;&lt;periodical&gt;&lt;full-title&gt;Ecological Economics&lt;/full-title&gt;&lt;/periodical&gt;&lt;pages&gt;85-103&lt;/pages&gt;&lt;volume&gt;8&lt;/volume&gt;&lt;number&gt;1&lt;/number&gt;&lt;dates&gt;&lt;year&gt;1993&lt;/year&gt;&lt;/dates&gt;&lt;urls&gt;&lt;/urls&gt;&lt;/record&gt;&lt;/Cite&gt;&lt;/EndNote&gt;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(Pearce, Atkinson 1993)</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The surprising continuity of dominance strategies is by no means accidental, as </w:t>
      </w:r>
      <w:r>
        <w:fldChar w:fldCharType="begin"/>
      </w:r>
      <w:r>
        <w:rPr>
          <w:sz w:val="24"/>
          <w:szCs w:val="24"/>
          <w:rFonts w:cs="Times New Roman" w:ascii="Times New Roman" w:hAnsi="Times New Roman"/>
        </w:rPr>
        <w:instrText xml:space="preserve"> ADDIN EN.CITE &lt;EndNote&gt;&lt;Cite&gt;&lt;Author&gt;Bunker&lt;/Author&gt;&lt;Year&gt;1999&lt;/Year&gt;&lt;RecNum&gt;48&lt;/RecNum&gt;&lt;record&gt;&lt;source-app name='EndNote' version='8.0'&gt;EndNote&lt;/source-app&gt;&lt;rec-number&gt;0&lt;/rec-number&gt;&lt;ref-type name='Book Section'&gt;5&lt;/ref-type&gt;&lt;contributors&gt;&lt;authors&gt;&lt;author&gt;&lt;style face='normal' font='default' size='100%'&gt;Bunker, S.G., Ciccantel, P.S.&lt;/style&gt;&lt;/author&gt;&lt;/authors&gt;&lt;secondary-authors&gt;&lt;author&gt;&lt;style face='normal' font='default' size='100%'&gt;Goldfrank, W.L., Goodman, D., Szasz, A.&lt;/style&gt;&lt;/author&gt;&lt;/secondary-authors&gt;&lt;/contributors&gt;&lt;titles&gt;&lt;title&gt;&lt;style face='normal' font='default' size='100%'&gt;Economic Ascent and the Global Environment: World-Systems Theory and the new Historical Materialism&lt;/style&gt;&lt;/title&gt;&lt;secondary-title&gt;&lt;style face='normal' font='default' size='100%'&gt;Ecology and the World System&lt;/style&gt;&lt;/secondary-title&gt;&lt;/titles&gt;&lt;dates&gt;&lt;year&gt;&lt;style face='normal' font='default' size='100%'&gt;1999&lt;/style&gt;&lt;/year&gt;&lt;/dates&gt;&lt;pub-location&gt;&lt;style face='normal' font='default' size='100%'&gt;Westport&lt;/style&gt;&lt;/pub-location&gt;&lt;publisher&gt;&lt;style face='normal' font='default' size='100%'&gt;Greenwood Press&lt;/style&gt;&lt;/publisher&gt;&lt;urls&gt;&lt;/urls&gt;&lt;/record&gt;&lt;/Cite&gt;&lt;/EndNote&gt;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(Bunker, Ciccantel 1999)</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emphasize. Due to the strategic importance of natural resources (especially fossil energy carriers and metallic raw materials) for the maintenance of industrial processes, their appropriation through international trade could not and was not only left to market forces, but had to be additionally secured through institutional arrangements, backed up by military interventions if found necessary </w:t>
      </w:r>
      <w:r>
        <w:fldChar w:fldCharType="begin"/>
      </w:r>
      <w:r>
        <w:rPr>
          <w:sz w:val="24"/>
          <w:szCs w:val="24"/>
          <w:rFonts w:cs="Times New Roman" w:ascii="Times New Roman" w:hAnsi="Times New Roman"/>
        </w:rPr>
        <w:instrText xml:space="preserve"> ADDIN EN.CITE &lt;EndNote&gt;&lt;Cite&gt;&lt;Author&gt;Giljum&lt;/Author&gt;&lt;Year&gt;2003&lt;/Year&gt;&lt;RecNum&gt;47&lt;/RecNum&gt;&lt;record&gt;&lt;source-app name='EndNote' version='8.0'&gt;EndNote&lt;/source-app&gt;&lt;rec-number&gt;0&lt;/rec-number&gt;&lt;ref-type name='Journal Article'&gt;17&lt;/ref-type&gt;&lt;contributors&gt;&lt;authors&gt;&lt;author&gt;&lt;style face='normal' font='default' size='100%'&gt;Giljum, Stefan ().&lt;/style&gt;&lt;/author&gt;&lt;/authors&gt;&lt;/contributors&gt;&lt;titles&gt;&lt;title&gt;&lt;style face='normal' font='default' size='100%'&gt;North-South trade and the distribution of environmental goods and burdens: a biophysical perspective&lt;/style&gt;&lt;/title&gt;&lt;secondary-title&gt;&lt;style face='normal' font='default' size='100%'&gt;Journal of Envornment and Development&lt;/style&gt;&lt;/secondary-title&gt;&lt;/titles&gt;&lt;volume&gt;&lt;style face='normal' font='default' size='100%'&gt;in print&lt;/style&gt;&lt;/volume&gt;&lt;dates&gt;&lt;year&gt;&lt;style face='normal' font='default' size='100%'&gt;2003&lt;/style&gt;&lt;/year&gt;&lt;/dates&gt;&lt;urls&gt;&lt;/urls&gt;&lt;/record&gt;&lt;/Cite&gt;&lt;/EndNote&gt;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(Giljum, Hubacek 2003)</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In growth-based economies in particular, the “constant pursuit of material growth puts increasing pressure on energy and resources that eventually exceed national endowments. To cope with this deficit, complex societies adopted throughout history two basic solutions: trade and violate appropriation. Market based democracies learned to prefer trade to war and therefore trade liberalisation at the world level is pursued as their main strategy for appropriation of the resources and energy necessary to support their societies. […] Considering the huge and increasing gap in knowledge and technology between the North and the South, […] in all fairness, it must be noted that there is a thin line dividing trade from plunder in its various modern guises.” (Matutinovic 2006: 201). </w:t>
      </w:r>
    </w:p>
    <w:p>
      <w:pPr>
        <w:pStyle w:val="Normal"/>
        <w:jc w:val="start"/>
        <w:rPr>
          <w:rFonts w:ascii="Times New Roman" w:hAnsi="Times New Roman" w:cs="Times New Roman"/>
          <w:sz w:val="24"/>
          <w:szCs w:val="24"/>
        </w:rPr>
      </w:pPr>
      <w:r>
        <w:rPr>
          <w:rFonts w:cs="Times New Roman" w:ascii="Times New Roman" w:hAnsi="Times New Roman"/>
          <w:sz w:val="24"/>
          <w:szCs w:val="24"/>
        </w:rPr>
        <w:t>However, in the emerging situation of absolute scarcity of sinks and sources for a globalised economy, the three options provide no longer a way to solve national resource problems.</w:t>
      </w:r>
    </w:p>
    <w:p>
      <w:pPr>
        <w:pStyle w:val="Normal1"/>
        <w:numPr>
          <w:ilvl w:val="0"/>
          <w:numId w:val="2"/>
        </w:numPr>
        <w:tabs>
          <w:tab w:val="clear" w:pos="708"/>
        </w:tabs>
        <w:spacing w:lineRule="auto" w:line="240" w:before="0" w:after="0"/>
        <w:jc w:val="start"/>
        <w:rPr>
          <w:rFonts w:ascii="Times New Roman" w:hAnsi="Times New Roman" w:cs="Times New Roman"/>
          <w:sz w:val="24"/>
          <w:szCs w:val="24"/>
        </w:rPr>
      </w:pPr>
      <w:r>
        <w:rPr>
          <w:rFonts w:cs="Times New Roman" w:ascii="Times New Roman" w:hAnsi="Times New Roman"/>
          <w:i/>
          <w:sz w:val="24"/>
          <w:szCs w:val="24"/>
        </w:rPr>
        <w:t>The imperial/colonial option:</w:t>
      </w:r>
      <w:r>
        <w:rPr>
          <w:rFonts w:cs="Times New Roman" w:ascii="Times New Roman" w:hAnsi="Times New Roman"/>
          <w:sz w:val="24"/>
          <w:szCs w:val="24"/>
        </w:rPr>
        <w:t xml:space="preserve"> Past empires collapsed due to imperial overstretch, as the costs of maintaining the empire did not match the benefits from having it. Despite the change of circumstances with (at least temporarily) absolute scarcities, this has not changed, in particular with population growth in the South, self-conscious nations and modern technologies.</w:t>
      </w:r>
    </w:p>
    <w:p>
      <w:pPr>
        <w:pStyle w:val="Normal1"/>
        <w:numPr>
          <w:ilvl w:val="0"/>
          <w:numId w:val="2"/>
        </w:numPr>
        <w:tabs>
          <w:tab w:val="clear" w:pos="708"/>
        </w:tabs>
        <w:spacing w:lineRule="auto" w:line="240" w:before="0" w:after="0"/>
        <w:jc w:val="start"/>
        <w:rPr>
          <w:rFonts w:ascii="Times New Roman" w:hAnsi="Times New Roman" w:cs="Times New Roman"/>
          <w:sz w:val="24"/>
          <w:szCs w:val="24"/>
        </w:rPr>
      </w:pPr>
      <w:r>
        <w:rPr>
          <w:rFonts w:cs="Times New Roman" w:ascii="Times New Roman" w:hAnsi="Times New Roman"/>
          <w:i/>
          <w:sz w:val="24"/>
          <w:szCs w:val="24"/>
        </w:rPr>
        <w:t>The free trade option:</w:t>
      </w:r>
      <w:r>
        <w:rPr>
          <w:rFonts w:cs="Times New Roman" w:ascii="Times New Roman" w:hAnsi="Times New Roman"/>
          <w:sz w:val="24"/>
          <w:szCs w:val="24"/>
        </w:rPr>
        <w:t xml:space="preserve"> Trade does not extend the resource base, it only enforces an allocation regime based on purchasing power, and this is what countries like China (despite its WTO membership) are no longer willing to accept. Hence the recourse to contractual and ownership relations instead of markets (similar to the Russia-EU gas deals).</w:t>
      </w:r>
    </w:p>
    <w:p>
      <w:pPr>
        <w:pStyle w:val="Normal"/>
        <w:numPr>
          <w:ilvl w:val="0"/>
          <w:numId w:val="2"/>
        </w:numPr>
        <w:jc w:val="start"/>
        <w:rPr>
          <w:rFonts w:ascii="Times New Roman" w:hAnsi="Times New Roman" w:cs="Times New Roman"/>
          <w:sz w:val="24"/>
          <w:szCs w:val="24"/>
        </w:rPr>
      </w:pPr>
      <w:r>
        <w:rPr>
          <w:rFonts w:cs="Times New Roman" w:ascii="Times New Roman" w:hAnsi="Times New Roman"/>
          <w:i/>
          <w:sz w:val="24"/>
          <w:szCs w:val="24"/>
        </w:rPr>
        <w:t>The free market option:</w:t>
      </w:r>
      <w:r>
        <w:rPr>
          <w:rFonts w:cs="Times New Roman" w:ascii="Times New Roman" w:hAnsi="Times New Roman"/>
          <w:sz w:val="24"/>
          <w:szCs w:val="24"/>
        </w:rPr>
        <w:t xml:space="preserve"> There is no doubt that market competition stimulates efficiency improvements, and increasing efficiency is a necessary condition for managing resource scarcities, however it is not sufficient as in a market economy the efficiency gains on the micro level do not fully translate into improvements at the macro level. In the case of much praised win-win situations, households save money by consuming less resources, which they then spend using additional resources. This ‘rebound effect’ reduces the total reduction in resource consumption and can in extreme cases even overcompensate it. The same applies to the business sector: increasing efficiency in the use of a certain process input makes this one relatively cheaper as compared to others and thus provides an incentive to use more of it (Jevons’ paradox). Thus it is the very character of win-win-solutions that the second ‘win’ undermines the first. As far as resource scarcity refers to the availability of material inputs for the economy, substitution is a traditionally successful strategy (e.g. coal for wood), and also applicable to shortages in local environmental services (e.g. waste water treatment to substitute for the biological degradation potential of lakes and rivers). However, in order to solve the larger resource scarcity problem, substitution would have to</w:t>
      </w:r>
    </w:p>
    <w:p>
      <w:pPr>
        <w:pStyle w:val="Normal"/>
        <w:numPr>
          <w:ilvl w:val="0"/>
          <w:numId w:val="4"/>
        </w:numPr>
        <w:spacing w:lineRule="auto" w:line="240"/>
        <w:jc w:val="start"/>
        <w:rPr>
          <w:rFonts w:ascii="Times New Roman" w:hAnsi="Times New Roman" w:cs="Times New Roman"/>
          <w:sz w:val="24"/>
          <w:szCs w:val="24"/>
        </w:rPr>
      </w:pPr>
      <w:r>
        <w:rPr>
          <w:rFonts w:cs="Times New Roman" w:ascii="Times New Roman" w:hAnsi="Times New Roman"/>
          <w:sz w:val="24"/>
          <w:szCs w:val="24"/>
        </w:rPr>
        <w:t>happen in due time and take place at sufficient speed,</w:t>
      </w:r>
    </w:p>
    <w:p>
      <w:pPr>
        <w:pStyle w:val="Normal"/>
        <w:numPr>
          <w:ilvl w:val="0"/>
          <w:numId w:val="4"/>
        </w:numPr>
        <w:spacing w:lineRule="auto" w:line="240" w:before="0" w:after="0"/>
        <w:ind w:hanging="357" w:start="714" w:end="0"/>
        <w:jc w:val="start"/>
        <w:rPr>
          <w:rFonts w:ascii="Times New Roman" w:hAnsi="Times New Roman" w:cs="Times New Roman"/>
          <w:sz w:val="24"/>
          <w:szCs w:val="24"/>
        </w:rPr>
      </w:pPr>
      <w:r>
        <w:rPr>
          <w:rFonts w:cs="Times New Roman" w:ascii="Times New Roman" w:hAnsi="Times New Roman"/>
          <w:sz w:val="24"/>
          <w:szCs w:val="24"/>
        </w:rPr>
        <w:t>provide sufficient volumes of substitutes in due time,</w:t>
      </w:r>
    </w:p>
    <w:p>
      <w:pPr>
        <w:pStyle w:val="Normal"/>
        <w:numPr>
          <w:ilvl w:val="0"/>
          <w:numId w:val="4"/>
        </w:numPr>
        <w:spacing w:lineRule="auto" w:line="240" w:before="0" w:after="0"/>
        <w:ind w:hanging="357" w:start="714" w:end="0"/>
        <w:jc w:val="start"/>
        <w:rPr>
          <w:rFonts w:ascii="Times New Roman" w:hAnsi="Times New Roman" w:cs="Times New Roman"/>
          <w:sz w:val="24"/>
          <w:szCs w:val="24"/>
        </w:rPr>
      </w:pPr>
      <w:r>
        <w:rPr>
          <w:rFonts w:cs="Times New Roman" w:ascii="Times New Roman" w:hAnsi="Times New Roman"/>
          <w:sz w:val="24"/>
          <w:szCs w:val="24"/>
        </w:rPr>
        <w:t>allocate these via markets and not as a monopoly of those who found the substitute,</w:t>
      </w:r>
    </w:p>
    <w:p>
      <w:pPr>
        <w:pStyle w:val="Normal"/>
        <w:numPr>
          <w:ilvl w:val="0"/>
          <w:numId w:val="4"/>
        </w:numPr>
        <w:spacing w:lineRule="auto" w:line="240" w:before="0" w:after="0"/>
        <w:ind w:hanging="357" w:start="714" w:end="0"/>
        <w:jc w:val="start"/>
        <w:rPr>
          <w:rFonts w:ascii="Times New Roman" w:hAnsi="Times New Roman" w:cs="Times New Roman"/>
          <w:sz w:val="24"/>
          <w:szCs w:val="24"/>
        </w:rPr>
      </w:pPr>
      <w:r>
        <w:rPr>
          <w:rFonts w:cs="Times New Roman" w:ascii="Times New Roman" w:hAnsi="Times New Roman"/>
          <w:sz w:val="24"/>
          <w:szCs w:val="24"/>
        </w:rPr>
        <w:t>and all this without generating new unintended risks and at costs (early in the learning curve!) which do not place an unsustainable burden on the functioning of the economic and social system.</w:t>
      </w:r>
    </w:p>
    <w:p>
      <w:pPr>
        <w:pStyle w:val="Normal"/>
        <w:jc w:val="start"/>
        <w:rPr>
          <w:rFonts w:ascii="Times New Roman" w:hAnsi="Times New Roman" w:cs="Times New Roman"/>
          <w:sz w:val="24"/>
          <w:szCs w:val="24"/>
        </w:rPr>
      </w:pPr>
      <w:r>
        <w:rPr>
          <w:rFonts w:cs="Times New Roman" w:ascii="Times New Roman" w:hAnsi="Times New Roman"/>
          <w:sz w:val="24"/>
          <w:szCs w:val="24"/>
        </w:rPr>
        <w:t xml:space="preserve">Standard economists believe in this salvation by engineering, but there is not guarantee that such optimism is realistic. However, if the market option is insufficient, and if trade and force offer no way out, a new mode of regulation is needed to keep the environmental and resource impacts in check. </w:t>
      </w:r>
    </w:p>
    <w:p>
      <w:pPr>
        <w:pStyle w:val="Normal"/>
        <w:rPr/>
      </w:pPr>
      <w:r>
        <w:rPr>
          <w:rFonts w:cs="Times New Roman" w:ascii="Times New Roman" w:hAnsi="Times New Roman"/>
          <w:sz w:val="24"/>
          <w:szCs w:val="24"/>
        </w:rPr>
        <w:t>&amp;Ü3&amp; Towards a sustainable alternative</w:t>
      </w:r>
    </w:p>
    <w:p>
      <w:pPr>
        <w:pStyle w:val="Normal"/>
        <w:jc w:val="start"/>
        <w:rPr>
          <w:rFonts w:ascii="Times New Roman" w:hAnsi="Times New Roman" w:cs="Times New Roman"/>
          <w:sz w:val="24"/>
          <w:szCs w:val="24"/>
        </w:rPr>
      </w:pPr>
      <w:r>
        <w:rPr>
          <w:rFonts w:cs="Times New Roman" w:ascii="Times New Roman" w:hAnsi="Times New Roman"/>
          <w:sz w:val="24"/>
          <w:szCs w:val="24"/>
        </w:rPr>
        <w:t xml:space="preserve">What is called for is a political framing to striking balance between the private and the public interest, the individual pursuit of profit and the collective desire to sustain the social, environmental and institutional systems our civilisation is based upon. This is the objective of </w:t>
      </w:r>
    </w:p>
    <w:p>
      <w:pPr>
        <w:pStyle w:val="Normal"/>
        <w:numPr>
          <w:ilvl w:val="1"/>
          <w:numId w:val="4"/>
        </w:numPr>
        <w:tabs>
          <w:tab w:val="clear" w:pos="708"/>
        </w:tabs>
        <w:ind w:hanging="340" w:start="360" w:end="0"/>
        <w:jc w:val="start"/>
        <w:rPr>
          <w:rFonts w:ascii="Times New Roman" w:hAnsi="Times New Roman" w:cs="Times New Roman"/>
          <w:sz w:val="24"/>
          <w:szCs w:val="24"/>
        </w:rPr>
      </w:pPr>
      <w:r>
        <w:rPr>
          <w:rFonts w:cs="Times New Roman" w:ascii="Times New Roman" w:hAnsi="Times New Roman"/>
          <w:i/>
          <w:sz w:val="24"/>
          <w:szCs w:val="24"/>
        </w:rPr>
        <w:t>the sustainability option:</w:t>
      </w:r>
      <w:r>
        <w:rPr>
          <w:rFonts w:cs="Times New Roman" w:ascii="Times New Roman" w:hAnsi="Times New Roman"/>
          <w:sz w:val="24"/>
          <w:szCs w:val="24"/>
        </w:rPr>
        <w:t xml:space="preserve"> reducing demand and thus increasing sustainability by changing consumption and production patterns </w:t>
      </w:r>
      <w:r>
        <w:fldChar w:fldCharType="begin"/>
      </w:r>
      <w:r>
        <w:rPr>
          <w:sz w:val="24"/>
          <w:szCs w:val="24"/>
          <w:rFonts w:cs="Times New Roman" w:ascii="Times New Roman" w:hAnsi="Times New Roman"/>
        </w:rPr>
        <w:instrText xml:space="preserve"> ADDIN EN.CITE &lt;EndNote&gt;&lt;Cite&gt;&lt;Author&gt;UNDESA&lt;/Author&gt;&lt;Year&gt;1999&lt;/Year&gt;&lt;RecNum&gt;1698&lt;/RecNum&gt;&lt;record&gt;&lt;rec-number&gt;1698&lt;/rec-number&gt;&lt;ref-type name="Report"&gt;27&lt;/ref-type&gt;&lt;contributors&gt;&lt;authors&gt;&lt;author&gt;UNDESA,&lt;/author&gt;&lt;/authors&gt;&lt;/contributors&gt;&lt;titles&gt;&lt;title&gt;International Work Programme on Changing Consumption and Production Patterns&lt;/title&gt;&lt;/titles&gt;&lt;dates&gt;&lt;year&gt;1999&lt;/year&gt;&lt;/dates&gt;&lt;pub-location&gt;New York&lt;/pub-location&gt;&lt;publisher&gt;United Nations&lt;/publisher&gt;&lt;urls&gt;&lt;/urls&gt;&lt;/record&gt;&lt;/Cite&gt;&lt;/EndNote&gt;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(UNDESA 1999)</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is a political challenge in defence of public goods. It requires a transition from an “empty world” to a “full world” paradigm (Daly 1991), from a “cowboy economy” to a “spaceship economy” (Boulding 1966).</w:t>
      </w:r>
    </w:p>
    <w:p>
      <w:pPr>
        <w:pStyle w:val="Normal"/>
        <w:jc w:val="start"/>
        <w:rPr>
          <w:rFonts w:ascii="Times New Roman" w:hAnsi="Times New Roman" w:cs="Times New Roman"/>
          <w:sz w:val="24"/>
          <w:szCs w:val="24"/>
        </w:rPr>
      </w:pPr>
      <w:r>
        <w:rPr>
          <w:rFonts w:cs="Times New Roman" w:ascii="Times New Roman" w:hAnsi="Times New Roman"/>
          <w:sz w:val="24"/>
          <w:szCs w:val="24"/>
        </w:rPr>
        <w:t>How such a solution might look like in detail is still under dispute (and so it must be: sustainability is a multifaceted concept, not providing an ideological blueprint of any ‘ideal society’), but some conclusions can be drawn from our previous analysis:</w:t>
      </w:r>
    </w:p>
    <w:p>
      <w:pPr>
        <w:pStyle w:val="Normal"/>
        <w:numPr>
          <w:ilvl w:val="0"/>
          <w:numId w:val="3"/>
        </w:numPr>
        <w:tabs>
          <w:tab w:val="clear" w:pos="708"/>
        </w:tabs>
        <w:ind w:hanging="360" w:start="360" w:end="0"/>
        <w:jc w:val="start"/>
        <w:rPr>
          <w:rFonts w:ascii="Times New Roman" w:hAnsi="Times New Roman" w:cs="Times New Roman"/>
          <w:sz w:val="24"/>
          <w:szCs w:val="24"/>
        </w:rPr>
      </w:pPr>
      <w:r>
        <w:rPr>
          <w:rFonts w:cs="Times New Roman" w:ascii="Times New Roman" w:hAnsi="Times New Roman"/>
          <w:sz w:val="24"/>
          <w:szCs w:val="24"/>
        </w:rPr>
        <w:t>As sustainability enforcement by imperial powers cannot work, the concept needs collaboration in partnership.</w:t>
      </w:r>
    </w:p>
    <w:p>
      <w:pPr>
        <w:pStyle w:val="Normal"/>
        <w:numPr>
          <w:ilvl w:val="0"/>
          <w:numId w:val="3"/>
        </w:numPr>
        <w:tabs>
          <w:tab w:val="clear" w:pos="708"/>
        </w:tabs>
        <w:spacing w:before="0" w:after="0"/>
        <w:ind w:hanging="357" w:start="357" w:end="0"/>
        <w:jc w:val="start"/>
        <w:rPr>
          <w:rFonts w:ascii="Times New Roman" w:hAnsi="Times New Roman" w:cs="Times New Roman"/>
          <w:sz w:val="24"/>
          <w:szCs w:val="24"/>
        </w:rPr>
      </w:pPr>
      <w:r>
        <w:rPr>
          <w:rFonts w:cs="Times New Roman" w:ascii="Times New Roman" w:hAnsi="Times New Roman"/>
          <w:sz w:val="24"/>
          <w:szCs w:val="24"/>
        </w:rPr>
        <w:t xml:space="preserve">As free trade is enhancing rather than solving the problems, trade needs an institutional framework for social and environmental sustainability. </w:t>
      </w:r>
    </w:p>
    <w:p>
      <w:pPr>
        <w:pStyle w:val="Normal"/>
        <w:numPr>
          <w:ilvl w:val="0"/>
          <w:numId w:val="3"/>
        </w:numPr>
        <w:tabs>
          <w:tab w:val="clear" w:pos="708"/>
        </w:tabs>
        <w:spacing w:before="0" w:after="0"/>
        <w:ind w:hanging="357" w:start="357" w:end="0"/>
        <w:jc w:val="start"/>
        <w:rPr>
          <w:rFonts w:ascii="Times New Roman" w:hAnsi="Times New Roman" w:cs="Times New Roman"/>
          <w:sz w:val="24"/>
          <w:szCs w:val="24"/>
        </w:rPr>
      </w:pPr>
      <w:r>
        <w:rPr>
          <w:rFonts w:cs="Times New Roman" w:ascii="Times New Roman" w:hAnsi="Times New Roman"/>
          <w:sz w:val="24"/>
          <w:szCs w:val="24"/>
        </w:rPr>
        <w:t>As a market has no direction, this must be provided by defining the legal and institutional framework, with the market still the most effective allocation system, but corrected for its environmental and social blindness.</w:t>
      </w:r>
    </w:p>
    <w:p>
      <w:pPr>
        <w:pStyle w:val="Normal"/>
        <w:numPr>
          <w:ilvl w:val="0"/>
          <w:numId w:val="3"/>
        </w:numPr>
        <w:tabs>
          <w:tab w:val="clear" w:pos="708"/>
        </w:tabs>
        <w:spacing w:before="0" w:after="0"/>
        <w:ind w:hanging="357" w:start="357" w:end="0"/>
        <w:jc w:val="start"/>
        <w:rPr>
          <w:rFonts w:ascii="Times New Roman" w:hAnsi="Times New Roman" w:cs="Times New Roman"/>
          <w:sz w:val="24"/>
          <w:szCs w:val="24"/>
        </w:rPr>
      </w:pPr>
      <w:r>
        <w:rPr>
          <w:rFonts w:cs="Times New Roman" w:ascii="Times New Roman" w:hAnsi="Times New Roman"/>
          <w:sz w:val="24"/>
          <w:szCs w:val="24"/>
        </w:rPr>
        <w:t xml:space="preserve">As technology can solve many scarcity problems, any successful sustainability strategy must include a technology promotion element, however not just any technology: public funding should be focussed on problem solving technologies, promoting resource productivity increases. </w:t>
      </w:r>
    </w:p>
    <w:p>
      <w:pPr>
        <w:pStyle w:val="Normal"/>
        <w:numPr>
          <w:ilvl w:val="0"/>
          <w:numId w:val="3"/>
        </w:numPr>
        <w:tabs>
          <w:tab w:val="clear" w:pos="708"/>
        </w:tabs>
        <w:spacing w:before="0" w:after="0"/>
        <w:ind w:hanging="357" w:start="357" w:end="0"/>
        <w:jc w:val="start"/>
        <w:rPr>
          <w:rFonts w:ascii="Times New Roman" w:hAnsi="Times New Roman" w:cs="Times New Roman"/>
          <w:sz w:val="24"/>
          <w:szCs w:val="24"/>
        </w:rPr>
      </w:pPr>
      <w:r>
        <w:rPr>
          <w:rFonts w:cs="Times New Roman" w:ascii="Times New Roman" w:hAnsi="Times New Roman"/>
          <w:sz w:val="24"/>
          <w:szCs w:val="24"/>
        </w:rPr>
        <w:t xml:space="preserve">As an incentive to private R&amp;D, the price system should reflect social and environmental priorities, e.g. by taxing the ‘bads’ (resource consumption) and not the ‘goods’ (goods, services, labour). </w:t>
      </w:r>
    </w:p>
    <w:p>
      <w:pPr>
        <w:pStyle w:val="Normal"/>
        <w:numPr>
          <w:ilvl w:val="0"/>
          <w:numId w:val="3"/>
        </w:numPr>
        <w:tabs>
          <w:tab w:val="clear" w:pos="708"/>
        </w:tabs>
        <w:spacing w:before="0" w:after="0"/>
        <w:ind w:hanging="357" w:start="357" w:end="0"/>
        <w:jc w:val="start"/>
        <w:rPr>
          <w:rFonts w:ascii="Times New Roman" w:hAnsi="Times New Roman" w:cs="Times New Roman"/>
          <w:sz w:val="24"/>
          <w:szCs w:val="24"/>
        </w:rPr>
      </w:pPr>
      <w:r>
        <w:rPr>
          <w:rFonts w:cs="Times New Roman" w:ascii="Times New Roman" w:hAnsi="Times New Roman"/>
          <w:sz w:val="24"/>
          <w:szCs w:val="24"/>
        </w:rPr>
        <w:t xml:space="preserve">As in the continental European tradition (as opposed to Anglo-Saxon thinking, </w:t>
      </w:r>
      <w:r>
        <w:fldChar w:fldCharType="begin"/>
      </w:r>
      <w:r>
        <w:rPr>
          <w:sz w:val="24"/>
          <w:szCs w:val="24"/>
          <w:rFonts w:cs="Times New Roman" w:ascii="Times New Roman" w:hAnsi="Times New Roman"/>
        </w:rPr>
        <w:instrText xml:space="preserve"> ADDIN ENRfu _x0001_</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The Economist 2002)</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this pursuit of public interests must be part of the public sphere and can not be handed over to private interests and the economic calculus, authorities and the </w:t>
      </w:r>
      <w:r>
        <w:rPr>
          <w:rFonts w:cs="Times New Roman" w:ascii="Times New Roman" w:hAnsi="Times New Roman"/>
          <w:i/>
          <w:sz w:val="24"/>
          <w:szCs w:val="24"/>
        </w:rPr>
        <w:t>citoyen</w:t>
      </w:r>
      <w:r>
        <w:rPr>
          <w:rFonts w:cs="Times New Roman" w:ascii="Times New Roman" w:hAnsi="Times New Roman"/>
          <w:sz w:val="24"/>
          <w:szCs w:val="24"/>
        </w:rPr>
        <w:t xml:space="preserve"> are considered key actors, rather than business and the consumer (although the US-style discourse dominates amongst the economic and political elites).</w:t>
      </w:r>
    </w:p>
    <w:p>
      <w:pPr>
        <w:pStyle w:val="Normal"/>
        <w:jc w:val="start"/>
        <w:rPr/>
      </w:pPr>
      <w:r>
        <w:rPr>
          <w:rFonts w:cs="Times New Roman" w:ascii="Times New Roman" w:hAnsi="Times New Roman"/>
          <w:sz w:val="24"/>
          <w:szCs w:val="24"/>
        </w:rPr>
        <w:t xml:space="preserve">These conclusions are recommendations for necessary elements of a sustainability strategy, using elements of the other options but in a rather different framework. Which role they play in international strategy development will be decisive for global sustainability. </w:t>
      </w:r>
    </w:p>
    <w:p>
      <w:pPr>
        <w:pStyle w:val="Heading2"/>
        <w:rPr>
          <w:rFonts w:ascii="Times New Roman" w:hAnsi="Times New Roman" w:cs="Times New Roman"/>
          <w:sz w:val="24"/>
          <w:szCs w:val="24"/>
        </w:rPr>
      </w:pPr>
      <w:r>
        <w:rPr>
          <w:rFonts w:cs="Times New Roman" w:ascii="Times New Roman" w:hAnsi="Times New Roman"/>
          <w:sz w:val="24"/>
          <w:szCs w:val="24"/>
        </w:rPr>
        <w:t xml:space="preserve">&amp;Ü2&amp;  </w:t>
      </w:r>
      <w:r>
        <w:rPr>
          <w:rFonts w:cs="Times New Roman" w:ascii="Times New Roman" w:hAnsi="Times New Roman"/>
          <w:b w:val="false"/>
          <w:sz w:val="24"/>
          <w:szCs w:val="24"/>
        </w:rPr>
        <w:t>3. The road the world is travelling</w:t>
      </w:r>
    </w:p>
    <w:p>
      <w:pPr>
        <w:pStyle w:val="Normal"/>
        <w:jc w:val="start"/>
        <w:rPr/>
      </w:pPr>
      <w:r>
        <w:rPr>
          <w:rFonts w:cs="Times New Roman" w:ascii="Times New Roman" w:hAnsi="Times New Roman"/>
          <w:sz w:val="24"/>
          <w:szCs w:val="24"/>
        </w:rPr>
        <w:t xml:space="preserve">In a nutshell, the expansionist option offers no solutions in a globalised full world, as no place to export unsustainability to is left, in particular as the overall throughput of the economy has become the main environmental problem </w:t>
      </w:r>
      <w:r>
        <w:fldChar w:fldCharType="begin"/>
      </w:r>
      <w:r>
        <w:rPr>
          <w:sz w:val="24"/>
          <w:szCs w:val="24"/>
          <w:rFonts w:cs="Times New Roman" w:ascii="Times New Roman" w:hAnsi="Times New Roman"/>
        </w:rPr>
        <w:instrText xml:space="preserve"> ADDIN EN.CITE &lt;EndNote&gt;&lt;Cite&gt;&lt;Author&gt;Daly&lt;/Author&gt;&lt;Year&gt;1991&lt;/Year&gt;&lt;RecNum&gt;2052&lt;/RecNum&gt;&lt;record&gt;&lt;rec-number&gt;2052&lt;/rec-number&gt;&lt;ref-type name='Book'&gt;6&lt;/ref-type&gt;&lt;contributors&gt;&lt;authors&gt;&lt;author&gt;Daly, Herman E.&lt;/author&gt;&lt;/authors&gt;&lt;/contributors&gt;&lt;titles&gt;&lt;title&gt;Steady-State Economics. Second Edition with new Essays&lt;/title&gt;&lt;/titles&gt;&lt;edition&gt;2nd&lt;/edition&gt;&lt;dates&gt;&lt;year&gt;1991&lt;/year&gt;&lt;/dates&gt;&lt;pub-location&gt;Covelo/Washington, D.C.&lt;/pub-location&gt;&lt;publisher&gt;Island Press&lt;/publisher&gt;&lt;urls&gt;&lt;/urls&gt;&lt;/record&gt;&lt;/Cite&gt;&lt;Cite&gt;&lt;Author&gt;Schmidt-Bleek&lt;/Author&gt;&lt;Year&gt;1998&lt;/Year&gt;&lt;RecNum&gt;148&lt;/RecNum&gt;&lt;record&gt;&lt;rec-number&gt;148&lt;/rec-number&gt;&lt;ref-type name='Book'&gt;6&lt;/ref-type&gt;&lt;contributors&gt;&lt;authors&gt;&lt;author&gt;Schmidt-Bleek, Friedrich&lt;/author&gt;&lt;/authors&gt;&lt;/contributors&gt;&lt;titles&gt;&lt;title&gt;Das MIPS-Konzept - Faktor 10&lt;/title&gt;&lt;/titles&gt;&lt;dates&gt;&lt;year&gt;1998&lt;/year&gt;&lt;/dates&gt;&lt;pub-location&gt;Munich&lt;/pub-location&gt;&lt;publisher&gt;Droemer Knaur&lt;/publisher&gt;&lt;urls&gt;&lt;/urls&gt;&lt;/record&gt;&lt;/Cite&gt;&lt;/EndNote&gt;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(Daly 1991; Schmidt-Bleek 1998)</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Technological fixes are helpful to buy time, but tend to shift problems instead of solving them, as the total generation of entropy is hardly reduced (Georgescou-Roegen 1970). Focussing exclusively on deregulating the global market to enhance economic efficiency neglects the need to respect social and environmental effectiveness as a precondition for long term economic viability </w:t>
      </w:r>
      <w:r>
        <w:fldChar w:fldCharType="begin"/>
      </w:r>
      <w:r>
        <w:rPr>
          <w:sz w:val="24"/>
          <w:szCs w:val="24"/>
          <w:rFonts w:cs="Times New Roman" w:ascii="Times New Roman" w:hAnsi="Times New Roman"/>
        </w:rPr>
        <w:instrText xml:space="preserve"> ADDIN EN.CITE &lt;EndNote&gt;&lt;Cite&gt;&lt;Author&gt;Bossel&lt;/Author&gt;&lt;Year&gt;2000&lt;/Year&gt;&lt;RecNum&gt;29&lt;/RecNum&gt;&lt;record&gt;&lt;source-app name='EndNote' version='8.0'&gt;EndNote&lt;/source-app&gt;&lt;rec-number&gt;0&lt;/rec-number&gt;&lt;ref-type name='Journal Article'&gt;17&lt;/ref-type&gt;&lt;contributors&gt;&lt;authors&gt;&lt;author&gt;&lt;style face='normal' font='default' size='100%'&gt;Bossel, Hartmut&lt;/style&gt;&lt;/author&gt;&lt;/authors&gt;&lt;/contributors&gt;&lt;titles&gt;&lt;title&gt;&lt;style face='normal' font='default' size='100%'&gt;Policy assessment and simulation of actor orientation for sustainable development&lt;/style&gt;&lt;/title&gt;&lt;secondary-title&gt;&lt;style face='normal' font='default' size='100%'&gt;Ecological Economics&lt;/style&gt;&lt;/secondary-title&gt;&lt;/titles&gt;&lt;pages&gt;&lt;style face='normal' font='default' size='100%'&gt;337-355&lt;/style&gt;&lt;/pages&gt;&lt;volume&gt;&lt;style face='normal' font='default' size='100%'&gt;35&lt;/style&gt;&lt;/volume&gt;&lt;number&gt;&lt;style face='normal' font='default' size='100%'&gt;3&lt;/style&gt;&lt;/number&gt;&lt;dates&gt;&lt;year&gt;&lt;style face='normal' font='default' size='100%'&gt;2000&lt;/style&gt;&lt;/year&gt;&lt;/dates&gt;&lt;urls&gt;&lt;/urls&gt;&lt;/record&gt;&lt;/Cite&gt;&lt;/EndNote&gt;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(Bossel 2000)</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Relying on markets will probably turn out to be the most economically efficient way to overload the carrying capacity of the institutional, social and environmental system </w:t>
      </w:r>
      <w:r>
        <w:fldChar w:fldCharType="begin"/>
      </w:r>
      <w:r>
        <w:rPr>
          <w:sz w:val="24"/>
          <w:szCs w:val="24"/>
          <w:rFonts w:cs="Times New Roman" w:ascii="Times New Roman" w:hAnsi="Times New Roman"/>
        </w:rPr>
        <w:instrText xml:space="preserve"> ADDIN EN.CITE &lt;EndNote&gt;&lt;Cite&gt;&lt;Author&gt;Daly&lt;/Author&gt;&lt;Year&gt;1996&lt;/Year&gt;&lt;RecNum&gt;13&lt;/RecNum&gt;&lt;record&gt;&lt;source-app name='EndNote' version='8.0'&gt;EndNote&lt;/source-app&gt;&lt;rec-number&gt;0&lt;/rec-number&gt;&lt;ref-type name='Book'&gt;6&lt;/ref-type&gt;&lt;contributors&gt;&lt;authors&gt;&lt;author&gt;&lt;style face='normal' font='default' size='100%'&gt;Daly, H.E.&lt;/style&gt;&lt;/author&gt;&lt;/authors&gt;&lt;/contributors&gt;&lt;titles&gt;&lt;title&gt;&lt;style face='normal' font='default' size='100%'&gt;Beyond Growth. The Economics of Sustainable Developoment&lt;/style&gt;&lt;/title&gt;&lt;/titles&gt;&lt;dates&gt;&lt;year&gt;&lt;style face='normal' font='default' size='100%'&gt;1996&lt;/style&gt;&lt;/year&gt;&lt;/dates&gt;&lt;pub-location&gt;&lt;style face='normal' font='default' size='100%'&gt;Boston&lt;/style&gt;&lt;/pub-location&gt;&lt;publisher&gt;&lt;style face='normal' font='default' size='100%'&gt;Beacon Press&lt;/style&gt;&lt;/publisher&gt;&lt;urls&gt;&lt;/urls&gt;&lt;/record&gt;&lt;/Cite&gt;&lt;/EndNote&gt;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(Daly 1996)</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thus maximising the problem by postponing and globalising it. The failure of all expansion-oriented strategies to provide medium and long term options not provoking conflict and war indicates that they are fundamentally misguiding, and instead of a refined version of the same approach we need a different orientation for a viable future perspective. However, acknowledging the limits to expansionist strategies would thus imply accepting the loss of hegemonial power positions, politically, economically and ideologically; it could destabilise societies and established institutional arrangements.</w:t>
      </w:r>
    </w:p>
    <w:p>
      <w:pPr>
        <w:pStyle w:val="Normal"/>
        <w:jc w:val="start"/>
        <w:rPr>
          <w:rFonts w:ascii="Times New Roman" w:hAnsi="Times New Roman" w:cs="Times New Roman"/>
          <w:sz w:val="24"/>
          <w:szCs w:val="24"/>
        </w:rPr>
      </w:pPr>
      <w:r>
        <w:rPr>
          <w:rFonts w:cs="Times New Roman" w:ascii="Times New Roman" w:hAnsi="Times New Roman"/>
          <w:sz w:val="24"/>
          <w:szCs w:val="24"/>
        </w:rPr>
        <w:t xml:space="preserve">Little wonder, then, that the appearance of sustainable development as a new paradigm did not only cause ideological conflicts, but massive economic and power measures, as described by Jane Roddick in this volume: it is exactly these interests which are at stake. The run-up to the 1992 Johannesburg summit testifies the conflicts of interests, but also demonstrates the coalition building around the sustainability concept which continued and further evolved through the Kyoto Protocol negotiations to the 2002 Johannesburg summit and the Bali climate conference in 2007. </w:t>
      </w:r>
    </w:p>
    <w:p>
      <w:pPr>
        <w:pStyle w:val="Normal"/>
        <w:jc w:val="start"/>
        <w:rPr/>
      </w:pPr>
      <w:r>
        <w:rPr>
          <w:rFonts w:cs="Times New Roman" w:ascii="Times New Roman" w:hAnsi="Times New Roman"/>
          <w:sz w:val="24"/>
          <w:szCs w:val="24"/>
        </w:rPr>
        <w:t>This process is described by Wolfgang Sachs. He highlights the central misunderstand of sustainability in the North, where it has been mainly perceived as an environmental issue, and points to the core of the matter: sustainable development is essentially a concept of global justice</w:t>
      </w:r>
      <w:r>
        <w:rPr>
          <w:rStyle w:val="FootnoteCharacters"/>
          <w:rStyle w:val="FootnoteReference"/>
          <w:rFonts w:cs="Times New Roman" w:ascii="Times New Roman" w:hAnsi="Times New Roman"/>
          <w:sz w:val="24"/>
          <w:szCs w:val="24"/>
        </w:rPr>
        <w:footnoteReference w:id="3"/>
      </w:r>
      <w:r>
        <w:rPr>
          <w:rFonts w:cs="Times New Roman" w:ascii="Times New Roman" w:hAnsi="Times New Roman"/>
          <w:sz w:val="24"/>
          <w:szCs w:val="24"/>
        </w:rPr>
        <w:t xml:space="preserve">. On the one hand, this is inherent in the concept as developed by the Brundtland Commission, and on the other it is a </w:t>
      </w:r>
      <w:r>
        <w:rPr>
          <w:rFonts w:cs="Times New Roman" w:ascii="Times New Roman" w:hAnsi="Times New Roman"/>
          <w:i/>
          <w:sz w:val="24"/>
          <w:szCs w:val="24"/>
        </w:rPr>
        <w:t>sine quo non</w:t>
      </w:r>
      <w:r>
        <w:rPr>
          <w:rFonts w:cs="Times New Roman" w:ascii="Times New Roman" w:hAnsi="Times New Roman"/>
          <w:sz w:val="24"/>
          <w:szCs w:val="24"/>
        </w:rPr>
        <w:t xml:space="preserve"> of international negotiations. However, global justice requires a rethinking of many western attitudes which has just begun, and not yet in all relevant places. Nonetheless, the different and diverging approaches between Europe an the USA became more visible in the decade after the 1992 UNCED conference (see the contributions of Wolfgang Sachs and Alain Lipietz), and they shaped events at the 2002 World Summit.</w:t>
      </w:r>
    </w:p>
    <w:p>
      <w:pPr>
        <w:pStyle w:val="Heading3"/>
        <w:pBdr>
          <w:bottom w:val="nil"/>
        </w:pBdr>
        <w:ind w:hanging="0" w:start="0"/>
        <w:jc w:val="start"/>
        <w:rPr/>
      </w:pPr>
      <w:r>
        <w:rPr>
          <w:rFonts w:cs="Times New Roman" w:ascii="Times New Roman" w:hAnsi="Times New Roman"/>
          <w:i w:val="false"/>
          <w:sz w:val="24"/>
          <w:szCs w:val="24"/>
        </w:rPr>
        <w:t>&amp;Ü3&amp; The Johannesburg World Summit on Sustainable Development WSSD 2002: An international tug-of-war</w:t>
      </w:r>
    </w:p>
    <w:p>
      <w:pPr>
        <w:pStyle w:val="Normal"/>
        <w:jc w:val="start"/>
        <w:rPr/>
      </w:pPr>
      <w:r>
        <w:rPr>
          <w:rFonts w:cs="Times New Roman" w:ascii="Times New Roman" w:hAnsi="Times New Roman"/>
          <w:sz w:val="24"/>
          <w:szCs w:val="24"/>
        </w:rPr>
        <w:t>The WSSD was a place to see how the balance of political powers really was: would it result in the final surrender of politically defined sustainability including all Global Environmental Agreements to the supremacy of the WTO rules, an idea indeed vigorously promoted by Australia at the WSSD, or had the tide begun to turn again? The stage was set and the battle order was rather clear: primacy of the economic over politics as understood by neo-liberal deregulators (establishing this dominance structure is in itself a political process, as is any change to it), and thus a strict aversion against binding multilateral agreements stood against the intention (amongst the industrialised countries represented by the EU and its European allies) to adopt binding social and environmental commitments. The outcome is described in some detail here as it was indicative for the processes of the subsequent years, from the Doha trade negotiations to the Bali climate conference in December 2007. All these global negotiation for a are based on the principle of unanimous agreement, so in any of them no knock-out victory of either side could be expected, but in Johannesburg the question still seemed rather open to which side the balance would lean, with a clear advantage expected for the neo-liberal side.</w:t>
      </w:r>
    </w:p>
    <w:p>
      <w:pPr>
        <w:pStyle w:val="Normal"/>
        <w:jc w:val="start"/>
        <w:rPr/>
      </w:pPr>
      <w:r>
        <w:rPr>
          <w:rFonts w:cs="Times New Roman" w:ascii="Times New Roman" w:hAnsi="Times New Roman"/>
          <w:sz w:val="24"/>
          <w:szCs w:val="24"/>
        </w:rPr>
        <w:t xml:space="preserve">The actual conflict areas followed these expectations, with mixed but frequently unexpected results. The main conflicts materialised concerning the following issues (results indicated in brackets) : </w:t>
      </w:r>
    </w:p>
    <w:p>
      <w:pPr>
        <w:pStyle w:val="Normal"/>
        <w:jc w:val="start"/>
        <w:rPr>
          <w:rFonts w:ascii="Times New Roman" w:hAnsi="Times New Roman" w:cs="Times New Roman"/>
          <w:i/>
          <w:i/>
          <w:sz w:val="24"/>
          <w:szCs w:val="24"/>
        </w:rPr>
      </w:pPr>
      <w:r>
        <w:rPr>
          <w:rFonts w:cs="Times New Roman" w:ascii="Times New Roman" w:hAnsi="Times New Roman"/>
          <w:i/>
          <w:sz w:val="24"/>
          <w:szCs w:val="24"/>
        </w:rPr>
        <w:t xml:space="preserve">Time-bound targets </w:t>
      </w:r>
    </w:p>
    <w:p>
      <w:pPr>
        <w:pStyle w:val="Normal"/>
        <w:numPr>
          <w:ilvl w:val="0"/>
          <w:numId w:val="5"/>
        </w:numPr>
        <w:jc w:val="start"/>
        <w:rPr>
          <w:rFonts w:ascii="Times New Roman" w:hAnsi="Times New Roman" w:cs="Times New Roman"/>
          <w:sz w:val="24"/>
          <w:szCs w:val="24"/>
        </w:rPr>
      </w:pPr>
      <w:r>
        <w:rPr>
          <w:rFonts w:cs="Times New Roman" w:ascii="Times New Roman" w:hAnsi="Times New Roman"/>
          <w:sz w:val="24"/>
          <w:szCs w:val="24"/>
        </w:rPr>
        <w:t>for sanitation (by 2015 halving the share of people with no access)</w:t>
      </w:r>
    </w:p>
    <w:p>
      <w:pPr>
        <w:pStyle w:val="Normal"/>
        <w:numPr>
          <w:ilvl w:val="0"/>
          <w:numId w:val="5"/>
        </w:numPr>
        <w:spacing w:before="0" w:after="0"/>
        <w:ind w:hanging="357" w:start="714" w:end="0"/>
        <w:jc w:val="start"/>
        <w:rPr>
          <w:rFonts w:ascii="Times New Roman" w:hAnsi="Times New Roman" w:cs="Times New Roman"/>
          <w:sz w:val="24"/>
          <w:szCs w:val="24"/>
        </w:rPr>
      </w:pPr>
      <w:r>
        <w:rPr>
          <w:rFonts w:cs="Times New Roman" w:ascii="Times New Roman" w:hAnsi="Times New Roman"/>
          <w:sz w:val="24"/>
          <w:szCs w:val="24"/>
        </w:rPr>
        <w:t>for access to clean drinking water (by 2015 halving the share of people without access)</w:t>
      </w:r>
    </w:p>
    <w:p>
      <w:pPr>
        <w:pStyle w:val="Normal"/>
        <w:numPr>
          <w:ilvl w:val="0"/>
          <w:numId w:val="5"/>
        </w:numPr>
        <w:spacing w:before="0" w:after="0"/>
        <w:ind w:hanging="357" w:start="714" w:end="0"/>
        <w:jc w:val="start"/>
        <w:rPr>
          <w:rFonts w:ascii="Times New Roman" w:hAnsi="Times New Roman" w:cs="Times New Roman"/>
          <w:sz w:val="24"/>
          <w:szCs w:val="24"/>
        </w:rPr>
      </w:pPr>
      <w:r>
        <w:rPr>
          <w:rFonts w:cs="Times New Roman" w:ascii="Times New Roman" w:hAnsi="Times New Roman"/>
          <w:sz w:val="24"/>
          <w:szCs w:val="24"/>
        </w:rPr>
        <w:t>for renewable energies (to be increased with a sense of urgency, EU proposals for binding targets rejected)</w:t>
      </w:r>
    </w:p>
    <w:p>
      <w:pPr>
        <w:pStyle w:val="Normal"/>
        <w:numPr>
          <w:ilvl w:val="0"/>
          <w:numId w:val="5"/>
        </w:numPr>
        <w:spacing w:before="0" w:after="0"/>
        <w:ind w:hanging="357" w:start="714" w:end="0"/>
        <w:jc w:val="start"/>
        <w:rPr>
          <w:rFonts w:ascii="Times New Roman" w:hAnsi="Times New Roman" w:cs="Times New Roman"/>
          <w:sz w:val="24"/>
          <w:szCs w:val="24"/>
        </w:rPr>
      </w:pPr>
      <w:r>
        <w:rPr>
          <w:rFonts w:cs="Times New Roman" w:ascii="Times New Roman" w:hAnsi="Times New Roman"/>
          <w:sz w:val="24"/>
          <w:szCs w:val="24"/>
        </w:rPr>
        <w:t>for chemicals and health (ratification of the PIC Convention on Prior Informed Consent by 2003, of the POP Convention on Persistent Organic Pollutants by 2004, globally harmonised system for classification and labelling of chemicals by 2008)</w:t>
      </w:r>
    </w:p>
    <w:p>
      <w:pPr>
        <w:pStyle w:val="Normal"/>
        <w:numPr>
          <w:ilvl w:val="0"/>
          <w:numId w:val="5"/>
        </w:numPr>
        <w:spacing w:before="0" w:after="0"/>
        <w:ind w:hanging="357" w:start="714" w:end="0"/>
        <w:jc w:val="start"/>
        <w:rPr>
          <w:rFonts w:ascii="Times New Roman" w:hAnsi="Times New Roman" w:cs="Times New Roman"/>
          <w:sz w:val="24"/>
          <w:szCs w:val="24"/>
        </w:rPr>
      </w:pPr>
      <w:r>
        <w:rPr>
          <w:rFonts w:cs="Times New Roman" w:ascii="Times New Roman" w:hAnsi="Times New Roman"/>
          <w:sz w:val="24"/>
          <w:szCs w:val="24"/>
        </w:rPr>
        <w:t>for natural resources (by 2015 halving the share of people suffering from hunger)</w:t>
      </w:r>
    </w:p>
    <w:p>
      <w:pPr>
        <w:pStyle w:val="Normal"/>
        <w:numPr>
          <w:ilvl w:val="0"/>
          <w:numId w:val="5"/>
        </w:numPr>
        <w:spacing w:before="0" w:after="0"/>
        <w:ind w:hanging="357" w:start="714" w:end="0"/>
        <w:jc w:val="start"/>
        <w:rPr>
          <w:rFonts w:ascii="Times New Roman" w:hAnsi="Times New Roman" w:cs="Times New Roman"/>
          <w:sz w:val="24"/>
          <w:szCs w:val="24"/>
        </w:rPr>
      </w:pPr>
      <w:r>
        <w:rPr>
          <w:rFonts w:cs="Times New Roman" w:ascii="Times New Roman" w:hAnsi="Times New Roman"/>
          <w:sz w:val="24"/>
          <w:szCs w:val="24"/>
        </w:rPr>
        <w:t>biodiversity loss limitation (a vague and half-hearted commitment to reduce the current rate of loss by 2010)</w:t>
      </w:r>
    </w:p>
    <w:p>
      <w:pPr>
        <w:pStyle w:val="Normal"/>
        <w:numPr>
          <w:ilvl w:val="0"/>
          <w:numId w:val="5"/>
        </w:numPr>
        <w:spacing w:before="0" w:after="0"/>
        <w:ind w:hanging="357" w:start="714" w:end="0"/>
        <w:jc w:val="start"/>
        <w:rPr>
          <w:rFonts w:ascii="Times New Roman" w:hAnsi="Times New Roman" w:cs="Times New Roman"/>
          <w:sz w:val="24"/>
          <w:szCs w:val="24"/>
        </w:rPr>
      </w:pPr>
      <w:r>
        <w:rPr>
          <w:rFonts w:cs="Times New Roman" w:ascii="Times New Roman" w:hAnsi="Times New Roman"/>
          <w:sz w:val="24"/>
          <w:szCs w:val="24"/>
        </w:rPr>
        <w:t>for fish stock regeneration (establishment of marine protected areas agreed, plus some vague phrases regarding replenishing fish stocks by 2015)</w:t>
      </w:r>
    </w:p>
    <w:p>
      <w:pPr>
        <w:pStyle w:val="Normal"/>
        <w:jc w:val="start"/>
        <w:rPr>
          <w:rFonts w:ascii="Times New Roman" w:hAnsi="Times New Roman" w:cs="Times New Roman"/>
          <w:i/>
          <w:i/>
          <w:sz w:val="24"/>
          <w:szCs w:val="24"/>
        </w:rPr>
      </w:pPr>
      <w:r>
        <w:rPr>
          <w:rFonts w:cs="Times New Roman" w:ascii="Times New Roman" w:hAnsi="Times New Roman"/>
          <w:i/>
          <w:sz w:val="24"/>
          <w:szCs w:val="24"/>
        </w:rPr>
        <w:t>Upholding the Rio principles, in particular</w:t>
      </w:r>
    </w:p>
    <w:p>
      <w:pPr>
        <w:pStyle w:val="Normal"/>
        <w:numPr>
          <w:ilvl w:val="0"/>
          <w:numId w:val="5"/>
        </w:numPr>
        <w:jc w:val="start"/>
        <w:rPr>
          <w:rFonts w:ascii="Times New Roman" w:hAnsi="Times New Roman" w:cs="Times New Roman"/>
          <w:sz w:val="24"/>
          <w:szCs w:val="24"/>
        </w:rPr>
      </w:pPr>
      <w:r>
        <w:rPr>
          <w:rFonts w:cs="Times New Roman" w:ascii="Times New Roman" w:hAnsi="Times New Roman"/>
          <w:sz w:val="24"/>
          <w:szCs w:val="24"/>
        </w:rPr>
        <w:t>Principle 7, on the common but differentiated responsibilities (referred to frequently all over the Plan of Implementation).</w:t>
      </w:r>
    </w:p>
    <w:p>
      <w:pPr>
        <w:pStyle w:val="Normal"/>
        <w:numPr>
          <w:ilvl w:val="0"/>
          <w:numId w:val="5"/>
        </w:numPr>
        <w:jc w:val="start"/>
        <w:rPr>
          <w:rFonts w:ascii="Times New Roman" w:hAnsi="Times New Roman" w:cs="Times New Roman"/>
          <w:sz w:val="24"/>
          <w:szCs w:val="24"/>
        </w:rPr>
      </w:pPr>
      <w:r>
        <w:rPr>
          <w:rFonts w:cs="Times New Roman" w:ascii="Times New Roman" w:hAnsi="Times New Roman"/>
          <w:sz w:val="24"/>
          <w:szCs w:val="24"/>
        </w:rPr>
        <w:t>Principle 15, on the precautionary approach (mentioned in the plan of implementation).</w:t>
      </w:r>
    </w:p>
    <w:p>
      <w:pPr>
        <w:pStyle w:val="Normal"/>
        <w:ind w:hanging="720" w:start="720" w:end="0"/>
        <w:jc w:val="start"/>
        <w:rPr/>
      </w:pPr>
      <w:r>
        <w:rPr>
          <w:rFonts w:cs="Times New Roman" w:ascii="Times New Roman" w:hAnsi="Times New Roman"/>
          <w:i/>
          <w:sz w:val="24"/>
          <w:szCs w:val="24"/>
        </w:rPr>
        <w:t>Kyoto Protocol</w:t>
      </w:r>
      <w:r>
        <w:rPr>
          <w:rFonts w:cs="Times New Roman" w:ascii="Times New Roman" w:hAnsi="Times New Roman"/>
          <w:sz w:val="24"/>
          <w:szCs w:val="24"/>
        </w:rPr>
        <w:t xml:space="preserve"> (states who ratified it urge those who did not do it so far to join in as soon as possible, a call Russia and Canada could not resist. The protocol entered into force the year after).</w:t>
      </w:r>
    </w:p>
    <w:p>
      <w:pPr>
        <w:pStyle w:val="Normal"/>
        <w:spacing w:before="0" w:after="0"/>
        <w:ind w:hanging="720" w:start="720" w:end="0"/>
        <w:jc w:val="start"/>
        <w:rPr/>
      </w:pPr>
      <w:r>
        <w:rPr>
          <w:rFonts w:cs="Times New Roman" w:ascii="Times New Roman" w:hAnsi="Times New Roman"/>
          <w:i/>
          <w:sz w:val="24"/>
          <w:szCs w:val="24"/>
        </w:rPr>
        <w:t>Health and human rights</w:t>
      </w:r>
      <w:r>
        <w:rPr>
          <w:rFonts w:cs="Times New Roman" w:ascii="Times New Roman" w:hAnsi="Times New Roman"/>
          <w:sz w:val="24"/>
          <w:szCs w:val="24"/>
        </w:rPr>
        <w:t xml:space="preserve"> (included against some African and Muslim state resistance).</w:t>
      </w:r>
    </w:p>
    <w:p>
      <w:pPr>
        <w:pStyle w:val="Normal"/>
        <w:spacing w:before="0" w:after="0"/>
        <w:ind w:hanging="720" w:start="720" w:end="0"/>
        <w:jc w:val="start"/>
        <w:rPr/>
      </w:pPr>
      <w:r>
        <w:rPr>
          <w:rFonts w:cs="Times New Roman" w:ascii="Times New Roman" w:hAnsi="Times New Roman"/>
          <w:i/>
          <w:sz w:val="24"/>
          <w:szCs w:val="24"/>
        </w:rPr>
        <w:t>Governance</w:t>
      </w:r>
      <w:r>
        <w:rPr>
          <w:rFonts w:cs="Times New Roman" w:ascii="Times New Roman" w:hAnsi="Times New Roman"/>
          <w:sz w:val="24"/>
          <w:szCs w:val="24"/>
        </w:rPr>
        <w:t xml:space="preserve"> (good governance is demanded, but no conditionalities attached. Support for capacity building is promised, but no binding obligation).</w:t>
      </w:r>
    </w:p>
    <w:p>
      <w:pPr>
        <w:pStyle w:val="Normal"/>
        <w:spacing w:before="0" w:after="0"/>
        <w:ind w:hanging="720" w:start="720" w:end="0"/>
        <w:jc w:val="start"/>
        <w:rPr/>
      </w:pPr>
      <w:r>
        <w:rPr>
          <w:rFonts w:cs="Times New Roman" w:ascii="Times New Roman" w:hAnsi="Times New Roman"/>
          <w:i/>
          <w:sz w:val="24"/>
          <w:szCs w:val="24"/>
        </w:rPr>
        <w:t>Trade, finance and globalisation</w:t>
      </w:r>
      <w:r>
        <w:rPr>
          <w:rFonts w:cs="Times New Roman" w:ascii="Times New Roman" w:hAnsi="Times New Roman"/>
          <w:sz w:val="24"/>
          <w:szCs w:val="24"/>
        </w:rPr>
        <w:t xml:space="preserve"> (the Monterrey Consensus was reconfirmed. Globalisation is described as beneficial, but as a challenge to 3</w:t>
      </w:r>
      <w:r>
        <w:rPr>
          <w:rFonts w:cs="Times New Roman" w:ascii="Times New Roman" w:hAnsi="Times New Roman"/>
          <w:sz w:val="24"/>
          <w:szCs w:val="24"/>
          <w:vertAlign w:val="superscript"/>
        </w:rPr>
        <w:t>rd</w:t>
      </w:r>
      <w:r>
        <w:rPr>
          <w:rFonts w:cs="Times New Roman" w:ascii="Times New Roman" w:hAnsi="Times New Roman"/>
          <w:sz w:val="24"/>
          <w:szCs w:val="24"/>
        </w:rPr>
        <w:t xml:space="preserve"> World countries and economies in transition. Neo-liberal demands to open markets are included, but no binding obligations).</w:t>
      </w:r>
    </w:p>
    <w:p>
      <w:pPr>
        <w:pStyle w:val="Normal"/>
        <w:jc w:val="start"/>
        <w:rPr/>
      </w:pPr>
      <w:r>
        <w:rPr>
          <w:rFonts w:cs="Times New Roman" w:ascii="Times New Roman" w:hAnsi="Times New Roman"/>
          <w:sz w:val="24"/>
          <w:szCs w:val="24"/>
        </w:rPr>
        <w:t xml:space="preserve">It was a battle of interest over spheres of influence. The result reminded to a tug-of-war, with enormous power released at both ends in order to produce minor progress: in the end, the status quo ante prevailed as WTO rules and Global Environmental Agreements should be mutually supportive, and in case of conflicts a case by case solution must be sought (similarly with ILO rules and other social regulations). The reliance on neo-liberal, market based solutions was pushed back at least a few steps and the value of an adequate institutional framework and politically defined objectives and targets became ever more obvious as some achievements for substantial sustainability materialised, briefly indicated in the list of conflict issues above. Even where the issue of trade liberalisation is stressed, the presupposed mutual supportiveness of trade, environment and development is couched in terms that preclude WTO precedence over environmental policy, thereby giving environmental concerns an increased weight </w:t>
      </w:r>
      <w:r>
        <w:fldChar w:fldCharType="begin"/>
      </w:r>
      <w:r>
        <w:rPr>
          <w:sz w:val="24"/>
          <w:szCs w:val="24"/>
          <w:rFonts w:cs="Times New Roman" w:ascii="Times New Roman" w:hAnsi="Times New Roman"/>
        </w:rPr>
        <w:instrText xml:space="preserve"> ADDIN ENRfu _x0001_</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(Rehbinder 2002)</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Although the US is still a politically and economically eminent power, it has lost its hegemonial status, as not only the Johannesburg results, but even more clearly the ratification of the Kyoto Protocol, the confrontation over Iraq in the UN Security Council, the failure of the Free Trade Zone of the Americas, the collapse of the Doha trade negotiations and the surrender at the Bali climate conference have shown.</w:t>
      </w:r>
    </w:p>
    <w:p>
      <w:pPr>
        <w:pStyle w:val="Normal"/>
        <w:jc w:val="start"/>
        <w:rPr>
          <w:rFonts w:ascii="Times New Roman" w:hAnsi="Times New Roman" w:cs="Times New Roman"/>
          <w:sz w:val="24"/>
          <w:szCs w:val="24"/>
        </w:rPr>
      </w:pPr>
      <w:r>
        <w:rPr>
          <w:rFonts w:cs="Times New Roman" w:ascii="Times New Roman" w:hAnsi="Times New Roman"/>
          <w:sz w:val="24"/>
          <w:szCs w:val="24"/>
        </w:rPr>
        <w:t xml:space="preserve">One structural problem of the summit is obvious in all its results: the issue of peace and sustainability is virtually missing. This is a joint failure of all participants, but most of all a result of the unwillingness of the world’s pre-eminent military power, the USA, to accept any critical remarks concerning the use of military force as an obvious contradiction to sustainable development, despite the fact that the UN Millennium Declaration ranking high on the Johannesburg agenda dedicates about half of its text to peace and security issues. </w:t>
      </w:r>
    </w:p>
    <w:p>
      <w:pPr>
        <w:pStyle w:val="Normal"/>
        <w:jc w:val="start"/>
        <w:rPr/>
      </w:pPr>
      <w:r>
        <w:rPr>
          <w:rFonts w:cs="Times New Roman" w:ascii="Times New Roman" w:hAnsi="Times New Roman"/>
          <w:sz w:val="24"/>
          <w:szCs w:val="24"/>
        </w:rPr>
        <w:t>The US resistance did not cease after the Johannesburg summit, nor after the Kyoto protocol went into force. Even in the Bali climate negotiations, days after the IPCC and Al Gore had received the Peace Nobel Price, they refused to compromise. Even in the first vote in the final plenary, as an completely isolated ‘lonesome cowboy’, they voted “no” and prevented a result, causing the most quoted outcry from a Southern delegate “if you don’t want to lead, at least don’t stand in the way”. When the US delegation gave in last minute (to the dissatisfaction of the President) it was obvious that this was due to pressure, not due to insight. In Germany, media declared to have experienced “the dawn of the 20</w:t>
      </w:r>
      <w:r>
        <w:rPr>
          <w:rFonts w:cs="Times New Roman" w:ascii="Times New Roman" w:hAnsi="Times New Roman"/>
          <w:sz w:val="24"/>
          <w:szCs w:val="24"/>
          <w:vertAlign w:val="superscript"/>
        </w:rPr>
        <w:t>th</w:t>
      </w:r>
      <w:r>
        <w:rPr>
          <w:rFonts w:cs="Times New Roman" w:ascii="Times New Roman" w:hAnsi="Times New Roman"/>
          <w:sz w:val="24"/>
          <w:szCs w:val="24"/>
        </w:rPr>
        <w:t xml:space="preserve"> century dominating power, the USA, which has lost its moral, political and economic standing and the rise of the next superpower, China, now demonstrating leadership and responsibility also in global environmental issues”. Times are changing.</w:t>
      </w:r>
    </w:p>
    <w:p>
      <w:pPr>
        <w:pStyle w:val="Heading2"/>
        <w:rPr>
          <w:rFonts w:ascii="Times New Roman" w:hAnsi="Times New Roman" w:cs="Times New Roman"/>
          <w:sz w:val="24"/>
          <w:szCs w:val="24"/>
        </w:rPr>
      </w:pPr>
      <w:r>
        <w:rPr>
          <w:rFonts w:cs="Times New Roman" w:ascii="Times New Roman" w:hAnsi="Times New Roman"/>
          <w:sz w:val="24"/>
          <w:szCs w:val="24"/>
        </w:rPr>
        <w:t xml:space="preserve">&amp;Ü2&amp;  </w:t>
      </w:r>
      <w:r>
        <w:rPr>
          <w:rFonts w:cs="Times New Roman" w:ascii="Times New Roman" w:hAnsi="Times New Roman"/>
          <w:b w:val="false"/>
          <w:sz w:val="24"/>
          <w:szCs w:val="24"/>
        </w:rPr>
        <w:t>4. Where we are now: open questions</w:t>
      </w:r>
    </w:p>
    <w:p>
      <w:pPr>
        <w:pStyle w:val="Normal"/>
        <w:jc w:val="start"/>
        <w:rPr/>
      </w:pPr>
      <w:r>
        <w:rPr>
          <w:rFonts w:cs="Times New Roman" w:ascii="Times New Roman" w:hAnsi="Times New Roman"/>
          <w:sz w:val="24"/>
          <w:szCs w:val="24"/>
        </w:rPr>
        <w:t>Sustainable Development is still a ‘contested concept’ (Connolly 1974). In social science “one has to live with contested concepts like power, freedom, interest, ideology, democracy, and this is not necessarily a disadvantage” (Söderbaum 2007b). Consequently, sustainable development cannot be described as a solitaire concept, but in the course of the discourse other ‘contested concepts’ such those mentioned by Söderbaum have to be employed</w:t>
      </w:r>
      <w:r>
        <w:rPr>
          <w:rStyle w:val="FootnoteCharacters"/>
          <w:rStyle w:val="FootnoteReference"/>
          <w:rFonts w:cs="Times New Roman" w:ascii="Times New Roman" w:hAnsi="Times New Roman"/>
          <w:sz w:val="24"/>
          <w:szCs w:val="24"/>
        </w:rPr>
        <w:footnoteReference w:id="4"/>
      </w:r>
      <w:r>
        <w:rPr>
          <w:rFonts w:cs="Times New Roman" w:ascii="Times New Roman" w:hAnsi="Times New Roman"/>
          <w:sz w:val="24"/>
          <w:szCs w:val="24"/>
        </w:rPr>
        <w:t xml:space="preserve">. </w:t>
      </w:r>
    </w:p>
    <w:p>
      <w:pPr>
        <w:pStyle w:val="Normal"/>
        <w:jc w:val="start"/>
        <w:rPr>
          <w:rFonts w:ascii="Times New Roman" w:hAnsi="Times New Roman" w:cs="Times New Roman"/>
          <w:sz w:val="24"/>
          <w:szCs w:val="24"/>
        </w:rPr>
      </w:pPr>
      <w:r>
        <w:rPr>
          <w:rFonts w:cs="Times New Roman" w:ascii="Times New Roman" w:hAnsi="Times New Roman"/>
          <w:sz w:val="24"/>
          <w:szCs w:val="24"/>
        </w:rPr>
        <w:t>Substantial sustainability extends the scope of planning to distant regions and future generations, based on the principles of respecting the Earth’s carrying capacity while safeguarding inter- and intragenerational justice. It integrates social, environmental, economic and institutional policy domains and qualitative demands, and. Joachim Spangenberg introduces a systematisation, based on these four dimensions as objects and equally four qualities, each quality applying to each dimension. This permits to explicitly address e.g. the social or the economic sustainability of the non-environmental dimensions, an attempt to systematically fill the gap in the Northern sustainability discourse.</w:t>
      </w:r>
    </w:p>
    <w:p>
      <w:pPr>
        <w:pStyle w:val="Normal"/>
        <w:jc w:val="start"/>
        <w:rPr>
          <w:rFonts w:ascii="Times New Roman" w:hAnsi="Times New Roman" w:cs="Times New Roman"/>
          <w:sz w:val="24"/>
          <w:szCs w:val="24"/>
        </w:rPr>
      </w:pPr>
      <w:r>
        <w:rPr>
          <w:rFonts w:cs="Times New Roman" w:ascii="Times New Roman" w:hAnsi="Times New Roman"/>
          <w:sz w:val="24"/>
          <w:szCs w:val="24"/>
        </w:rPr>
        <w:t xml:space="preserve">The resulting multi-dimensional and multi-criteria concept of sustainable development includes a new conceptualisation of work and production (see Meier, Wittlich 2007), the transition from an only productive to an also reproductive pattern of societal development. Despite all past discussions, the implementation of such fundamental changes is still far from completed; although some steps towards gender justice have been taken, a lot of problems has not even been addressed (Weller/Hofmeister). One reason for this is that most often the problem analysis has not been deep enough, and the information used for decision making not sufficiently broad based. Digging deeper, a gendered construction of world views emerges as one constitutive element of our model of development and progress, the androcentric (male-centred) world view analysed by Spitzner regarding its impacts on conceptualising sustainability, thus further developing the cross-sectoral conceptualisation of Spangenberg. </w:t>
      </w:r>
    </w:p>
    <w:p>
      <w:pPr>
        <w:pStyle w:val="Normal"/>
        <w:jc w:val="start"/>
        <w:rPr/>
      </w:pPr>
      <w:r>
        <w:rPr>
          <w:rFonts w:cs="Times New Roman" w:ascii="Times New Roman" w:hAnsi="Times New Roman"/>
          <w:sz w:val="24"/>
          <w:szCs w:val="24"/>
        </w:rPr>
        <w:t>Facing the “</w:t>
      </w:r>
      <w:r>
        <w:rPr>
          <w:rFonts w:cs="Times New Roman" w:ascii="Times New Roman" w:hAnsi="Times New Roman"/>
          <w:i/>
          <w:sz w:val="24"/>
          <w:szCs w:val="24"/>
        </w:rPr>
        <w:t>P</w:t>
      </w:r>
      <w:r>
        <w:rPr>
          <w:rFonts w:cs="Times New Roman" w:ascii="Times New Roman" w:hAnsi="Times New Roman"/>
          <w:i/>
          <w:sz w:val="24"/>
          <w:szCs w:val="24"/>
          <w:vertAlign w:val="superscript"/>
        </w:rPr>
        <w:t>5</w:t>
      </w:r>
      <w:r>
        <w:rPr>
          <w:rFonts w:cs="Times New Roman" w:ascii="Times New Roman" w:hAnsi="Times New Roman"/>
          <w:i/>
          <w:sz w:val="24"/>
          <w:szCs w:val="24"/>
        </w:rPr>
        <w:t xml:space="preserve"> sustainability challenge</w:t>
      </w:r>
      <w:r>
        <w:rPr>
          <w:rFonts w:cs="Times New Roman" w:ascii="Times New Roman" w:hAnsi="Times New Roman"/>
          <w:sz w:val="24"/>
          <w:szCs w:val="24"/>
        </w:rPr>
        <w:t xml:space="preserve">” of poverty &amp; prosperity, pollution, peace and participation means that science must be striving to understand both the natural and the cultural world and the way they interact in order to help find ways out of the sustainability crisis. This includes helping to map out the choices society faces and their consequences, while not confusing means and ends, i.e. being clear about the fact that the choices we face are societal choices, not scientific or technical ones. However, any such broad concept can only be a suitable basis for political and economic decision making, if integrated into a comprehensive picture. This is what sustainability science is striving for – and it is no easy objective. Science for sustainability requires rethinking fundamentally the working mode of the system of science, the isolation of disciplines, towards an interdisciplinary approach. However, to be successful, this requires that no discipline bases its theories on assumptions which are in open contradiction to the established body of knowledge of any other, competent discipline. This requires not only a knowledge based broader that current education systems provide, but also a rethinking of rather fundamental assumptions in many disciplines, in particular in economics. But even this is not enough: transdisciplinary science requires to involve lay people, to overcome the exclusion of knowledge not generated within the closed shop of the scientific community (in a knowledge society there is no monopoly on knowledge for scientists). Jill Jäger describes the challenge and how the international science organisations have responded to it, by developing approaches to, keystone of and tasks for sustainability science. Add to this the need for gender sensitivity Meike Spitzner has elaborated and the requirements of post-normal science as a tool for decision support in situations of ignorance and uncertainty (as usually is the case in sustain able development issues), and a new mode of science emerges </w:t>
      </w:r>
      <w:r>
        <w:fldChar w:fldCharType="begin"/>
      </w:r>
      <w:r>
        <w:rPr>
          <w:sz w:val="24"/>
          <w:szCs w:val="24"/>
          <w:rFonts w:cs="Times New Roman" w:ascii="Times New Roman" w:hAnsi="Times New Roman"/>
        </w:rPr>
        <w:instrText xml:space="preserve"> ADDIN EN.CITE &lt;EndNote&gt;&lt;Cite&gt;&lt;Author&gt;Funtowicz&lt;/Author&gt;&lt;Year&gt;1993&lt;/Year&gt;&lt;RecNum&gt;3890&lt;/RecNum&gt;&lt;record&gt;&lt;rec-number&gt;3890&lt;/rec-number&gt;&lt;ref-type name='Journal Article'&gt;17&lt;/ref-type&gt;&lt;contributors&gt;&lt;authors&gt;&lt;author&gt;Funtowicz, S., Ravetz, J.&lt;/author&gt;&lt;/authors&gt;&lt;/contributors&gt;&lt;titles&gt;&lt;title&gt;Science for the Post-Normal Age&lt;/title&gt;&lt;secondary-title&gt;Futures&lt;/secondary-title&gt;&lt;/titles&gt;&lt;periodical&gt;&lt;full-title&gt;Futures&lt;/full-title&gt;&lt;/periodical&gt;&lt;pages&gt;735-755&lt;/pages&gt;&lt;volume&gt;25&lt;/volume&gt;&lt;number&gt;7&lt;/number&gt;&lt;keywords&gt;&lt;keyword&gt;Participation-Environment-Deliberation themes&lt;/keyword&gt;&lt;/keywords&gt;&lt;dates&gt;&lt;year&gt;1993&lt;/year&gt;&lt;/dates&gt;&lt;urls&gt;&lt;/urls&gt;&lt;/record&gt;&lt;/Cite&gt;&lt;Cite&gt;&lt;Author&gt;Funtowicz&lt;/Author&gt;&lt;Year&gt;1998&lt;/Year&gt;&lt;RecNum&gt;3124&lt;/RecNum&gt;&lt;record&gt;&lt;rec-number&gt;3124&lt;/rec-number&gt;&lt;ref-type name='Journal Article'&gt;17&lt;/ref-type&gt;&lt;contributors&gt;&lt;authors&gt;&lt;author&gt;Funtowicz, Silvio, Ravetz, Jerome, O&amp;apos;Connor, Martin &lt;/author&gt;&lt;/authors&gt;&lt;/contributors&gt;&lt;titles&gt;&lt;title&gt;Challenges in the Use of Science for Sustainable Development&lt;/title&gt;&lt;secondary-title&gt;International Journal of Sustainable Development&lt;/secondary-title&gt;&lt;/titles&gt;&lt;periodical&gt;&lt;full-title&gt;International Journal of Sustainable Development&lt;/full-title&gt;&lt;/periodical&gt;&lt;pages&gt;1-10&lt;/pages&gt;&lt;volume&gt;1&lt;/volume&gt;&lt;number&gt;1&lt;/number&gt;&lt;keywords&gt;&lt;keyword&gt;Post-normal science, sustainability, partnership, quality assurance, uncertainty&lt;/keyword&gt;&lt;/keywords&gt;&lt;dates&gt;&lt;year&gt;1998&lt;/year&gt;&lt;/dates&gt;&lt;urls&gt;&lt;/urls&gt;&lt;/record&gt;&lt;/Cite&gt;&lt;Cite&gt;&lt;Author&gt;Spangenberg&lt;/Author&gt;&lt;Year&gt;2006&lt;/Year&gt;&lt;RecNum&gt;4786&lt;/RecNum&gt;&lt;record&gt;&lt;rec-number&gt;4786&lt;/rec-number&gt;&lt;ref-type name='Book Section'&gt;5&lt;/ref-type&gt;&lt;contributors&gt;&lt;authors&gt;&lt;author&gt;Spangenberg, Joachim H., O&amp;apos;Connor, Martin&lt;/author&gt;&lt;/authors&gt;&lt;secondary-authors&gt;&lt;author&gt;Riechman, Jorge - CiMA&lt;/author&gt;&lt;/secondary-authors&gt;&lt;/contributors&gt;&lt;titles&gt;&lt;title&gt;La ciencia de la sostenibilidad en el espacio de investigación Europeo: descripciones, definiciones y retos&lt;/title&gt;&lt;secondary-title&gt;Perdurar en un planeta habitable. Ciencia, technología y sostenibilidad&lt;/secondary-title&gt;&lt;/titles&gt;&lt;pages&gt;149-184&lt;/pages&gt;&lt;dates&gt;&lt;year&gt;2006&lt;/year&gt;&lt;/dates&gt;&lt;pub-location&gt;Barcelona&lt;/pub-location&gt;&lt;publisher&gt;Icaria&lt;/publisher&gt;&lt;urls&gt;&lt;/urls&gt;&lt;/record&gt;&lt;/Cite&gt;&lt;/EndNote&gt;</w:instrText>
      </w:r>
      <w:r>
        <w:rPr>
          <w:rFonts w:cs="Times New Roman" w:ascii="Times New Roman" w:hAnsi="Times New Roman"/>
          <w:sz w:val="24"/>
          <w:szCs w:val="24"/>
        </w:rPr>
      </w:r>
      <w:r>
        <w:rPr>
          <w:sz w:val="24"/>
          <w:szCs w:val="24"/>
          <w:rFonts w:cs="Times New Roman" w:ascii="Times New Roman" w:hAnsi="Times New Roman"/>
        </w:rPr>
        <w:fldChar w:fldCharType="separate"/>
      </w:r>
      <w:r>
        <w:rPr>
          <w:rFonts w:cs="Times New Roman" w:ascii="Times New Roman" w:hAnsi="Times New Roman"/>
          <w:sz w:val="24"/>
          <w:szCs w:val="24"/>
        </w:rPr>
        <w:t>(Funtowicz, Ravetz 1993; Funtowicz et al. 1998; Spangenberg, O'Connor 2006)</w:t>
      </w:r>
      <w:r>
        <w:rPr>
          <w:rFonts w:cs="Times New Roman" w:ascii="Times New Roman" w:hAnsi="Times New Roman"/>
          <w:sz w:val="24"/>
          <w:szCs w:val="24"/>
        </w:rPr>
      </w:r>
      <w:r>
        <w:rPr>
          <w:sz w:val="24"/>
          <w:szCs w:val="24"/>
          <w:rFonts w:cs="Times New Roman" w:ascii="Times New Roman" w:hAnsi="Times New Roman"/>
        </w:rPr>
        <w:fldChar w:fldCharType="end"/>
      </w:r>
      <w:r>
        <w:rPr>
          <w:rFonts w:cs="Times New Roman" w:ascii="Times New Roman" w:hAnsi="Times New Roman"/>
          <w:sz w:val="24"/>
          <w:szCs w:val="24"/>
        </w:rPr>
        <w:t xml:space="preserve">. </w:t>
      </w:r>
    </w:p>
    <w:p>
      <w:pPr>
        <w:pStyle w:val="Normal"/>
        <w:jc w:val="start"/>
        <w:rPr>
          <w:rFonts w:ascii="Times New Roman" w:hAnsi="Times New Roman" w:cs="Times New Roman"/>
          <w:sz w:val="24"/>
          <w:szCs w:val="24"/>
        </w:rPr>
      </w:pPr>
      <w:r>
        <w:rPr>
          <w:rFonts w:cs="Times New Roman" w:ascii="Times New Roman" w:hAnsi="Times New Roman"/>
          <w:sz w:val="24"/>
          <w:szCs w:val="24"/>
        </w:rPr>
        <w:t>However, this may as well be only the first step of a longer journey, as basic questions regarding the self-perception and role of humans in society are nothing which science can answer. Frieder Otto Wolf asks some of these basic philosophical questions – a route of exploring sustainability that will have repercussions for other disciplines as well.</w:t>
      </w:r>
    </w:p>
    <w:p>
      <w:pPr>
        <w:pStyle w:val="Normal"/>
        <w:jc w:val="start"/>
        <w:rPr/>
      </w:pPr>
      <w:r>
        <w:rPr>
          <w:rFonts w:cs="Times New Roman" w:ascii="Times New Roman" w:hAnsi="Times New Roman"/>
          <w:sz w:val="24"/>
          <w:szCs w:val="24"/>
        </w:rPr>
        <w:t>Systematically reflecting one’s own position and perspective is a helpful approach when trying to understand others. Martinez-Alier helps to do so by demonstrating the embeddedness of alternative and sustainability-related concepts in European intellectual history, by elaborating the concepts, and demonstrating their application today. These concepts help not to visualise the accumulated social and environmental debt Europe owes to the World, they also serve as a warning that globally imposing European concepts cannot be the solution of the problem: it was its cause. This conclusion applies to the USA as well, but whereas Europe has endorsed sustainable development (e.g. in the EU Treaties), the USA had never in the past (see the contribution of Ulrich Grober) nor today shared that point of view. While Jane Roddick and Aalin Lipietz have described the problem from the outside, Jamil Brownson reports “from the belly of the whale”, why the US culture is in conflict with sustainable development and dedicated to a stand-alone policy. According to him, the USA is an individualised consumer society which convinced that it must “go it alone” based on a perceived superiority legitimised by divine right. Such a transcendental approach does not prevail in China, although – as Tian Shi highlights – harmonious development, the overarching objective of the Chinese development plans, deeply rooted in Confucian and Taoist tradition and culture. The similarity to sustainable development as a European concept is striking, and this gives hope – but no certainty, as past experience also discussed by Tian Si shows – that the constructive stance of China at the Bali climate conference could be sustained also in the longer run.</w:t>
      </w:r>
    </w:p>
    <w:p>
      <w:pPr>
        <w:pStyle w:val="Normal"/>
        <w:jc w:val="start"/>
        <w:rPr>
          <w:rFonts w:ascii="Times New Roman" w:hAnsi="Times New Roman" w:cs="Times New Roman"/>
          <w:sz w:val="24"/>
          <w:szCs w:val="24"/>
        </w:rPr>
      </w:pPr>
      <w:r>
        <w:rPr>
          <w:rFonts w:cs="Times New Roman" w:ascii="Times New Roman" w:hAnsi="Times New Roman"/>
          <w:sz w:val="24"/>
          <w:szCs w:val="24"/>
        </w:rPr>
        <w:t>For sustainability politics, a new era seems to emerge: no longer dominates the necessity of neo-liberal hegemony to explain why politics is necessary at all, but to distinguish between fairness based substantial sustainability politics and hegemonial approaches. Sustainability needs leadership in partnership: the World has to find like minded actors for sustainability, and hope that the imperial camp will abandon the expansive strategy and join the quest for sustainable development without catastrophic natural or man-made disasters.</w:t>
      </w:r>
    </w:p>
    <w:p>
      <w:pPr>
        <w:pStyle w:val="Normal"/>
        <w:jc w:val="start"/>
        <w:rPr/>
      </w:pPr>
      <w:r>
        <w:rPr>
          <w:rFonts w:cs="Times New Roman" w:ascii="Times New Roman" w:hAnsi="Times New Roman"/>
          <w:sz w:val="24"/>
          <w:szCs w:val="24"/>
        </w:rPr>
        <w:t>Sustainable development, as a reorientation of the development trajectory from adaptation of supplies to ever growing demands towards adaptations of demand to the social and environmental limits set by societies and the natural environment qualifies as new content for the old mantra of (human) progress.</w:t>
      </w:r>
    </w:p>
    <w:p>
      <w:pPr>
        <w:pStyle w:val="Normal"/>
        <w:keepNext w:val="true"/>
        <w:numPr>
          <w:ilvl w:val="0"/>
          <w:numId w:val="0"/>
        </w:numPr>
        <w:spacing w:before="240" w:after="60"/>
        <w:ind w:end="-130"/>
        <w:jc w:val="start"/>
        <w:outlineLvl w:val="1"/>
        <w:rPr>
          <w:rFonts w:ascii="Times New Roman" w:hAnsi="Times New Roman" w:cs="Times New Roman"/>
          <w:b/>
          <w:bCs/>
          <w:sz w:val="24"/>
          <w:szCs w:val="24"/>
        </w:rPr>
      </w:pPr>
      <w:r>
        <w:rPr>
          <w:rFonts w:cs="Times New Roman" w:ascii="Times New Roman" w:hAnsi="Times New Roman"/>
          <w:b/>
          <w:bCs/>
          <w:sz w:val="24"/>
          <w:szCs w:val="24"/>
        </w:rPr>
        <w:t>References</w:t>
      </w:r>
    </w:p>
    <w:p>
      <w:pPr>
        <w:pStyle w:val="Normal"/>
        <w:ind w:hanging="480" w:start="480" w:end="0"/>
        <w:jc w:val="start"/>
        <w:rPr>
          <w:rFonts w:ascii="Times New Roman" w:hAnsi="Times New Roman" w:cs="Times New Roman"/>
          <w:sz w:val="24"/>
          <w:szCs w:val="24"/>
        </w:rPr>
      </w:pPr>
      <w:r>
        <w:rPr>
          <w:rFonts w:cs="Times New Roman" w:ascii="Times New Roman" w:hAnsi="Times New Roman"/>
          <w:b/>
          <w:bCs/>
          <w:sz w:val="24"/>
          <w:szCs w:val="24"/>
        </w:rPr>
        <w:t xml:space="preserve"> </w:t>
      </w:r>
    </w:p>
    <w:p>
      <w:pPr>
        <w:pStyle w:val="Normal"/>
        <w:jc w:val="start"/>
        <w:rPr>
          <w:rFonts w:ascii="Times New Roman" w:hAnsi="Times New Roman" w:cs="Times New Roman"/>
          <w:sz w:val="24"/>
          <w:szCs w:val="24"/>
        </w:rPr>
      </w:pPr>
      <w:r>
        <w:rPr>
          <w:rFonts w:cs="Times New Roman" w:ascii="Times New Roman" w:hAnsi="Times New Roman"/>
          <w:sz w:val="24"/>
          <w:szCs w:val="24"/>
        </w:rPr>
      </w:r>
    </w:p>
    <w:sectPr>
      <w:footerReference w:type="default" r:id="rId2"/>
      <w:footnotePr>
        <w:numFmt w:val="decimal"/>
      </w:footnotePr>
      <w:type w:val="nextPage"/>
      <w:pgSz w:w="11906" w:h="16838"/>
      <w:pgMar w:left="1417" w:right="1417" w:gutter="0" w:header="0"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variable"/>
  </w:font>
  <w:font w:name="Humanst521 BT">
    <w:altName w:val="Lucida Sans Unicode"/>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99695" cy="318135"/>
              <wp:effectExtent l="0" t="0" r="0" b="0"/>
              <wp:wrapSquare wrapText="bothSides"/>
              <wp:docPr id="1" name="Frame1"/>
              <a:graphic xmlns:a="http://schemas.openxmlformats.org/drawingml/2006/main">
                <a:graphicData uri="http://schemas.microsoft.com/office/word/2010/wordprocessingShape">
                  <wps:wsp>
                    <wps:cNvSpPr txBox="1"/>
                    <wps:spPr>
                      <a:xfrm>
                        <a:off x="0" y="0"/>
                        <a:ext cx="99695" cy="318135"/>
                      </a:xfrm>
                      <a:prstGeom prst="rect"/>
                      <a:solidFill>
                        <a:srgbClr val="FFFFFF">
                          <a:alpha val="0"/>
                        </a:srgbClr>
                      </a:solidFill>
                    </wps:spPr>
                    <wps:txbx>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85pt;height:25.05pt;mso-wrap-distance-left:0pt;mso-wrap-distance-right:0pt;mso-wrap-distance-top:0pt;mso-wrap-distance-bottom:0pt;margin-top:0.05pt;mso-position-vertical-relative:text;margin-left:445.75pt;mso-position-horizontal:right;mso-position-horizontal-relative:margin">
              <v:fill opacity="0f"/>
              <v:textbox inset="0in,0in,0in,0in">
                <w:txbxContent>
                  <w:p>
                    <w:pPr>
                      <w:pStyle w:val="Foot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before="0" w:after="0"/>
        <w:jc w:val="start"/>
        <w:rPr/>
      </w:pPr>
      <w:r>
        <w:rPr>
          <w:rStyle w:val="FootnoteCharacters"/>
        </w:rPr>
        <w:footnoteRef/>
      </w:r>
      <w:r>
        <w:rPr/>
        <w:t xml:space="preserve"> </w:t>
      </w:r>
      <w:r>
        <w:rPr>
          <w:rFonts w:cs="Times New Roman" w:ascii="Times New Roman" w:hAnsi="Times New Roman"/>
          <w:sz w:val="20"/>
        </w:rPr>
        <w:t xml:space="preserve">This is the mechanism described in every economic textbook. However, the capabilities of markets may be overestimated due to flaws in the underling theory, see for instance </w:t>
      </w:r>
      <w:r>
        <w:fldChar w:fldCharType="begin"/>
      </w:r>
      <w:r>
        <w:rPr>
          <w:sz w:val="20"/>
          <w:rFonts w:cs="Times New Roman" w:ascii="Times New Roman" w:hAnsi="Times New Roman"/>
        </w:rPr>
        <w:instrText xml:space="preserve"> ADDIN EN.CITE &lt;EndNote&gt;&lt;Cite&gt;&lt;Author&gt;Gowdy&lt;/Author&gt;&lt;Year&gt;2005&lt;/Year&gt;&lt;RecNum&gt;3373&lt;/RecNum&gt;&lt;record&gt;&lt;rec-number&gt;3373&lt;/rec-number&gt;&lt;ref-type name='Journal Article'&gt;17&lt;/ref-type&gt;&lt;contributors&gt;&lt;authors&gt;&lt;author&gt;Gowdy, John M.&lt;/author&gt;&lt;/authors&gt;&lt;/contributors&gt;&lt;titles&gt;&lt;title&gt;Corporate Responsibility and economic theory: an anthropological perspective&lt;/title&gt;&lt;secondary-title&gt;Int. J. Sustainable Development&lt;/secondary-title&gt;&lt;/titles&gt;&lt;periodical&gt;&lt;full-title&gt;Int. J. Sustainable Development&lt;/full-title&gt;&lt;/periodical&gt;&lt;pages&gt;302-314&lt;/pages&gt;&lt;volume&gt;8&lt;/volume&gt;&lt;number&gt;4&lt;/number&gt;&lt;keywords&gt;&lt;keyword&gt;corporate responsibility, homo economicus, endogenous preferences,  behavioural economics, Walrasian economics, theory of the firm, subjective well-being, hppiness, memes&lt;/keyword&gt;&lt;/keywords&gt;&lt;dates&gt;&lt;year&gt;2005&lt;/year&gt;&lt;/dates&gt;&lt;urls&gt;&lt;/urls&gt;&lt;/record&gt;&lt;/Cite&gt;&lt;Cite&gt;&lt;Author&gt;Gowdy&lt;/Author&gt;&lt;Year&gt;2007&lt;/Year&gt;&lt;RecNum&gt;3494&lt;/RecNum&gt;&lt;record&gt;&lt;rec-number&gt;3494&lt;/rec-number&gt;&lt;ref-type name='Journal Article'&gt;17&lt;/ref-type&gt;&lt;contributors&gt;&lt;authors&gt;&lt;author&gt;Gowdy, John M.&lt;/author&gt;&lt;/authors&gt;&lt;/contributors&gt;&lt;titles&gt;&lt;title&gt;Towards an experimental foundation for cost-benefit-analysis&lt;/title&gt;&lt;secondary-title&gt;Ecological Economics&lt;/secondary-title&gt;&lt;/titles&gt;&lt;periodical&gt;&lt;full-title&gt;Ecological Economics&lt;/full-title&gt;&lt;/periodical&gt;&lt;pages&gt;649-655&lt;/pages&gt;&lt;volume&gt;63&lt;/volume&gt;&lt;number&gt;4&lt;/number&gt;&lt;keywords&gt;&lt;keyword&gt;Cost benefit analysis CBA, environmental valuation, experimental economics, sustainability policy&lt;/keyword&gt;&lt;/keywords&gt;&lt;dates&gt;&lt;year&gt;2007&lt;/year&gt;&lt;/dates&gt;&lt;urls&gt;&lt;/urls&gt;&lt;/record&gt;&lt;/Cite&gt;&lt;Cite&gt;&lt;Author&gt;Söderbaum&lt;/Author&gt;&lt;Year&gt;2007&lt;/Year&gt;&lt;RecNum&gt;3411&lt;/RecNum&gt;&lt;record&gt;&lt;rec-number&gt;3411&lt;/rec-number&gt;&lt;ref-type name="Journal Article"&gt;17&lt;/ref-type&gt;&lt;contributors&gt;&lt;authors&gt;&lt;author&gt;Söderbaum, Peter&lt;/author&gt;&lt;/authors&gt;&lt;/contributors&gt;&lt;titles&gt;&lt;title&gt;Issues of paradigm, ideology, and democracy in sustainability assessment&lt;/title&gt;&lt;secondary-title&gt;Ecological Economics&lt;/secondary-title&gt;&lt;/titles&gt;&lt;periodical&gt;&lt;full-title&gt;Ecological Economics&lt;/full-title&gt;&lt;/periodical&gt;&lt;pages&gt;613-626&lt;/pages&gt;&lt;volume&gt;60&lt;/volume&gt;&lt;number&gt;3&lt;/number&gt;&lt;keywords&gt;&lt;keyword&gt;Sustainability assessment model SAM, democracy, political economic persom PEP, ideological orientation, positional analysis&lt;/keyword&gt;&lt;/keywords&gt;&lt;dates&gt;&lt;year&gt;2007&lt;/year&gt;&lt;/dates&gt;&lt;urls&gt;&lt;/urls&gt;&lt;/record&gt;&lt;/Cite&gt;&lt;/EndNote&gt;</w:instrText>
      </w:r>
      <w:r>
        <w:rPr>
          <w:rFonts w:cs="Times New Roman" w:ascii="Times New Roman" w:hAnsi="Times New Roman"/>
          <w:sz w:val="20"/>
        </w:rPr>
      </w:r>
      <w:r>
        <w:rPr>
          <w:sz w:val="20"/>
          <w:rFonts w:cs="Times New Roman" w:ascii="Times New Roman" w:hAnsi="Times New Roman"/>
        </w:rPr>
        <w:fldChar w:fldCharType="separate"/>
      </w:r>
      <w:r>
        <w:rPr>
          <w:rFonts w:cs="Times New Roman" w:ascii="Times New Roman" w:hAnsi="Times New Roman"/>
          <w:sz w:val="20"/>
        </w:rPr>
        <w:t>(Gowdy 2005, 2007; Söderbaum 2007a)</w:t>
      </w:r>
      <w:r>
        <w:rPr>
          <w:rFonts w:cs="Times New Roman" w:ascii="Times New Roman" w:hAnsi="Times New Roman"/>
          <w:sz w:val="20"/>
        </w:rPr>
      </w:r>
      <w:r>
        <w:rPr>
          <w:sz w:val="20"/>
          <w:rFonts w:cs="Times New Roman" w:ascii="Times New Roman" w:hAnsi="Times New Roman"/>
        </w:rPr>
        <w:fldChar w:fldCharType="end"/>
      </w:r>
      <w:r>
        <w:rPr>
          <w:rFonts w:cs="Times New Roman" w:ascii="Times New Roman" w:hAnsi="Times New Roman"/>
          <w:sz w:val="20"/>
        </w:rPr>
        <w:t>.</w:t>
      </w:r>
    </w:p>
    <w:p>
      <w:pPr>
        <w:pStyle w:val="FootnoteText"/>
        <w:rPr>
          <w:rFonts w:ascii="Times New Roman" w:hAnsi="Times New Roman" w:cs="Times New Roman"/>
          <w:sz w:val="20"/>
        </w:rPr>
      </w:pPr>
      <w:r>
        <w:rPr>
          <w:rFonts w:cs="Times New Roman" w:ascii="Times New Roman" w:hAnsi="Times New Roman"/>
          <w:sz w:val="20"/>
        </w:rPr>
      </w:r>
    </w:p>
  </w:footnote>
  <w:footnote w:id="3">
    <w:p>
      <w:pPr>
        <w:pStyle w:val="Normal"/>
        <w:spacing w:before="0" w:after="0"/>
        <w:jc w:val="start"/>
        <w:rPr>
          <w:rFonts w:ascii="Times New Roman" w:hAnsi="Times New Roman" w:cs="Times New Roman"/>
          <w:sz w:val="24"/>
          <w:szCs w:val="24"/>
        </w:rPr>
      </w:pPr>
      <w:r>
        <w:rPr>
          <w:rStyle w:val="FootnoteCharacters"/>
        </w:rPr>
        <w:footnoteRef/>
      </w:r>
      <w:r>
        <w:rPr/>
        <w:t xml:space="preserve"> </w:t>
      </w:r>
      <w:r>
        <w:rPr>
          <w:rFonts w:cs="Times New Roman" w:ascii="Times New Roman" w:hAnsi="Times New Roman"/>
          <w:sz w:val="20"/>
        </w:rPr>
        <w:t>The fact that justice as the core of sustainable development is just beginning to be discussed on the political level, and that there is no discussion about which kind of justice theory applies to sustainable development illustrates a philosophical deficit in the mainly political and pragmatic discourse. The contribution of Frieder Otto Wolf deals with some of these issues.</w:t>
      </w:r>
    </w:p>
    <w:p>
      <w:pPr>
        <w:pStyle w:val="FootnoteText"/>
        <w:rPr>
          <w:rFonts w:ascii="Times New Roman" w:hAnsi="Times New Roman" w:cs="Times New Roman"/>
          <w:sz w:val="24"/>
          <w:szCs w:val="24"/>
        </w:rPr>
      </w:pPr>
      <w:r>
        <w:rPr>
          <w:rFonts w:cs="Times New Roman" w:ascii="Times New Roman" w:hAnsi="Times New Roman"/>
          <w:sz w:val="24"/>
          <w:szCs w:val="24"/>
        </w:rPr>
      </w:r>
    </w:p>
  </w:footnote>
  <w:footnote w:id="4">
    <w:p>
      <w:pPr>
        <w:pStyle w:val="FootnoteText"/>
        <w:spacing w:before="0" w:after="0"/>
        <w:rPr/>
      </w:pPr>
      <w:r>
        <w:rPr>
          <w:rStyle w:val="FootnoteCharacters"/>
        </w:rPr>
        <w:footnoteRef/>
      </w:r>
      <w:r>
        <w:rPr/>
        <w:t xml:space="preserve"> </w:t>
      </w:r>
      <w:r>
        <w:rPr>
          <w:rFonts w:cs="Times New Roman" w:ascii="Times New Roman" w:hAnsi="Times New Roman"/>
        </w:rPr>
        <w:t>This implies that the interpretation chosen is not the only one possible, but a complement to the prevailing approaches, food for thought adding facts, aspects and concepts which have so far gained little or no attention.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40" w:hanging="340"/>
      </w:pPr>
      <w:rPr>
        <w:rFonts w:ascii="Wingdings" w:hAnsi="Wingdings" w:cs="Wingdings" w:hint="default"/>
        <w:sz w:val="20"/>
      </w:r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440"/>
        </w:tabs>
        <w:ind w:start="1420" w:hanging="340"/>
      </w:pPr>
      <w:rPr>
        <w:rFonts w:ascii="Wingdings" w:hAnsi="Wingdings" w:cs="Wingdings" w:hint="default"/>
        <w:sz w:val="20"/>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240" w:before="120" w:after="0"/>
      <w:jc w:val="both"/>
    </w:pPr>
    <w:rPr>
      <w:rFonts w:ascii="Garamond" w:hAnsi="Garamond" w:eastAsia="Times New Roman" w:cs="Garamond"/>
      <w:color w:val="auto"/>
      <w:sz w:val="28"/>
      <w:szCs w:val="20"/>
      <w:lang w:val="en-GB" w:bidi="ar-SA" w:eastAsia="zh-CN"/>
    </w:rPr>
  </w:style>
  <w:style w:type="paragraph" w:styleId="Heading1">
    <w:name w:val="heading 1"/>
    <w:basedOn w:val="Heading"/>
    <w:next w:val="Normal"/>
    <w:qFormat/>
    <w:pPr>
      <w:keepNext w:val="true"/>
      <w:numPr>
        <w:ilvl w:val="0"/>
        <w:numId w:val="1"/>
      </w:numPr>
      <w:autoSpaceDE w:val="false"/>
      <w:spacing w:lineRule="auto" w:line="360" w:before="120" w:after="0"/>
    </w:pPr>
    <w:rPr>
      <w:rFonts w:ascii="Humanst521 BT;Lucida Sans Unicode" w:hAnsi="Humanst521 BT;Lucida Sans Unicode" w:cs="Times New Roman"/>
      <w:bCs w:val="false"/>
      <w:smallCaps/>
      <w:kern w:val="0"/>
      <w:szCs w:val="24"/>
      <w:lang w:val="de-DE"/>
    </w:rPr>
  </w:style>
  <w:style w:type="paragraph" w:styleId="Heading2">
    <w:name w:val="heading 2"/>
    <w:basedOn w:val="Normal"/>
    <w:next w:val="Normal"/>
    <w:qFormat/>
    <w:pPr>
      <w:keepNext w:val="true"/>
      <w:numPr>
        <w:ilvl w:val="1"/>
        <w:numId w:val="1"/>
      </w:numPr>
      <w:spacing w:before="240" w:after="60"/>
      <w:ind w:hanging="0" w:start="0" w:end="-130"/>
      <w:jc w:val="start"/>
      <w:outlineLvl w:val="1"/>
    </w:pPr>
    <w:rPr>
      <w:rFonts w:ascii="Humanst521 BT;Lucida Sans Unicode" w:hAnsi="Humanst521 BT;Lucida Sans Unicode" w:cs="Arial"/>
      <w:b/>
      <w:bCs/>
      <w:szCs w:val="28"/>
    </w:rPr>
  </w:style>
  <w:style w:type="paragraph" w:styleId="Heading3">
    <w:name w:val="heading 3"/>
    <w:basedOn w:val="Normal"/>
    <w:next w:val="Normal"/>
    <w:qFormat/>
    <w:pPr>
      <w:keepNext w:val="true"/>
      <w:numPr>
        <w:ilvl w:val="2"/>
        <w:numId w:val="1"/>
      </w:numPr>
      <w:pBdr>
        <w:bottom w:val="single" w:sz="6" w:space="1" w:color="000000"/>
      </w:pBdr>
      <w:spacing w:before="240" w:after="60"/>
      <w:jc w:val="center"/>
      <w:outlineLvl w:val="2"/>
    </w:pPr>
    <w:rPr>
      <w:rFonts w:ascii="Humanst521 BT;Lucida Sans Unicode" w:hAnsi="Humanst521 BT;Lucida Sans Unicode" w:cs="Arial"/>
      <w:i/>
      <w:iCs/>
      <w:szCs w:val="26"/>
    </w:rPr>
  </w:style>
  <w:style w:type="character" w:styleId="WW8Num1z0">
    <w:name w:val="WW8Num1z0"/>
    <w:qFormat/>
    <w:rPr>
      <w:rFonts w:ascii="Wingdings" w:hAnsi="Wingdings" w:cs="Wingdings"/>
      <w:sz w:val="20"/>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rFonts w:ascii="Wingdings" w:hAnsi="Wingdings" w:cs="Wingdings"/>
      <w:sz w:val="20"/>
    </w:rPr>
  </w:style>
  <w:style w:type="character" w:styleId="WW8Num3z3">
    <w:name w:val="WW8Num3z3"/>
    <w:qFormat/>
    <w:rPr>
      <w:rFonts w:ascii="Symbol" w:hAnsi="Symbol" w:cs="Symbol"/>
    </w:rPr>
  </w:style>
  <w:style w:type="character" w:styleId="WW8Num3z4">
    <w:name w:val="WW8Num3z4"/>
    <w:qFormat/>
    <w:rPr>
      <w:rFonts w:ascii="Courier New" w:hAnsi="Courier New" w:cs="Courier New"/>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Absatz-Standardschriftart">
    <w:name w:val="Absatz-Standardschriftart"/>
    <w:qFormat/>
    <w:rPr/>
  </w:style>
  <w:style w:type="character" w:styleId="ZchnZchn1">
    <w:name w:val=" Zchn Zchn1"/>
    <w:basedOn w:val="Absatz-Standardschriftart"/>
    <w:qFormat/>
    <w:rPr>
      <w:rFonts w:ascii="Humanst521 BT;Lucida Sans Unicode" w:hAnsi="Humanst521 BT;Lucida Sans Unicode" w:cs="Humanst521 BT;Lucida Sans Unicode"/>
      <w:b/>
      <w:smallCaps/>
      <w:sz w:val="32"/>
      <w:szCs w:val="24"/>
      <w:lang w:val="de-DE" w:bidi="ar-SA"/>
    </w:rPr>
  </w:style>
  <w:style w:type="character" w:styleId="berschrift2Zchn">
    <w:name w:val="Überschrift 2 Zchn"/>
    <w:basedOn w:val="Absatz-Standardschriftart"/>
    <w:qFormat/>
    <w:rPr>
      <w:rFonts w:ascii="Humanst521 BT;Lucida Sans Unicode" w:hAnsi="Humanst521 BT;Lucida Sans Unicode" w:cs="Arial"/>
      <w:b/>
      <w:bCs/>
      <w:sz w:val="28"/>
      <w:szCs w:val="28"/>
      <w:lang w:val="en-GB" w:bidi="ar-SA"/>
    </w:rPr>
  </w:style>
  <w:style w:type="character" w:styleId="NormalChar1">
    <w:name w:val="Normal Char1"/>
    <w:basedOn w:val="Absatz-Standardschriftart"/>
    <w:qFormat/>
    <w:rPr>
      <w:rFonts w:ascii="Garamond" w:hAnsi="Garamond" w:cs="Garamond"/>
      <w:sz w:val="28"/>
      <w:lang w:val="en-GB" w:bidi="ar-SA"/>
    </w:rPr>
  </w:style>
  <w:style w:type="character" w:styleId="FootnoteCharacters">
    <w:name w:val="Footnote Characters"/>
    <w:basedOn w:val="Absatz-Standardschriftart"/>
    <w:qFormat/>
    <w:rPr>
      <w:vertAlign w:val="superscript"/>
    </w:rPr>
  </w:style>
  <w:style w:type="character" w:styleId="PageNumber">
    <w:name w:val="page number"/>
    <w:basedOn w:val="Absatz-Standardschriftar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60"/>
      <w:jc w:val="center"/>
      <w:outlineLvl w:val="0"/>
    </w:pPr>
    <w:rPr>
      <w:rFonts w:ascii="Arial" w:hAnsi="Arial" w:cs="Arial"/>
      <w:b/>
      <w:bCs/>
      <w:kern w:val="2"/>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name w:val="Normal1"/>
    <w:basedOn w:val="Normal"/>
    <w:qFormat/>
    <w:pPr/>
    <w:rPr/>
  </w:style>
  <w:style w:type="paragraph" w:styleId="FootnoteText">
    <w:name w:val="footnote text"/>
    <w:basedOn w:val="Normal"/>
    <w:pPr/>
    <w:rPr>
      <w:sz w:val="20"/>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536" w:leader="none"/>
        <w:tab w:val="right" w:pos="9072"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Normal.dot_x0000_</Template>
  <TotalTime>0</TotalTime>
  <Application>LibreOffice/25.8.2.2$Linux_X86_64 LibreOffice_project/580$Build-2</Application>
  <AppVersion>15.0000</AppVersion>
  <Pages>9</Pages>
  <Words>4758</Words>
  <Characters>26698</Characters>
  <CharactersWithSpaces>31386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2008-01-23T12:13:00Z</dcterms:created>
  <dc:creator>Paust-Lassen</dc:creator>
  <dc:description/>
  <cp:keywords/>
  <dc:language>en-US</dc:language>
  <cp:lastModifiedBy>Paust-Lassen</cp:lastModifiedBy>
  <dcterms:modified xsi:type="dcterms:W3CDTF">2008-01-23T13:00:00Z</dcterms:modified>
  <cp:revision>29</cp:revision>
  <dc:subject/>
  <dc:title>SUSTAINABILITY STRATEGIES: HISTORY, CONCEPTS, RELEVANCE EDITORIAL</dc:title>
</cp:coreProperties>
</file>