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5F"/>
          <w:spacing w:val="14"/>
          <w:sz w:val="19"/>
          <w:szCs w:val="19"/>
        </w:rPr>
        <w:t xml:space="preserve">INFOBLATT IN EINFACHER SPRACHE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62626"/>
          <w:sz w:val="46"/>
          <w:szCs w:val="46"/>
        </w:rPr>
        <w:t xml:space="preserve">Haushaltsbuch auf dem Handy</w:t>
      </w:r>
    </w:p>
    <w:p>
      <w:pPr>
        <w:pBdr>
          <w:bottom w:val="single" w:color="1F4E5F" w:sz="10" w:space="10"/>
        </w:pBdr>
        <w:spacing w:after="340" w:line="340"/>
      </w:pPr>
      <w:r>
        <w:rPr>
          <w:rFonts w:ascii="Calibri" w:cs="Calibri" w:eastAsia="Calibri" w:hAnsi="Calibri"/>
          <w:i/>
          <w:iCs/>
          <w:color w:val="4A4A4A"/>
          <w:sz w:val="25"/>
          <w:szCs w:val="25"/>
        </w:rPr>
        <w:t xml:space="preserve">16 Expert:innen haben zwei Haushaltsbuch-Apps ausprobiert. Hier steht, was sie gut fanden und wie die Apps beim Planen von Geld helfen.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FFFFFF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Was ist ein Haushaltsbuch?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In einem Haushaltsbuch schreiben Sie auf, wie viel Geld Sie bekommen.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Sie schreiben auch auf, wie viel Geld Sie ausgeben.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So sehen Sie, wie viel Geld am Ende vom Monat übrig bleibt.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Das hilft beim Planen.</w:t>
            </w:r>
          </w:p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FFFFFF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3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App 1: Mein Geld im Blick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6966"/>
              <w:gridCol w:w="2300"/>
            </w:tblGrid>
            <w:tr>
              <w:trPr>
                <w:cantSplit/>
              </w:trPr>
              <w:tc>
                <w:tcPr>
                  <w:tcW w:type="dxa" w:w="6966"/>
                  <w:tcMar>
                    <w:top w:type="dxa" w:w="0"/>
                    <w:left w:type="dxa" w:w="0"/>
                    <w:bottom w:type="dxa" w:w="0"/>
                    <w:right w:type="dxa" w:w="200"/>
                  </w:tcMar>
                </w:tcPr>
                <w:p>
                  <w:pPr>
                    <w:spacing w:after="110" w:line="330"/>
                  </w:pPr>
                  <w:r>
                    <w:rPr>
                      <w:rFonts w:ascii="Calibri" w:cs="Calibri" w:eastAsia="Calibri" w:hAnsi="Calibri"/>
                      <w:color w:val="262626"/>
                      <w:sz w:val="25"/>
                      <w:szCs w:val="25"/>
                    </w:rPr>
                    <w:t xml:space="preserve">Sie tragen ein, ob Sie Geld bekommen oder ausgegeben haben.</w:t>
                  </w:r>
                </w:p>
                <w:p>
                  <w:pPr>
                    <w:spacing w:after="110" w:line="330"/>
                  </w:pPr>
                  <w:r>
                    <w:rPr>
                      <w:rFonts w:ascii="Calibri" w:cs="Calibri" w:eastAsia="Calibri" w:hAnsi="Calibri"/>
                      <w:color w:val="262626"/>
                      <w:sz w:val="25"/>
                      <w:szCs w:val="25"/>
                    </w:rPr>
                    <w:t xml:space="preserve">Bei „Wofür?“ wählen Sie einen Bereich aus einer Liste.</w:t>
                  </w:r>
                </w:p>
                <w:p>
                  <w:pPr>
                    <w:spacing w:after="110" w:line="330"/>
                  </w:pPr>
                  <w:r>
                    <w:rPr>
                      <w:rFonts w:ascii="Calibri" w:cs="Calibri" w:eastAsia="Calibri" w:hAnsi="Calibri"/>
                      <w:color w:val="262626"/>
                      <w:sz w:val="25"/>
                      <w:szCs w:val="25"/>
                    </w:rPr>
                    <w:t xml:space="preserve">Balken zeigen Einnahmen und Ausgaben im Monat.</w:t>
                  </w:r>
                </w:p>
                <w:p>
                  <w:pPr>
                    <w:spacing w:after="110" w:line="330"/>
                  </w:pPr>
                  <w:r>
                    <w:rPr>
                      <w:rFonts w:ascii="Calibri" w:cs="Calibri" w:eastAsia="Calibri" w:hAnsi="Calibri"/>
                      <w:color w:val="262626"/>
                      <w:sz w:val="25"/>
                      <w:szCs w:val="25"/>
                    </w:rPr>
                    <w:t xml:space="preserve">Sie können eine Sicherung speichern und später wieder einlesen.</w:t>
                  </w:r>
                </w:p>
              </w:tc>
              <w:tc>
                <w:tcPr>
                  <w:tcW w:type="dxa" w:w="2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60"/>
                    <w:jc w:val="center"/>
                  </w:pPr>
                  <w:r>
                    <w:drawing>
                      <wp:inline distT="0" distB="0" distL="0" distR="0">
                        <wp:extent cx="1143000" cy="1143000"/>
                        <wp:effectExtent t="0" r="0" b="0" l="0"/>
                        <wp:docPr id="2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0" cy="1143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4A4A4A"/>
                      <w:sz w:val="18"/>
                      <w:szCs w:val="18"/>
                    </w:rPr>
                    <w:t xml:space="preserve">Zu App 1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FFFFFF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5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App 2: Mein Haushaltsbuch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6966"/>
              <w:gridCol w:w="2300"/>
            </w:tblGrid>
            <w:tr>
              <w:trPr>
                <w:cantSplit/>
              </w:trPr>
              <w:tc>
                <w:tcPr>
                  <w:tcW w:type="dxa" w:w="6966"/>
                  <w:tcMar>
                    <w:top w:type="dxa" w:w="0"/>
                    <w:left w:type="dxa" w:w="0"/>
                    <w:bottom w:type="dxa" w:w="0"/>
                    <w:right w:type="dxa" w:w="200"/>
                  </w:tcMar>
                </w:tcPr>
                <w:p>
                  <w:pPr>
                    <w:spacing w:after="110" w:line="330"/>
                  </w:pPr>
                  <w:r>
                    <w:rPr>
                      <w:rFonts w:ascii="Calibri" w:cs="Calibri" w:eastAsia="Calibri" w:hAnsi="Calibri"/>
                      <w:color w:val="262626"/>
                      <w:sz w:val="25"/>
                      <w:szCs w:val="25"/>
                    </w:rPr>
                    <w:t xml:space="preserve">Jeder Bereich hat ein einfaches Bild. Zum Beispiel Wohnen, Essen oder Werkstatt-Lohn.</w:t>
                  </w:r>
                </w:p>
                <w:p>
                  <w:pPr>
                    <w:spacing w:after="110" w:line="330"/>
                  </w:pPr>
                  <w:r>
                    <w:rPr>
                      <w:rFonts w:ascii="Calibri" w:cs="Calibri" w:eastAsia="Calibri" w:hAnsi="Calibri"/>
                      <w:color w:val="262626"/>
                      <w:sz w:val="25"/>
                      <w:szCs w:val="25"/>
                    </w:rPr>
                    <w:t xml:space="preserve">Ein Kreis-Bild zeigt, wofür Sie Geld ausgegeben haben.</w:t>
                  </w:r>
                </w:p>
                <w:p>
                  <w:pPr>
                    <w:spacing w:after="110" w:line="330"/>
                  </w:pPr>
                  <w:r>
                    <w:rPr>
                      <w:rFonts w:ascii="Calibri" w:cs="Calibri" w:eastAsia="Calibri" w:hAnsi="Calibri"/>
                      <w:color w:val="262626"/>
                      <w:sz w:val="25"/>
                      <w:szCs w:val="25"/>
                    </w:rPr>
                    <w:t xml:space="preserve">Ein Vergleich zeigt die letzten 6 Monate.</w:t>
                  </w:r>
                </w:p>
                <w:p>
                  <w:pPr>
                    <w:spacing w:after="110" w:line="330"/>
                  </w:pPr>
                  <w:r>
                    <w:rPr>
                      <w:rFonts w:ascii="Calibri" w:cs="Calibri" w:eastAsia="Calibri" w:hAnsi="Calibri"/>
                      <w:color w:val="262626"/>
                      <w:sz w:val="25"/>
                      <w:szCs w:val="25"/>
                    </w:rPr>
                    <w:t xml:space="preserve">Sie können alles als Tabelle oder als PDF speichern.</w:t>
                  </w:r>
                </w:p>
              </w:tc>
              <w:tc>
                <w:tcPr>
                  <w:tcW w:type="dxa" w:w="2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60"/>
                    <w:jc w:val="center"/>
                  </w:pPr>
                  <w:r>
                    <w:drawing>
                      <wp:inline distT="0" distB="0" distL="0" distR="0">
                        <wp:extent cx="1143000" cy="1143000"/>
                        <wp:effectExtent t="0" r="0" b="0" l="0"/>
                        <wp:docPr id="4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0" cy="1143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4A4A4A"/>
                      <w:sz w:val="18"/>
                      <w:szCs w:val="18"/>
                    </w:rPr>
                    <w:t xml:space="preserve">Zu App 2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33"/>
              <w:gridCol w:w="4633"/>
            </w:tblGrid>
            <w:tr>
              <w:trPr>
                <w:cantSplit/>
              </w:trPr>
              <w:tc>
                <w:tcPr>
                  <w:tcW w:type="dxa" w:w="4633"/>
                  <w:tcMar>
                    <w:top w:type="dxa" w:w="0"/>
                    <w:left w:type="dxa" w:w="0"/>
                    <w:bottom w:type="dxa" w:w="0"/>
                    <w:right w:type="dxa" w:w="17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6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Das fanden Nutzer:innen gut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Die Apps sind leicht zu bedienen.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Die Apps kosten nichts.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Die Daten bleiben auf dem eigenen Handy.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Man wählt aus vielen Bereichen aus. Man muss kaum etwas schreiben.</w:t>
                  </w:r>
                </w:p>
              </w:tc>
              <w:tc>
                <w:tcPr>
                  <w:tcW w:type="dxa" w:w="4633"/>
                  <w:tcMar>
                    <w:top w:type="dxa" w:w="0"/>
                    <w:left w:type="dxa" w:w="170"/>
                    <w:bottom w:type="dxa" w:w="0"/>
                    <w:right w:type="dxa" w:w="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7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Das ist bei App 2 besonders gut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Die Bilder zeigen das Geld sehr übersichtlich.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Man sieht schnell, wohin das Geld geht.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Viele fanden App 2 viel übersichtlicher als App 1.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FFFFFF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8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Ideen der Expert:innen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Die Expert:innen hatten auch Ideen, was noch besser werden kann.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Diese Ideen sind in einem Update umgesetzt.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Die Apps sind dadurch noch leichter zu benutzen.</w:t>
            </w:r>
          </w:p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33"/>
              <w:gridCol w:w="4633"/>
            </w:tblGrid>
            <w:tr>
              <w:trPr>
                <w:cantSplit/>
              </w:trPr>
              <w:tc>
                <w:tcPr>
                  <w:tcW w:type="dxa" w:w="4633"/>
                  <w:tcMar>
                    <w:top w:type="dxa" w:w="0"/>
                    <w:left w:type="dxa" w:w="0"/>
                    <w:bottom w:type="dxa" w:w="0"/>
                    <w:right w:type="dxa" w:w="17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9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So sind Ihre Daten geschützt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Die Daten bleiben nur auf Ihrem Handy.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Es gibt kein Konto und keine Anmeldung.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Niemand sonst kann die Daten sehen.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Speichern Sie ab und zu Ihre Daten als Datei. Sonst können sie verloren gehen.</w:t>
                  </w:r>
                </w:p>
              </w:tc>
              <w:tc>
                <w:tcPr>
                  <w:tcW w:type="dxa" w:w="4633"/>
                  <w:tcMar>
                    <w:top w:type="dxa" w:w="0"/>
                    <w:left w:type="dxa" w:w="170"/>
                    <w:bottom w:type="dxa" w:w="0"/>
                    <w:right w:type="dxa" w:w="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10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Das kostet die Nutzung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Beide Apps kosten nichts.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Sie brauchen keinen App-Store.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Sie brauchen nur am Anfang Internet.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FFFFFF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1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So kommt die App auf Ihr Handy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1. Scannen Sie den QR-Code mit der Kamera.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2. Beim iPhone öffnen Sie die Seite in Safari. Tippen Sie auf Teilen und dann auf „Zum Home-Bildschirm“.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3. Bei Android öffnen Sie die Seite in Chrome. Tippen Sie auf das Menü und dann auf „App installieren“.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4. Jetzt ist die App auf Ihrem Startbildschirm.</w:t>
            </w:r>
          </w:p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33"/>
              <w:gridCol w:w="4633"/>
            </w:tblGrid>
            <w:tr>
              <w:trPr>
                <w:cantSplit/>
              </w:trPr>
              <w:tc>
                <w:tcPr>
                  <w:tcW w:type="dxa" w:w="4633"/>
                  <w:tcMar>
                    <w:top w:type="dxa" w:w="0"/>
                    <w:left w:type="dxa" w:w="0"/>
                    <w:bottom w:type="dxa" w:w="0"/>
                    <w:right w:type="dxa" w:w="17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12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Die Apps sind gut für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Menschen mit Lernschwierigkeiten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Menschen mit wenig Erfahrung am Handy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Beschäftigte in Werkstätten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alle, die ihr Geld besser planen wollen</w:t>
                  </w:r>
                </w:p>
              </w:tc>
              <w:tc>
                <w:tcPr>
                  <w:tcW w:type="dxa" w:w="4633"/>
                  <w:tcMar>
                    <w:top w:type="dxa" w:w="0"/>
                    <w:left w:type="dxa" w:w="170"/>
                    <w:bottom w:type="dxa" w:w="0"/>
                    <w:right w:type="dxa" w:w="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13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7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Das können die Apps nicht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Sie ersetzen keine Beratung zu Geld.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Sie bezahlen keine Rechnungen.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Bei Schulden hilft eine Schuldner-Beratung.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FFFFFF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14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Das können Begleitpersonen tun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Installieren Sie die App gemeinsam.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Tragen Sie die ersten Einträge zusammen ein.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Schauen Sie am Monatsende gemeinsam auf die Übersicht.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Zeigen Sie, wie man die Daten als Datei speichert.</w:t>
            </w:r>
          </w:p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EAF2F4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15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Kurz gesagt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Mit den Apps sehen Sie, wie viel Geld Sie haben und ausgeben.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Die Apps sind leicht, kostenlos und Ihre Daten bleiben bei Ihnen.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Bei Geldsorgen hilft eine Beratungsstelle.</w:t>
            </w:r>
          </w:p>
        </w:tc>
      </w:tr>
    </w:tbl>
    <w:p>
      <w:pPr>
        <w:pBdr>
          <w:top w:val="single" w:color="C9D8DC" w:sz="4" w:space="6"/>
        </w:pBdr>
        <w:spacing w:after="20" w:before="180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Getestet 2026 von 16 Expert:innen. Beide Apps wurden im Projekt ToolCheck Inklusion entwickelt und nach den Rückmeldungen verbessert.</w:t>
      </w:r>
    </w:p>
    <w:p>
      <w:pPr>
        <w:spacing w:after="20" w:before="0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Projekt ToolCheck Inklusion · Katholische Erwachsenenbildung Rheinland-Pfalz · CC BY-NC-SA 4.0 · gefördert vom Ministerium für Wissenschaft, Weiterbildung und Gesundheit Rheinland-Pfalz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370fe91fd5e94016110b9f7cf580e8e5fe7ebd7.png"/><Relationship Id="rId8" Type="http://schemas.openxmlformats.org/officeDocument/2006/relationships/image" Target="media/d2a42e9fcd62a3734137801803f77443c5ed9960.png"/><Relationship Id="rId9" Type="http://schemas.openxmlformats.org/officeDocument/2006/relationships/image" Target="media/e8eb515f76267e3b7500acbe9dcc025e0145c5c9.png"/><Relationship Id="rId10" Type="http://schemas.openxmlformats.org/officeDocument/2006/relationships/image" Target="media/149ac94635eb45402d5936f79776d60164f85966.png"/><Relationship Id="rId11" Type="http://schemas.openxmlformats.org/officeDocument/2006/relationships/image" Target="media/638a4ca7c7132837c58c923b0263fcf4020045c0.png"/><Relationship Id="rId12" Type="http://schemas.openxmlformats.org/officeDocument/2006/relationships/image" Target="media/75a0e898f89f43f208e6ff6ac2f6bae0f75e0f13.png"/><Relationship Id="rId13" Type="http://schemas.openxmlformats.org/officeDocument/2006/relationships/image" Target="media/4aa9fade8daa0e2ef80db320599c0d4f5992d7fa.png"/><Relationship Id="rId14" Type="http://schemas.openxmlformats.org/officeDocument/2006/relationships/image" Target="media/7387c1dd24f1da885a0021550a73a7cbdfbb6900.png"/><Relationship Id="rId15" Type="http://schemas.openxmlformats.org/officeDocument/2006/relationships/image" Target="media/0fa9b7297dfb611ca530d38e00e58600a6a73aa4.png"/><Relationship Id="rId16" Type="http://schemas.openxmlformats.org/officeDocument/2006/relationships/image" Target="media/9282e648a0f561cc8709acd317ca11f6865aa206.png"/><Relationship Id="rId17" Type="http://schemas.openxmlformats.org/officeDocument/2006/relationships/image" Target="media/2730defa87c4d60cbfb67b1dfa92a97e948174d5.png"/><Relationship Id="rId18" Type="http://schemas.openxmlformats.org/officeDocument/2006/relationships/image" Target="media/ddc5b0d4851d574af9f017d30584c94774cc845e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ToolCheck Inklusion, KEB Rheinland-Pfalz</dc:creator>
  <cp:lastModifiedBy>Un-named</cp:lastModifiedBy>
  <cp:revision>1</cp:revision>
  <dcterms:created xsi:type="dcterms:W3CDTF">2026-10-28T15:21:43.388Z</dcterms:created>
  <dcterms:modified xsi:type="dcterms:W3CDTF">2026-10-28T15:21:43.389Z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