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5F"/>
          <w:spacing w:val="14"/>
          <w:sz w:val="19"/>
          <w:szCs w:val="19"/>
        </w:rPr>
        <w:t xml:space="preserve">INFOBLATT IN EINFACHER SPRACHE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62626"/>
          <w:sz w:val="46"/>
          <w:szCs w:val="46"/>
        </w:rPr>
        <w:t xml:space="preserve">Texte vorlesen lassen</w:t>
      </w:r>
    </w:p>
    <w:p>
      <w:pPr>
        <w:pBdr>
          <w:bottom w:val="single" w:color="1F4E5F" w:sz="10" w:space="10"/>
        </w:pBdr>
        <w:spacing w:after="340" w:line="340"/>
      </w:pPr>
      <w:r>
        <w:rPr>
          <w:rFonts w:ascii="Calibri" w:cs="Calibri" w:eastAsia="Calibri" w:hAnsi="Calibri"/>
          <w:i/>
          <w:iCs/>
          <w:color w:val="4A4A4A"/>
          <w:sz w:val="25"/>
          <w:szCs w:val="25"/>
        </w:rPr>
        <w:t xml:space="preserve">Unsere Expert:innen haben Tools zum Vorlesen ausprobiert. Hier steht, was gut geklappt hat und was schwierig war.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Was sind Vorlese-Tools?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Vorlese-Tools lesen Texte laut vor.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Eine Computer-Stimme spricht den Text.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Das hilft, wenn Lesen schwer ist oder die Augen schnell müde werden.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Manche Tools sind schon im Handy oder im Computer. Andere muss man im Internet öffnen oder herunterladen.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8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Diese Tools haben wir ausprobiert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9266"/>
              <w:tblBorders>
                <w:top w:val="single" w:color="D8E2E4" w:sz="4"/>
                <w:left w:val="single" w:color="D8E2E4" w:sz="4"/>
                <w:bottom w:val="single" w:color="D8E2E4" w:sz="4"/>
                <w:right w:val="single" w:color="D8E2E4" w:sz="4"/>
                <w:insideH w:val="single" w:color="D8E2E4" w:sz="4"/>
                <w:insideV w:val="single" w:color="D8E2E4" w:sz="4"/>
              </w:tblBorders>
            </w:tblPr>
            <w:tblGrid>
              <w:gridCol w:w="2500"/>
              <w:gridCol w:w="5166"/>
              <w:gridCol w:w="1600"/>
            </w:tblGrid>
            <w:tr>
              <w:trPr>
                <w:cantSplit/>
              </w:trPr>
              <w:tc>
                <w:tcPr>
                  <w:tcW w:type="dxa" w:w="2500"/>
                  <w:shd w:fill="EAF2F4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23"/>
                      <w:szCs w:val="23"/>
                    </w:rPr>
                    <w:t xml:space="preserve">Name</w:t>
                  </w:r>
                </w:p>
              </w:tc>
              <w:tc>
                <w:tcPr>
                  <w:tcW w:type="dxa" w:w="5166"/>
                  <w:shd w:fill="EAF2F4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23"/>
                      <w:szCs w:val="23"/>
                    </w:rPr>
                    <w:t xml:space="preserve">Das sollten Sie wissen</w:t>
                  </w:r>
                </w:p>
              </w:tc>
              <w:tc>
                <w:tcPr>
                  <w:tcW w:type="dxa" w:w="1600"/>
                  <w:shd w:fill="EAF2F4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23"/>
                      <w:szCs w:val="23"/>
                    </w:rPr>
                    <w:t xml:space="preserve">QR-Code</w:t>
                  </w:r>
                </w:p>
              </w:tc>
            </w:tr>
            <w:tr>
              <w:trPr>
                <w:cantSplit/>
                <w:trHeight w:val="1000" w:hRule="atLeast"/>
              </w:trPr>
              <w:tc>
                <w:tcPr>
                  <w:tcW w:type="dxa" w:w="2500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62626"/>
                      <w:sz w:val="23"/>
                      <w:szCs w:val="23"/>
                    </w:rPr>
                    <w:t xml:space="preserve">ElevenLabs</w:t>
                  </w:r>
                </w:p>
              </w:tc>
              <w:tc>
                <w:tcPr>
                  <w:tcW w:type="dxa" w:w="5166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62626"/>
                      <w:sz w:val="23"/>
                      <w:szCs w:val="23"/>
                    </w:rPr>
                    <w:t xml:space="preserve">Im Internet nutzbar. Zum Ausprobieren kostenlos.</w:t>
                  </w:r>
                </w:p>
              </w:tc>
              <w:tc>
                <w:tcPr>
                  <w:tcW w:type="dxa" w:w="1600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spacing w:line="240" w:lineRule="atLeast"/>
                    <w:jc w:val="center"/>
                  </w:pPr>
                  <w:r>
                    <w:drawing>
                      <wp:inline distT="0" distB="0" distL="0" distR="0">
                        <wp:extent cx="552450" cy="552450"/>
                        <wp:effectExtent t="0" r="0" b="0" l="0"/>
                        <wp:docPr id="2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2450" cy="552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1000" w:hRule="atLeast"/>
              </w:trPr>
              <w:tc>
                <w:tcPr>
                  <w:tcW w:type="dxa" w:w="2500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62626"/>
                      <w:sz w:val="23"/>
                      <w:szCs w:val="23"/>
                    </w:rPr>
                    <w:t xml:space="preserve">Plastischer Reader in Word</w:t>
                  </w:r>
                </w:p>
              </w:tc>
              <w:tc>
                <w:tcPr>
                  <w:tcW w:type="dxa" w:w="5166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62626"/>
                      <w:sz w:val="23"/>
                      <w:szCs w:val="23"/>
                    </w:rPr>
                    <w:t xml:space="preserve">In Word unter „Ansicht“. Liest vor und zeigt große Schrift.</w:t>
                  </w:r>
                </w:p>
              </w:tc>
              <w:tc>
                <w:tcPr>
                  <w:tcW w:type="dxa" w:w="1600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spacing w:line="240" w:lineRule="atLeast"/>
                    <w:jc w:val="center"/>
                  </w:pPr>
                  <w:r>
                    <w:drawing>
                      <wp:inline distT="0" distB="0" distL="0" distR="0">
                        <wp:extent cx="552450" cy="552450"/>
                        <wp:effectExtent t="0" r="0" b="0" l="0"/>
                        <wp:docPr id="3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2450" cy="552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1000" w:hRule="atLeast"/>
              </w:trPr>
              <w:tc>
                <w:tcPr>
                  <w:tcW w:type="dxa" w:w="2500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62626"/>
                      <w:sz w:val="23"/>
                      <w:szCs w:val="23"/>
                    </w:rPr>
                    <w:t xml:space="preserve">iPhone: Bildschirm vorlesen</w:t>
                  </w:r>
                </w:p>
              </w:tc>
              <w:tc>
                <w:tcPr>
                  <w:tcW w:type="dxa" w:w="5166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62626"/>
                      <w:sz w:val="23"/>
                      <w:szCs w:val="23"/>
                    </w:rPr>
                    <w:t xml:space="preserve">Schon im iPhone. Kostet nichts.</w:t>
                  </w:r>
                </w:p>
              </w:tc>
              <w:tc>
                <w:tcPr>
                  <w:tcW w:type="dxa" w:w="1600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spacing w:line="240" w:lineRule="atLeast"/>
                    <w:jc w:val="center"/>
                  </w:pPr>
                  <w:r>
                    <w:drawing>
                      <wp:inline distT="0" distB="0" distL="0" distR="0">
                        <wp:extent cx="552450" cy="552450"/>
                        <wp:effectExtent t="0" r="0" b="0" l="0"/>
                        <wp:docPr id="4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2450" cy="552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1000" w:hRule="atLeast"/>
              </w:trPr>
              <w:tc>
                <w:tcPr>
                  <w:tcW w:type="dxa" w:w="2500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62626"/>
                      <w:sz w:val="23"/>
                      <w:szCs w:val="23"/>
                    </w:rPr>
                    <w:t xml:space="preserve">Natural Reader</w:t>
                  </w:r>
                </w:p>
              </w:tc>
              <w:tc>
                <w:tcPr>
                  <w:tcW w:type="dxa" w:w="5166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62626"/>
                      <w:sz w:val="23"/>
                      <w:szCs w:val="23"/>
                    </w:rPr>
                    <w:t xml:space="preserve">Zum Teil kostenlos. Viel auf Englisch.</w:t>
                  </w:r>
                </w:p>
              </w:tc>
              <w:tc>
                <w:tcPr>
                  <w:tcW w:type="dxa" w:w="1600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spacing w:line="240" w:lineRule="atLeast"/>
                    <w:jc w:val="center"/>
                  </w:pPr>
                  <w:r>
                    <w:drawing>
                      <wp:inline distT="0" distB="0" distL="0" distR="0">
                        <wp:extent cx="552450" cy="552450"/>
                        <wp:effectExtent t="0" r="0" b="0" l="0"/>
                        <wp:docPr id="5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2450" cy="552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1000" w:hRule="atLeast"/>
              </w:trPr>
              <w:tc>
                <w:tcPr>
                  <w:tcW w:type="dxa" w:w="2500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62626"/>
                      <w:sz w:val="23"/>
                      <w:szCs w:val="23"/>
                    </w:rPr>
                    <w:t xml:space="preserve">Adobe Acrobat Reader</w:t>
                  </w:r>
                </w:p>
              </w:tc>
              <w:tc>
                <w:tcPr>
                  <w:tcW w:type="dxa" w:w="5166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62626"/>
                      <w:sz w:val="23"/>
                      <w:szCs w:val="23"/>
                    </w:rPr>
                    <w:t xml:space="preserve">Für PDF-Dateien. Muss man herunterladen.</w:t>
                  </w:r>
                </w:p>
              </w:tc>
              <w:tc>
                <w:tcPr>
                  <w:tcW w:type="dxa" w:w="1600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spacing w:line="240" w:lineRule="atLeast"/>
                    <w:jc w:val="center"/>
                  </w:pPr>
                  <w:r>
                    <w:drawing>
                      <wp:inline distT="0" distB="0" distL="0" distR="0">
                        <wp:extent cx="552450" cy="552450"/>
                        <wp:effectExtent t="0" r="0" b="0" l="0"/>
                        <wp:docPr id="6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2450" cy="552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  <w:trHeight w:val="1000" w:hRule="atLeast"/>
              </w:trPr>
              <w:tc>
                <w:tcPr>
                  <w:tcW w:type="dxa" w:w="2500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62626"/>
                      <w:sz w:val="23"/>
                      <w:szCs w:val="23"/>
                    </w:rPr>
                    <w:t xml:space="preserve">Voice Dream Reader</w:t>
                  </w:r>
                </w:p>
              </w:tc>
              <w:tc>
                <w:tcPr>
                  <w:tcW w:type="dxa" w:w="5166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62626"/>
                      <w:sz w:val="23"/>
                      <w:szCs w:val="23"/>
                    </w:rPr>
                    <w:t xml:space="preserve">App für iPhone. Kostet Geld.</w:t>
                  </w:r>
                </w:p>
              </w:tc>
              <w:tc>
                <w:tcPr>
                  <w:tcW w:type="dxa" w:w="1600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spacing w:line="240" w:lineRule="atLeast"/>
                    <w:jc w:val="center"/>
                  </w:pPr>
                  <w:r>
                    <w:drawing>
                      <wp:inline distT="0" distB="0" distL="0" distR="0">
                        <wp:extent cx="552450" cy="552450"/>
                        <wp:effectExtent t="0" r="0" b="0" l="0"/>
                        <wp:docPr id="7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2450" cy="552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33"/>
              <w:gridCol w:w="4633"/>
            </w:tblGrid>
            <w:tr>
              <w:trPr>
                <w:cantSplit/>
              </w:trPr>
              <w:tc>
                <w:tcPr>
                  <w:tcW w:type="dxa" w:w="4633"/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9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Das hat gut geklappt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ElevenLabs war sehr leicht zu bedienen.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Bei ElevenLabs musste man nichts herunterladen.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Der Plastische Reader zeigt große Schrift.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Der Text kann langsam vorgelesen werden.</w:t>
                  </w:r>
                </w:p>
              </w:tc>
              <w:tc>
                <w:tcPr>
                  <w:tcW w:type="dxa" w:w="4633"/>
                  <w:tcMar>
                    <w:top w:type="dxa" w:w="0"/>
                    <w:left w:type="dxa" w:w="170"/>
                    <w:bottom w:type="dxa" w:w="0"/>
                    <w:right w:type="dxa" w:w="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10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Das war schwierig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Manche Tools waren nur auf Englisch. Eine deutsche Stimme war nicht zu finden.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Beim Adobe Reader klappte das Vorlesen in der kostenlosen Version nicht.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Der Plastische Reader war in Word schwer zu finden.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Er las das erste Wort jeder Zeile nicht vor.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33"/>
              <w:gridCol w:w="4633"/>
            </w:tblGrid>
            <w:tr>
              <w:trPr>
                <w:cantSplit/>
              </w:trPr>
              <w:tc>
                <w:tcPr>
                  <w:tcW w:type="dxa" w:w="4633"/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1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Das ist beim Datenschutz wichtig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Bei Tools im Internet wird Ihr Text ins Internet geschickt.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Geben Sie dort keine privaten Texte ein.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Zum Beispiel keine Briefe vom Amt oder vom Arzt.</w:t>
                  </w:r>
                </w:p>
              </w:tc>
              <w:tc>
                <w:tcPr>
                  <w:tcW w:type="dxa" w:w="4633"/>
                  <w:tcMar>
                    <w:top w:type="dxa" w:w="0"/>
                    <w:left w:type="dxa" w:w="170"/>
                    <w:bottom w:type="dxa" w:w="0"/>
                    <w:right w:type="dxa" w:w="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12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Das kostet die Nutzung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Das Vorlesen im iPhone kostet nichts.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ElevenLabs und Natural Reader sind zum Teil kostenlos.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Voice Dream Reader kostet rund 90 Euro im Jahr.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Prüfen Sie vor dem Bezahlen, ob ein kostenloses Tool reicht.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13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Darauf sollten Sie achten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Probieren Sie zuerst das Vorlesen, das schon im Handy oder Computer ist.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Stellen Sie eine deutsche Stimme ein.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Stellen Sie das Tempo langsam ein.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Lesen Sie beim Zuhören im Text mit. Manchmal fehlen Wörter.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33"/>
              <w:gridCol w:w="4633"/>
            </w:tblGrid>
            <w:tr>
              <w:trPr>
                <w:cantSplit/>
              </w:trPr>
              <w:tc>
                <w:tcPr>
                  <w:tcW w:type="dxa" w:w="4633"/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14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Vorlese-Tools sind gut für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Menschen mit Lernschwierigkeiten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Menschen mit Sehbeeinträchtigung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Menschen mit wenig Erfahrung am Handy oder Computer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Jugendliche</w:t>
                  </w:r>
                </w:p>
              </w:tc>
              <w:tc>
                <w:tcPr>
                  <w:tcW w:type="dxa" w:w="4633"/>
                  <w:tcMar>
                    <w:top w:type="dxa" w:w="0"/>
                    <w:left w:type="dxa" w:w="170"/>
                    <w:bottom w:type="dxa" w:w="0"/>
                    <w:right w:type="dxa" w:w="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15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Das können sie nicht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Sie erklären keine schweren Wörter.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Sie machen Texte nicht leichter.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Sie lesen nicht immer alles richtig vor.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16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Das können Begleitpersonen tun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Richten Sie das Tool vorher ein.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Zeigen Sie, wo man das Vorlesen startet.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Stellen Sie eine deutsche Stimme und ein langsames Tempo ein.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Probieren Sie zuerst kostenlose Tools aus.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EAF2F4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17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Kurz gesagt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Vorlese-Tools helfen, wenn Lesen schwer ist.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Am leichtesten war ein Tool ohne Herunterladen.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Achten Sie auf eine deutsche Stimme und auf die Kosten.</w:t>
            </w:r>
          </w:p>
        </w:tc>
      </w:tr>
    </w:tbl>
    <w:p>
      <w:pPr>
        <w:pBdr>
          <w:top w:val="single" w:color="C9D8DC" w:sz="4" w:space="6"/>
        </w:pBdr>
        <w:spacing w:after="20" w:before="18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Erprobt im Juni 2026 in einem Online-Kurs.</w:t>
      </w:r>
    </w:p>
    <w:p>
      <w:pPr>
        <w:spacing w:after="20" w:before="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Projekt ToolCheck Inklusion · Katholische Erwachsenenbildung Rheinland-Pfalz · CC BY-NC-SA 4.0 · gefördert vom Ministerium für Wissenschaft, Weiterbildung und Gesundheit Rheinland-Pfalz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370fe91fd5e94016110b9f7cf580e8e5fe7ebd7.png"/><Relationship Id="rId8" Type="http://schemas.openxmlformats.org/officeDocument/2006/relationships/image" Target="media/0df06a7aeeb8c14f9d4bc8083a3abfb0af495e3b.png"/><Relationship Id="rId9" Type="http://schemas.openxmlformats.org/officeDocument/2006/relationships/image" Target="media/371a43c03ed93a48484d130e743452e909cc482a.png"/><Relationship Id="rId10" Type="http://schemas.openxmlformats.org/officeDocument/2006/relationships/image" Target="media/d7e3d4c603123c3f6543925d6f3140cf8c14acdc.png"/><Relationship Id="rId11" Type="http://schemas.openxmlformats.org/officeDocument/2006/relationships/image" Target="media/d3cc711b2394fd5557beda4f82dd91dd1f9a0f0b.png"/><Relationship Id="rId12" Type="http://schemas.openxmlformats.org/officeDocument/2006/relationships/image" Target="media/79a3f68509318732abf8994f081beedd76500204.png"/><Relationship Id="rId13" Type="http://schemas.openxmlformats.org/officeDocument/2006/relationships/image" Target="media/9b9ef86f8977e6fa4e54db954f341742611416e4.png"/><Relationship Id="rId14" Type="http://schemas.openxmlformats.org/officeDocument/2006/relationships/image" Target="media/e7846ef66e046f2bf691ec271bf3bad343c421c6.png"/><Relationship Id="rId15" Type="http://schemas.openxmlformats.org/officeDocument/2006/relationships/image" Target="media/638a4ca7c7132837c58c923b0263fcf4020045c0.png"/><Relationship Id="rId16" Type="http://schemas.openxmlformats.org/officeDocument/2006/relationships/image" Target="media/d0d8ec74809a41b19540d77e0cca914d2b33dd91.png"/><Relationship Id="rId17" Type="http://schemas.openxmlformats.org/officeDocument/2006/relationships/image" Target="media/7387c1dd24f1da885a0021550a73a7cbdfbb6900.png"/><Relationship Id="rId18" Type="http://schemas.openxmlformats.org/officeDocument/2006/relationships/image" Target="media/0fa9b7297dfb611ca530d38e00e58600a6a73aa4.png"/><Relationship Id="rId19" Type="http://schemas.openxmlformats.org/officeDocument/2006/relationships/image" Target="media/75a0e898f89f43f208e6ff6ac2f6bae0f75e0f13.png"/><Relationship Id="rId20" Type="http://schemas.openxmlformats.org/officeDocument/2006/relationships/image" Target="media/9282e648a0f561cc8709acd317ca11f6865aa206.png"/><Relationship Id="rId21" Type="http://schemas.openxmlformats.org/officeDocument/2006/relationships/image" Target="media/2730defa87c4d60cbfb67b1dfa92a97e948174d5.png"/><Relationship Id="rId22" Type="http://schemas.openxmlformats.org/officeDocument/2006/relationships/image" Target="media/ddc5b0d4851d574af9f017d30584c94774cc845e.png"/><Relationship Id="rId23" Type="http://schemas.openxmlformats.org/officeDocument/2006/relationships/image" Target="media/4aa9fade8daa0e2ef80db320599c0d4f5992d7fa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ToolCheck Inklusion, KEB Rheinland-Pfalz</dc:creator>
  <cp:lastModifiedBy>Un-named</cp:lastModifiedBy>
  <cp:revision>1</cp:revision>
  <dcterms:created xsi:type="dcterms:W3CDTF">2026-10-28T16:00:53.426Z</dcterms:created>
  <dcterms:modified xsi:type="dcterms:W3CDTF">2026-10-28T16:00:53.431Z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