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ZeroThink 1.0: A Reproducible Architecture for Evidence-Gated AI Agent Services</w:t>
      </w:r>
    </w:p>
    <w:p>
      <w:pPr>
        <w:spacing w:after="320"/>
        <w:jc w:val="center"/>
      </w:pPr>
      <w:r>
        <w:rPr>
          <w:rFonts w:ascii="Calibri" w:hAnsi="Calibri"/>
          <w:b w:val="0"/>
          <w:i w:val="0"/>
          <w:color w:val="2E74B5"/>
          <w:sz w:val="28"/>
        </w:rPr>
        <w:t>From sovereign-reasoning notes to a falsifiable deployed-systems specification</w:t>
      </w:r>
    </w:p>
    <w:p>
      <w:pPr>
        <w:spacing w:after="160" w:line="320" w:lineRule="auto"/>
        <w:jc w:val="both"/>
      </w:pPr>
      <w:r>
        <w:rPr>
          <w:rFonts w:ascii="Calibri" w:hAnsi="Calibri"/>
          <w:b/>
          <w:i w:val="0"/>
          <w:sz w:val="22"/>
        </w:rPr>
        <w:t>Shafaet Brady Hussain</w:t>
      </w:r>
      <w:r>
        <w:rPr>
          <w:rFonts w:ascii="Calibri" w:hAnsi="Calibri"/>
          <w:b w:val="0"/>
          <w:i w:val="0"/>
          <w:sz w:val="22"/>
        </w:rPr>
        <w:t xml:space="preserve"> Independent researcher, United Kingdom 18 August 2026</w:t>
      </w:r>
    </w:p>
    <w:p>
      <w:pPr>
        <w:pStyle w:val="Heading2"/>
      </w:pPr>
      <w:r>
        <w:t>Abstract</w:t>
      </w:r>
    </w:p>
    <w:p>
      <w:pPr>
        <w:spacing w:after="160" w:line="320" w:lineRule="auto"/>
        <w:jc w:val="both"/>
      </w:pPr>
      <w:r>
        <w:rPr>
          <w:rFonts w:ascii="Calibri" w:hAnsi="Calibri"/>
          <w:b w:val="0"/>
          <w:i w:val="0"/>
          <w:sz w:val="22"/>
        </w:rPr>
        <w:t>I present ZeroThink as an evidence-gated architecture for deployed AI agent services. Earlier ZeroThink notes used metaphors including sovereign reasoning, Scout/General roles, superposition, and wavefunction collapse. This paper replaces those metaphors with an operational specification: a request enters a policy boundary; evidence-gathering and candidate-generation stages produce typed artifacts; a verifier applies source, security, and output constraints; and an orchestrator either returns a bounded response, requests repair, or abstains. The term quantum-inspired refers only to classical branching and selection. No quantum computation, quantum advantage, consciousness, guaranteed truth, or hallucination elimination is claimed.</w:t>
      </w:r>
    </w:p>
    <w:p>
      <w:pPr>
        <w:spacing w:after="160" w:line="320" w:lineRule="auto"/>
        <w:jc w:val="both"/>
      </w:pPr>
      <w:r>
        <w:rPr>
          <w:rFonts w:ascii="Calibri" w:hAnsi="Calibri"/>
          <w:b w:val="0"/>
          <w:i w:val="0"/>
          <w:sz w:val="22"/>
        </w:rPr>
        <w:t>The architecture is evaluated using two dated releases. A public-surface study executed 23 predefined checks across six routes, six command-line API contracts, four agent API contracts, and seven static integration checks; all 23 passed in the 9 July 2026 snapshot, and a narrow token-pattern scan reported zero hits. A separate authenticated routing experiment used ten exact-answer tasks. Three cloud lanes scored 10/10, one scored 7/10, and two local OpenZero wrapper lanes scored 3/10; one additional local agent lane and one cloud lane were unavailable. These measurements demonstrate routing and expose wrapper/runtime defects; they do not show that ZeroThink improves the intelligence of underlying models. The release supplies the architecture, state machine, evidence model, threat boundaries, source hashes, scored data, and rejection criteria so that later implementations can be tested rather than accepted by description.</w:t>
      </w:r>
    </w:p>
    <w:p>
      <w:pPr>
        <w:spacing w:after="160" w:line="320" w:lineRule="auto"/>
        <w:jc w:val="both"/>
      </w:pPr>
      <w:r>
        <w:rPr>
          <w:rFonts w:ascii="Calibri" w:hAnsi="Calibri"/>
          <w:b/>
          <w:i w:val="0"/>
          <w:sz w:val="22"/>
        </w:rPr>
        <w:t>Keywords:</w:t>
      </w:r>
      <w:r>
        <w:rPr>
          <w:rFonts w:ascii="Calibri" w:hAnsi="Calibri"/>
          <w:b w:val="0"/>
          <w:i w:val="0"/>
          <w:sz w:val="22"/>
        </w:rPr>
        <w:t xml:space="preserve"> AI agents; orchestration; provenance; local-first AI; reproducibility; authentication boundaries; abstention; systems evaluation</w:t>
      </w:r>
    </w:p>
    <w:p>
      <w:pPr>
        <w:pStyle w:val="Heading2"/>
      </w:pPr>
      <w:r>
        <w:t>1. Introduction</w:t>
      </w:r>
    </w:p>
    <w:p>
      <w:pPr>
        <w:spacing w:after="160" w:line="320" w:lineRule="auto"/>
        <w:jc w:val="both"/>
      </w:pPr>
      <w:r>
        <w:rPr>
          <w:rFonts w:ascii="Calibri" w:hAnsi="Calibri"/>
          <w:b w:val="0"/>
          <w:i w:val="0"/>
          <w:sz w:val="22"/>
        </w:rPr>
        <w:t>An AI product is more than a model. Its behaviour depends on authentication, routing, prompts, tool permissions, retrieval, state, provider availability, local runtimes, output validation, and the interface through which results reach an operator. A model benchmark can therefore be accurate while the deployed service fails, and a healthy web service can route to a weak or misconfigured model. ZeroThink was created to study and implement this systems layer.</w:t>
      </w:r>
    </w:p>
    <w:p>
      <w:pPr>
        <w:spacing w:after="160" w:line="320" w:lineRule="auto"/>
        <w:jc w:val="both"/>
      </w:pPr>
      <w:r>
        <w:rPr>
          <w:rFonts w:ascii="Calibri" w:hAnsi="Calibri"/>
          <w:b w:val="0"/>
          <w:i w:val="0"/>
          <w:sz w:val="22"/>
        </w:rPr>
        <w:t>My earlier notes described a Scout that gathers information, a General that decides, five candidate perspectives, a sovereign answer, and simulated quantum logic. Those terms expressed design intent but were too easy to read as stronger scientific claims. In this specification:</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Scout</w:t>
      </w:r>
      <w:r>
        <w:rPr>
          <w:rFonts w:ascii="Calibri" w:hAnsi="Calibri"/>
          <w:b w:val="0"/>
          <w:i w:val="0"/>
          <w:sz w:val="22"/>
        </w:rPr>
        <w:t xml:space="preserve"> is an evidence-acquisition stage with no authority to approve an answer;</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candidate lane</w:t>
      </w:r>
      <w:r>
        <w:rPr>
          <w:rFonts w:ascii="Calibri" w:hAnsi="Calibri"/>
          <w:b w:val="0"/>
          <w:i w:val="0"/>
          <w:sz w:val="22"/>
        </w:rPr>
        <w:t xml:space="preserve"> is an ordinary classical model or deterministic procedure;</w:t>
      </w:r>
    </w:p>
    <w:p>
      <w:pPr>
        <w:pStyle w:val="ListBullet"/>
        <w:spacing w:after="80" w:line="290" w:lineRule="auto"/>
        <w:ind w:left="540" w:hanging="279"/>
      </w:pPr>
      <w:r>
        <w:rPr>
          <w:rFonts w:ascii="Calibri" w:hAnsi="Calibri"/>
          <w:b w:val="0"/>
          <w:i w:val="0"/>
          <w:sz w:val="22"/>
        </w:rPr>
        <w:t xml:space="preserve">a </w:t>
      </w:r>
      <w:r>
        <w:rPr>
          <w:rFonts w:ascii="Calibri" w:hAnsi="Calibri"/>
          <w:b/>
          <w:i w:val="0"/>
          <w:sz w:val="22"/>
        </w:rPr>
        <w:t>General</w:t>
      </w:r>
      <w:r>
        <w:rPr>
          <w:rFonts w:ascii="Calibri" w:hAnsi="Calibri"/>
          <w:b w:val="0"/>
          <w:i w:val="0"/>
          <w:sz w:val="22"/>
        </w:rPr>
        <w:t xml:space="preserve"> is a policy-constrained orchestrator, not an infallible decision maker;</w:t>
      </w:r>
    </w:p>
    <w:p>
      <w:pPr>
        <w:pStyle w:val="ListBullet"/>
        <w:spacing w:after="80" w:line="290" w:lineRule="auto"/>
        <w:ind w:left="540" w:hanging="279"/>
      </w:pPr>
      <w:r>
        <w:rPr>
          <w:rFonts w:ascii="Calibri" w:hAnsi="Calibri"/>
          <w:b/>
          <w:i w:val="0"/>
          <w:sz w:val="22"/>
        </w:rPr>
        <w:t>collapse</w:t>
      </w:r>
      <w:r>
        <w:rPr>
          <w:rFonts w:ascii="Calibri" w:hAnsi="Calibri"/>
          <w:b w:val="0"/>
          <w:i w:val="0"/>
          <w:sz w:val="22"/>
        </w:rPr>
        <w:t xml:space="preserve"> means ranking, rejecting, or selecting classical candidate outputs;</w:t>
      </w:r>
    </w:p>
    <w:p>
      <w:pPr>
        <w:pStyle w:val="ListBullet"/>
        <w:spacing w:after="80" w:line="290" w:lineRule="auto"/>
        <w:ind w:left="540" w:hanging="279"/>
      </w:pPr>
      <w:r>
        <w:rPr>
          <w:rFonts w:ascii="Calibri" w:hAnsi="Calibri"/>
          <w:b/>
          <w:i w:val="0"/>
          <w:sz w:val="22"/>
        </w:rPr>
        <w:t>sovereignty</w:t>
      </w:r>
      <w:r>
        <w:rPr>
          <w:rFonts w:ascii="Calibri" w:hAnsi="Calibri"/>
          <w:b w:val="0"/>
          <w:i w:val="0"/>
          <w:sz w:val="22"/>
        </w:rPr>
        <w:t xml:space="preserve"> means explicit operator control, inspectable boundaries, and replaceable providers;</w:t>
      </w:r>
    </w:p>
    <w:p>
      <w:pPr>
        <w:pStyle w:val="ListBullet"/>
        <w:spacing w:after="80" w:line="290" w:lineRule="auto"/>
        <w:ind w:left="540" w:hanging="279"/>
      </w:pPr>
      <w:r>
        <w:rPr>
          <w:rFonts w:ascii="Calibri" w:hAnsi="Calibri"/>
          <w:b/>
          <w:i w:val="0"/>
          <w:sz w:val="22"/>
        </w:rPr>
        <w:t>truth</w:t>
      </w:r>
      <w:r>
        <w:rPr>
          <w:rFonts w:ascii="Calibri" w:hAnsi="Calibri"/>
          <w:b w:val="0"/>
          <w:i w:val="0"/>
          <w:sz w:val="22"/>
        </w:rPr>
        <w:t xml:space="preserve"> is not an output type; the system can return only claims with evidence status and limitations.</w:t>
      </w:r>
    </w:p>
    <w:p>
      <w:pPr>
        <w:spacing w:after="160" w:line="320" w:lineRule="auto"/>
        <w:jc w:val="both"/>
      </w:pPr>
      <w:r>
        <w:rPr>
          <w:rFonts w:ascii="Calibri" w:hAnsi="Calibri"/>
          <w:b w:val="0"/>
          <w:i w:val="0"/>
          <w:sz w:val="22"/>
        </w:rPr>
        <w:t>The contribution is not a new foundation model. It is a testable service architecture that separates evidence acquisition, candidate generation, verification, routing, and release decisions. The paper consolidates two unpublished overlapping Zenodo drafts and supersedes their unqualified claims. The January 2026 ZeroThink Architecture technical note remains a historical record rather than evidence of current validity.</w:t>
      </w:r>
    </w:p>
    <w:p>
      <w:pPr>
        <w:pStyle w:val="Heading2"/>
      </w:pPr>
      <w:r>
        <w:t>2. Research questions</w:t>
      </w:r>
    </w:p>
    <w:p>
      <w:pPr>
        <w:spacing w:after="160" w:line="320" w:lineRule="auto"/>
        <w:jc w:val="both"/>
      </w:pPr>
      <w:r>
        <w:rPr>
          <w:rFonts w:ascii="Calibri" w:hAnsi="Calibri"/>
          <w:b w:val="0"/>
          <w:i w:val="0"/>
          <w:sz w:val="22"/>
        </w:rPr>
        <w:t>This paper asks four bounded questions:</w:t>
      </w:r>
    </w:p>
    <w:p>
      <w:pPr>
        <w:pStyle w:val="ListNumber"/>
        <w:spacing w:after="80" w:line="290" w:lineRule="auto"/>
        <w:ind w:left="540" w:hanging="279"/>
      </w:pPr>
      <w:r>
        <w:rPr>
          <w:rFonts w:ascii="Calibri" w:hAnsi="Calibri"/>
          <w:b w:val="0"/>
          <w:i w:val="0"/>
          <w:sz w:val="22"/>
        </w:rPr>
        <w:t>Can the ZeroThink design vocabulary be expressed as typed components and state transitions rather than metaphors?</w:t>
      </w:r>
    </w:p>
    <w:p>
      <w:pPr>
        <w:pStyle w:val="ListNumber"/>
        <w:spacing w:after="80" w:line="290" w:lineRule="auto"/>
        <w:ind w:left="540" w:hanging="279"/>
      </w:pPr>
      <w:r>
        <w:rPr>
          <w:rFonts w:ascii="Calibri" w:hAnsi="Calibri"/>
          <w:b w:val="0"/>
          <w:i w:val="0"/>
          <w:sz w:val="22"/>
        </w:rPr>
        <w:t>Can a deployed implementation be evaluated separately at public-boundary, routing, and model-quality layers?</w:t>
      </w:r>
    </w:p>
    <w:p>
      <w:pPr>
        <w:pStyle w:val="ListNumber"/>
        <w:spacing w:after="80" w:line="290" w:lineRule="auto"/>
        <w:ind w:left="540" w:hanging="279"/>
      </w:pPr>
      <w:r>
        <w:rPr>
          <w:rFonts w:ascii="Calibri" w:hAnsi="Calibri"/>
          <w:b w:val="0"/>
          <w:i w:val="0"/>
          <w:sz w:val="22"/>
        </w:rPr>
        <w:t>Do the released measurements support claims about boundary behaviour and routing without implying model superiority?</w:t>
      </w:r>
    </w:p>
    <w:p>
      <w:pPr>
        <w:pStyle w:val="ListNumber"/>
        <w:spacing w:after="80" w:line="290" w:lineRule="auto"/>
        <w:ind w:left="540" w:hanging="279"/>
      </w:pPr>
      <w:r>
        <w:rPr>
          <w:rFonts w:ascii="Calibri" w:hAnsi="Calibri"/>
          <w:b w:val="0"/>
          <w:i w:val="0"/>
          <w:sz w:val="22"/>
        </w:rPr>
        <w:t>Which claims must be rejected until broader or independent evidence exists?</w:t>
      </w:r>
    </w:p>
    <w:p>
      <w:pPr>
        <w:pStyle w:val="Heading2"/>
      </w:pPr>
      <w:r>
        <w:t>3. Architecture</w:t>
      </w:r>
    </w:p>
    <w:p>
      <w:pPr>
        <w:pStyle w:val="Heading3"/>
      </w:pPr>
      <w:r>
        <w:t>3.1 Components</w:t>
      </w:r>
    </w:p>
    <w:p>
      <w:pPr>
        <w:spacing w:after="160" w:line="320" w:lineRule="auto"/>
        <w:jc w:val="both"/>
      </w:pPr>
      <w:r>
        <w:rPr>
          <w:rFonts w:ascii="Calibri" w:hAnsi="Calibri"/>
          <w:b w:val="0"/>
          <w:i w:val="0"/>
          <w:sz w:val="22"/>
        </w:rPr>
        <w:t>Let a ZeroThink deployment be the tuple</w:t>
      </w:r>
    </w:p>
    <w:p>
      <w:pPr>
        <w:spacing w:after="160" w:line="320" w:lineRule="auto"/>
        <w:jc w:val="both"/>
      </w:pPr>
      <w:r>
        <w:rPr>
          <w:rFonts w:ascii="Consolas" w:hAnsi="Consolas"/>
          <w:b w:val="0"/>
          <w:i w:val="0"/>
          <w:sz w:val="21"/>
        </w:rPr>
        <w:t>ZT = (I, P, E, C, V, O, R, L)</w:t>
      </w:r>
    </w:p>
    <w:p>
      <w:pPr>
        <w:spacing w:after="160" w:line="320" w:lineRule="auto"/>
        <w:jc w:val="both"/>
      </w:pPr>
      <w:r>
        <w:rPr>
          <w:rFonts w:ascii="Calibri" w:hAnsi="Calibri"/>
          <w:b w:val="0"/>
          <w:i w:val="0"/>
          <w:sz w:val="22"/>
        </w:rPr>
        <w:t xml:space="preserve">where </w:t>
      </w:r>
      <w:r>
        <w:rPr>
          <w:rFonts w:ascii="Consolas" w:hAnsi="Consolas"/>
          <w:b w:val="0"/>
          <w:i w:val="0"/>
          <w:sz w:val="21"/>
        </w:rPr>
        <w:t>I</w:t>
      </w:r>
      <w:r>
        <w:rPr>
          <w:rFonts w:ascii="Calibri" w:hAnsi="Calibri"/>
          <w:b w:val="0"/>
          <w:i w:val="0"/>
          <w:sz w:val="22"/>
        </w:rPr>
        <w:t xml:space="preserve"> is request intake, </w:t>
      </w:r>
      <w:r>
        <w:rPr>
          <w:rFonts w:ascii="Consolas" w:hAnsi="Consolas"/>
          <w:b w:val="0"/>
          <w:i w:val="0"/>
          <w:sz w:val="21"/>
        </w:rPr>
        <w:t>P</w:t>
      </w:r>
      <w:r>
        <w:rPr>
          <w:rFonts w:ascii="Calibri" w:hAnsi="Calibri"/>
          <w:b w:val="0"/>
          <w:i w:val="0"/>
          <w:sz w:val="22"/>
        </w:rPr>
        <w:t xml:space="preserve"> is policy and identity context, </w:t>
      </w:r>
      <w:r>
        <w:rPr>
          <w:rFonts w:ascii="Consolas" w:hAnsi="Consolas"/>
          <w:b w:val="0"/>
          <w:i w:val="0"/>
          <w:sz w:val="21"/>
        </w:rPr>
        <w:t>E</w:t>
      </w:r>
      <w:r>
        <w:rPr>
          <w:rFonts w:ascii="Calibri" w:hAnsi="Calibri"/>
          <w:b w:val="0"/>
          <w:i w:val="0"/>
          <w:sz w:val="22"/>
        </w:rPr>
        <w:t xml:space="preserve"> is evidence acquisition, </w:t>
      </w:r>
      <w:r>
        <w:rPr>
          <w:rFonts w:ascii="Consolas" w:hAnsi="Consolas"/>
          <w:b w:val="0"/>
          <w:i w:val="0"/>
          <w:sz w:val="21"/>
        </w:rPr>
        <w:t>C</w:t>
      </w:r>
      <w:r>
        <w:rPr>
          <w:rFonts w:ascii="Calibri" w:hAnsi="Calibri"/>
          <w:b w:val="0"/>
          <w:i w:val="0"/>
          <w:sz w:val="22"/>
        </w:rPr>
        <w:t xml:space="preserve"> is candidate generation, </w:t>
      </w:r>
      <w:r>
        <w:rPr>
          <w:rFonts w:ascii="Consolas" w:hAnsi="Consolas"/>
          <w:b w:val="0"/>
          <w:i w:val="0"/>
          <w:sz w:val="21"/>
        </w:rPr>
        <w:t>V</w:t>
      </w:r>
      <w:r>
        <w:rPr>
          <w:rFonts w:ascii="Calibri" w:hAnsi="Calibri"/>
          <w:b w:val="0"/>
          <w:i w:val="0"/>
          <w:sz w:val="22"/>
        </w:rPr>
        <w:t xml:space="preserve"> is verification, </w:t>
      </w:r>
      <w:r>
        <w:rPr>
          <w:rFonts w:ascii="Consolas" w:hAnsi="Consolas"/>
          <w:b w:val="0"/>
          <w:i w:val="0"/>
          <w:sz w:val="21"/>
        </w:rPr>
        <w:t>O</w:t>
      </w:r>
      <w:r>
        <w:rPr>
          <w:rFonts w:ascii="Calibri" w:hAnsi="Calibri"/>
          <w:b w:val="0"/>
          <w:i w:val="0"/>
          <w:sz w:val="22"/>
        </w:rPr>
        <w:t xml:space="preserve"> is orchestration, </w:t>
      </w:r>
      <w:r>
        <w:rPr>
          <w:rFonts w:ascii="Consolas" w:hAnsi="Consolas"/>
          <w:b w:val="0"/>
          <w:i w:val="0"/>
          <w:sz w:val="21"/>
        </w:rPr>
        <w:t>R</w:t>
      </w:r>
      <w:r>
        <w:rPr>
          <w:rFonts w:ascii="Calibri" w:hAnsi="Calibri"/>
          <w:b w:val="0"/>
          <w:i w:val="0"/>
          <w:sz w:val="22"/>
        </w:rPr>
        <w:t xml:space="preserve"> is response release, and </w:t>
      </w:r>
      <w:r>
        <w:rPr>
          <w:rFonts w:ascii="Consolas" w:hAnsi="Consolas"/>
          <w:b w:val="0"/>
          <w:i w:val="0"/>
          <w:sz w:val="21"/>
        </w:rPr>
        <w:t>L</w:t>
      </w:r>
      <w:r>
        <w:rPr>
          <w:rFonts w:ascii="Calibri" w:hAnsi="Calibri"/>
          <w:b w:val="0"/>
          <w:i w:val="0"/>
          <w:sz w:val="22"/>
        </w:rPr>
        <w:t xml:space="preserve"> is an append-only event/evidence log. Implementations may omit optional candidate or retrieval lanes, but they must not merge authority in a way that lets untrusted evidence approve itself.</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Component</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Input</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Output</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Authority boundary</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Intake </w:t>
            </w:r>
            <w:r>
              <w:rPr>
                <w:rFonts w:ascii="Consolas" w:hAnsi="Consolas"/>
                <w:b w:val="0"/>
                <w:i w:val="0"/>
                <w:sz w:val="17"/>
              </w:rPr>
              <w:t>I</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request, declared mode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normalized request</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cannot call providers before policy preflight</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Policy </w:t>
            </w:r>
            <w:r>
              <w:rPr>
                <w:rFonts w:ascii="Consolas" w:hAnsi="Consolas"/>
                <w:b w:val="0"/>
                <w:i w:val="0"/>
                <w:sz w:val="17"/>
              </w:rPr>
              <w:t>P</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identity, permissions, mode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permitted route set</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denies unsupported or unauthenticated protected actions</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Evidence </w:t>
            </w:r>
            <w:r>
              <w:rPr>
                <w:rFonts w:ascii="Consolas" w:hAnsi="Consolas"/>
                <w:b w:val="0"/>
                <w:i w:val="0"/>
                <w:sz w:val="17"/>
              </w:rPr>
              <w:t>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query plan, permitted sources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evidence records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supplies material; cannot approve a final answer</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Candidates </w:t>
            </w:r>
            <w:r>
              <w:rPr>
                <w:rFonts w:ascii="Consolas" w:hAnsi="Consolas"/>
                <w:b w:val="0"/>
                <w:i w:val="0"/>
                <w:sz w:val="17"/>
              </w:rPr>
              <w:t>C</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request, bounded context</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candidate records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may be deterministic, local-model, or provider-model lanes</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Verifier </w:t>
            </w:r>
            <w:r>
              <w:rPr>
                <w:rFonts w:ascii="Consolas" w:hAnsi="Consolas"/>
                <w:b w:val="0"/>
                <w:i w:val="0"/>
                <w:sz w:val="17"/>
              </w:rPr>
              <w:t>V</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candidates, evidence, schema</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findings and scores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can reject, require repair, or require abstention</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Orchestrator </w:t>
            </w:r>
            <w:r>
              <w:rPr>
                <w:rFonts w:ascii="Consolas" w:hAnsi="Consolas"/>
                <w:b w:val="0"/>
                <w:i w:val="0"/>
                <w:sz w:val="17"/>
              </w:rPr>
              <w:t>O</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policy, findings, candidates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release decision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cannot override hard policy or missing-evidence gates</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Release </w:t>
            </w:r>
            <w:r>
              <w:rPr>
                <w:rFonts w:ascii="Consolas" w:hAnsi="Consolas"/>
                <w:b w:val="0"/>
                <w:i w:val="0"/>
                <w:sz w:val="17"/>
              </w:rPr>
              <w:t>R</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approved response record</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response or abstention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emits declared provider/model and limitations when available</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 xml:space="preserve">Log </w:t>
            </w:r>
            <w:r>
              <w:rPr>
                <w:rFonts w:ascii="Consolas" w:hAnsi="Consolas"/>
                <w:b w:val="0"/>
                <w:i w:val="0"/>
                <w:sz w:val="17"/>
              </w:rPr>
              <w:t>L</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typed events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trace commitments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records state without storing secrets in public artifacts</w:t>
            </w:r>
          </w:p>
        </w:tc>
      </w:tr>
    </w:tbl>
    <w:p>
      <w:pPr>
        <w:spacing w:after="40"/>
      </w:pPr>
    </w:p>
    <w:p>
      <w:pPr>
        <w:pStyle w:val="Heading3"/>
      </w:pPr>
      <w:r>
        <w:t>3.2 Typed records</w:t>
      </w:r>
    </w:p>
    <w:p>
      <w:pPr>
        <w:spacing w:after="160" w:line="320" w:lineRule="auto"/>
        <w:jc w:val="both"/>
      </w:pPr>
      <w:r>
        <w:rPr>
          <w:rFonts w:ascii="Calibri" w:hAnsi="Calibri"/>
          <w:b w:val="0"/>
          <w:i w:val="0"/>
          <w:sz w:val="22"/>
        </w:rPr>
        <w:t xml:space="preserve">Every candidate record should contain at least </w:t>
      </w:r>
      <w:r>
        <w:rPr>
          <w:rFonts w:ascii="Consolas" w:hAnsi="Consolas"/>
          <w:b w:val="0"/>
          <w:i w:val="0"/>
          <w:sz w:val="21"/>
        </w:rPr>
        <w:t>candidate_id</w:t>
      </w:r>
      <w:r>
        <w:rPr>
          <w:rFonts w:ascii="Calibri" w:hAnsi="Calibri"/>
          <w:b w:val="0"/>
          <w:i w:val="0"/>
          <w:sz w:val="22"/>
        </w:rPr>
        <w:t xml:space="preserve">, </w:t>
      </w:r>
      <w:r>
        <w:rPr>
          <w:rFonts w:ascii="Consolas" w:hAnsi="Consolas"/>
          <w:b w:val="0"/>
          <w:i w:val="0"/>
          <w:sz w:val="21"/>
        </w:rPr>
        <w:t>lane</w:t>
      </w:r>
      <w:r>
        <w:rPr>
          <w:rFonts w:ascii="Calibri" w:hAnsi="Calibri"/>
          <w:b w:val="0"/>
          <w:i w:val="0"/>
          <w:sz w:val="22"/>
        </w:rPr>
        <w:t xml:space="preserve">, </w:t>
      </w:r>
      <w:r>
        <w:rPr>
          <w:rFonts w:ascii="Consolas" w:hAnsi="Consolas"/>
          <w:b w:val="0"/>
          <w:i w:val="0"/>
          <w:sz w:val="21"/>
        </w:rPr>
        <w:t>model_or_rule</w:t>
      </w:r>
      <w:r>
        <w:rPr>
          <w:rFonts w:ascii="Calibri" w:hAnsi="Calibri"/>
          <w:b w:val="0"/>
          <w:i w:val="0"/>
          <w:sz w:val="22"/>
        </w:rPr>
        <w:t xml:space="preserve">, </w:t>
      </w:r>
      <w:r>
        <w:rPr>
          <w:rFonts w:ascii="Consolas" w:hAnsi="Consolas"/>
          <w:b w:val="0"/>
          <w:i w:val="0"/>
          <w:sz w:val="21"/>
        </w:rPr>
        <w:t>prompt_profile</w:t>
      </w:r>
      <w:r>
        <w:rPr>
          <w:rFonts w:ascii="Calibri" w:hAnsi="Calibri"/>
          <w:b w:val="0"/>
          <w:i w:val="0"/>
          <w:sz w:val="22"/>
        </w:rPr>
        <w:t xml:space="preserve">, </w:t>
      </w:r>
      <w:r>
        <w:rPr>
          <w:rFonts w:ascii="Consolas" w:hAnsi="Consolas"/>
          <w:b w:val="0"/>
          <w:i w:val="0"/>
          <w:sz w:val="21"/>
        </w:rPr>
        <w:t>created_at</w:t>
      </w:r>
      <w:r>
        <w:rPr>
          <w:rFonts w:ascii="Calibri" w:hAnsi="Calibri"/>
          <w:b w:val="0"/>
          <w:i w:val="0"/>
          <w:sz w:val="22"/>
        </w:rPr>
        <w:t xml:space="preserve">, </w:t>
      </w:r>
      <w:r>
        <w:rPr>
          <w:rFonts w:ascii="Consolas" w:hAnsi="Consolas"/>
          <w:b w:val="0"/>
          <w:i w:val="0"/>
          <w:sz w:val="21"/>
        </w:rPr>
        <w:t>content</w:t>
      </w:r>
      <w:r>
        <w:rPr>
          <w:rFonts w:ascii="Calibri" w:hAnsi="Calibri"/>
          <w:b w:val="0"/>
          <w:i w:val="0"/>
          <w:sz w:val="22"/>
        </w:rPr>
        <w:t xml:space="preserve">, and </w:t>
      </w:r>
      <w:r>
        <w:rPr>
          <w:rFonts w:ascii="Consolas" w:hAnsi="Consolas"/>
          <w:b w:val="0"/>
          <w:i w:val="0"/>
          <w:sz w:val="21"/>
        </w:rPr>
        <w:t>content_hash</w:t>
      </w:r>
      <w:r>
        <w:rPr>
          <w:rFonts w:ascii="Calibri" w:hAnsi="Calibri"/>
          <w:b w:val="0"/>
          <w:i w:val="0"/>
          <w:sz w:val="22"/>
        </w:rPr>
        <w:t xml:space="preserve">. Evidence records should contain </w:t>
      </w:r>
      <w:r>
        <w:rPr>
          <w:rFonts w:ascii="Consolas" w:hAnsi="Consolas"/>
          <w:b w:val="0"/>
          <w:i w:val="0"/>
          <w:sz w:val="21"/>
        </w:rPr>
        <w:t>source_id</w:t>
      </w:r>
      <w:r>
        <w:rPr>
          <w:rFonts w:ascii="Calibri" w:hAnsi="Calibri"/>
          <w:b w:val="0"/>
          <w:i w:val="0"/>
          <w:sz w:val="22"/>
        </w:rPr>
        <w:t xml:space="preserve">, </w:t>
      </w:r>
      <w:r>
        <w:rPr>
          <w:rFonts w:ascii="Consolas" w:hAnsi="Consolas"/>
          <w:b w:val="0"/>
          <w:i w:val="0"/>
          <w:sz w:val="21"/>
        </w:rPr>
        <w:t>source_type</w:t>
      </w:r>
      <w:r>
        <w:rPr>
          <w:rFonts w:ascii="Calibri" w:hAnsi="Calibri"/>
          <w:b w:val="0"/>
          <w:i w:val="0"/>
          <w:sz w:val="22"/>
        </w:rPr>
        <w:t xml:space="preserve">, </w:t>
      </w:r>
      <w:r>
        <w:rPr>
          <w:rFonts w:ascii="Consolas" w:hAnsi="Consolas"/>
          <w:b w:val="0"/>
          <w:i w:val="0"/>
          <w:sz w:val="21"/>
        </w:rPr>
        <w:t>retrieved_at</w:t>
      </w:r>
      <w:r>
        <w:rPr>
          <w:rFonts w:ascii="Calibri" w:hAnsi="Calibri"/>
          <w:b w:val="0"/>
          <w:i w:val="0"/>
          <w:sz w:val="22"/>
        </w:rPr>
        <w:t xml:space="preserve">, </w:t>
      </w:r>
      <w:r>
        <w:rPr>
          <w:rFonts w:ascii="Consolas" w:hAnsi="Consolas"/>
          <w:b w:val="0"/>
          <w:i w:val="0"/>
          <w:sz w:val="21"/>
        </w:rPr>
        <w:t>locator</w:t>
      </w:r>
      <w:r>
        <w:rPr>
          <w:rFonts w:ascii="Calibri" w:hAnsi="Calibri"/>
          <w:b w:val="0"/>
          <w:i w:val="0"/>
          <w:sz w:val="22"/>
        </w:rPr>
        <w:t xml:space="preserve">, </w:t>
      </w:r>
      <w:r>
        <w:rPr>
          <w:rFonts w:ascii="Consolas" w:hAnsi="Consolas"/>
          <w:b w:val="0"/>
          <w:i w:val="0"/>
          <w:sz w:val="21"/>
        </w:rPr>
        <w:t>excerpt_hash</w:t>
      </w:r>
      <w:r>
        <w:rPr>
          <w:rFonts w:ascii="Calibri" w:hAnsi="Calibri"/>
          <w:b w:val="0"/>
          <w:i w:val="0"/>
          <w:sz w:val="22"/>
        </w:rPr>
        <w:t xml:space="preserve">, </w:t>
      </w:r>
      <w:r>
        <w:rPr>
          <w:rFonts w:ascii="Consolas" w:hAnsi="Consolas"/>
          <w:b w:val="0"/>
          <w:i w:val="0"/>
          <w:sz w:val="21"/>
        </w:rPr>
        <w:t>licence_or_access_status</w:t>
      </w:r>
      <w:r>
        <w:rPr>
          <w:rFonts w:ascii="Calibri" w:hAnsi="Calibri"/>
          <w:b w:val="0"/>
          <w:i w:val="0"/>
          <w:sz w:val="22"/>
        </w:rPr>
        <w:t xml:space="preserve">, and </w:t>
      </w:r>
      <w:r>
        <w:rPr>
          <w:rFonts w:ascii="Consolas" w:hAnsi="Consolas"/>
          <w:b w:val="0"/>
          <w:i w:val="0"/>
          <w:sz w:val="21"/>
        </w:rPr>
        <w:t>claim_links</w:t>
      </w:r>
      <w:r>
        <w:rPr>
          <w:rFonts w:ascii="Calibri" w:hAnsi="Calibri"/>
          <w:b w:val="0"/>
          <w:i w:val="0"/>
          <w:sz w:val="22"/>
        </w:rPr>
        <w:t xml:space="preserve">. Verification findings should contain </w:t>
      </w:r>
      <w:r>
        <w:rPr>
          <w:rFonts w:ascii="Consolas" w:hAnsi="Consolas"/>
          <w:b w:val="0"/>
          <w:i w:val="0"/>
          <w:sz w:val="21"/>
        </w:rPr>
        <w:t>check_id</w:t>
      </w:r>
      <w:r>
        <w:rPr>
          <w:rFonts w:ascii="Calibri" w:hAnsi="Calibri"/>
          <w:b w:val="0"/>
          <w:i w:val="0"/>
          <w:sz w:val="22"/>
        </w:rPr>
        <w:t xml:space="preserve">, </w:t>
      </w:r>
      <w:r>
        <w:rPr>
          <w:rFonts w:ascii="Consolas" w:hAnsi="Consolas"/>
          <w:b w:val="0"/>
          <w:i w:val="0"/>
          <w:sz w:val="21"/>
        </w:rPr>
        <w:t>severity</w:t>
      </w:r>
      <w:r>
        <w:rPr>
          <w:rFonts w:ascii="Calibri" w:hAnsi="Calibri"/>
          <w:b w:val="0"/>
          <w:i w:val="0"/>
          <w:sz w:val="22"/>
        </w:rPr>
        <w:t xml:space="preserve">, </w:t>
      </w:r>
      <w:r>
        <w:rPr>
          <w:rFonts w:ascii="Consolas" w:hAnsi="Consolas"/>
          <w:b w:val="0"/>
          <w:i w:val="0"/>
          <w:sz w:val="21"/>
        </w:rPr>
        <w:t>result</w:t>
      </w:r>
      <w:r>
        <w:rPr>
          <w:rFonts w:ascii="Calibri" w:hAnsi="Calibri"/>
          <w:b w:val="0"/>
          <w:i w:val="0"/>
          <w:sz w:val="22"/>
        </w:rPr>
        <w:t xml:space="preserve">, </w:t>
      </w:r>
      <w:r>
        <w:rPr>
          <w:rFonts w:ascii="Consolas" w:hAnsi="Consolas"/>
          <w:b w:val="0"/>
          <w:i w:val="0"/>
          <w:sz w:val="21"/>
        </w:rPr>
        <w:t>evidence_refs</w:t>
      </w:r>
      <w:r>
        <w:rPr>
          <w:rFonts w:ascii="Calibri" w:hAnsi="Calibri"/>
          <w:b w:val="0"/>
          <w:i w:val="0"/>
          <w:sz w:val="22"/>
        </w:rPr>
        <w:t xml:space="preserve">, and </w:t>
      </w:r>
      <w:r>
        <w:rPr>
          <w:rFonts w:ascii="Consolas" w:hAnsi="Consolas"/>
          <w:b w:val="0"/>
          <w:i w:val="0"/>
          <w:sz w:val="21"/>
        </w:rPr>
        <w:t>repairability</w:t>
      </w:r>
      <w:r>
        <w:rPr>
          <w:rFonts w:ascii="Calibri" w:hAnsi="Calibri"/>
          <w:b w:val="0"/>
          <w:i w:val="0"/>
          <w:sz w:val="22"/>
        </w:rPr>
        <w:t>.</w:t>
      </w:r>
    </w:p>
    <w:p>
      <w:pPr>
        <w:spacing w:after="160" w:line="320" w:lineRule="auto"/>
        <w:jc w:val="both"/>
      </w:pPr>
      <w:r>
        <w:rPr>
          <w:rFonts w:ascii="Calibri" w:hAnsi="Calibri"/>
          <w:b w:val="0"/>
          <w:i w:val="0"/>
          <w:sz w:val="22"/>
        </w:rPr>
        <w:t>The public trace may contain hashes and redacted metadata. Provider keys, bearer tokens, private prompts, customer data, and raw private retrieval content are outside the public record.</w:t>
      </w:r>
    </w:p>
    <w:p>
      <w:pPr>
        <w:pStyle w:val="Heading3"/>
      </w:pPr>
      <w:r>
        <w:t>3.3 State machine</w:t>
      </w:r>
    </w:p>
    <w:p>
      <w:pPr>
        <w:spacing w:after="160" w:line="320" w:lineRule="auto"/>
        <w:jc w:val="both"/>
      </w:pPr>
      <w:r>
        <w:rPr>
          <w:rFonts w:ascii="Calibri" w:hAnsi="Calibri"/>
          <w:b w:val="0"/>
          <w:i w:val="0"/>
          <w:sz w:val="22"/>
        </w:rPr>
        <w:t>The minimum lifecycle is:</w:t>
      </w:r>
    </w:p>
    <w:p>
      <w:pPr>
        <w:spacing w:after="160" w:line="320" w:lineRule="auto"/>
        <w:jc w:val="both"/>
      </w:pPr>
      <w:r>
        <w:rPr>
          <w:rFonts w:ascii="Consolas" w:hAnsi="Consolas"/>
          <w:b w:val="0"/>
          <w:i w:val="0"/>
          <w:sz w:val="21"/>
        </w:rPr>
        <w:t>RECEIVED -&gt; PREFLIGHTED -&gt; EVIDENCE_READY -&gt; CANDIDATES_READY -&gt; VERIFIED -&gt; RELEASED</w:t>
      </w:r>
    </w:p>
    <w:p>
      <w:pPr>
        <w:spacing w:after="160" w:line="320" w:lineRule="auto"/>
        <w:jc w:val="both"/>
      </w:pPr>
      <w:r>
        <w:rPr>
          <w:rFonts w:ascii="Calibri" w:hAnsi="Calibri"/>
          <w:b w:val="0"/>
          <w:i w:val="0"/>
          <w:sz w:val="22"/>
        </w:rPr>
        <w:t>with alternative terminal or repair transitions:</w:t>
      </w:r>
    </w:p>
    <w:p>
      <w:pPr>
        <w:spacing w:after="160" w:line="320" w:lineRule="auto"/>
        <w:jc w:val="both"/>
      </w:pPr>
      <w:r>
        <w:rPr>
          <w:rFonts w:ascii="Consolas" w:hAnsi="Consolas"/>
          <w:b w:val="0"/>
          <w:i w:val="0"/>
          <w:sz w:val="21"/>
        </w:rPr>
        <w:t>PREFLIGHTED -&gt; DENIED</w:t>
      </w:r>
      <w:r>
        <w:rPr>
          <w:rFonts w:ascii="Calibri" w:hAnsi="Calibri"/>
          <w:b w:val="0"/>
          <w:i w:val="0"/>
          <w:sz w:val="22"/>
        </w:rPr>
        <w:t xml:space="preserve"> </w:t>
      </w:r>
      <w:r>
        <w:rPr>
          <w:rFonts w:ascii="Consolas" w:hAnsi="Consolas"/>
          <w:b w:val="0"/>
          <w:i w:val="0"/>
          <w:sz w:val="21"/>
        </w:rPr>
        <w:t>EVIDENCE_READY -&gt; ABSTAINED</w:t>
      </w:r>
      <w:r>
        <w:rPr>
          <w:rFonts w:ascii="Calibri" w:hAnsi="Calibri"/>
          <w:b w:val="0"/>
          <w:i w:val="0"/>
          <w:sz w:val="22"/>
        </w:rPr>
        <w:t xml:space="preserve"> </w:t>
      </w:r>
      <w:r>
        <w:rPr>
          <w:rFonts w:ascii="Consolas" w:hAnsi="Consolas"/>
          <w:b w:val="0"/>
          <w:i w:val="0"/>
          <w:sz w:val="21"/>
        </w:rPr>
        <w:t>CANDIDATES_READY -&gt; REPAIR -&gt; VERIFIED</w:t>
      </w:r>
      <w:r>
        <w:rPr>
          <w:rFonts w:ascii="Calibri" w:hAnsi="Calibri"/>
          <w:b w:val="0"/>
          <w:i w:val="0"/>
          <w:sz w:val="22"/>
        </w:rPr>
        <w:t xml:space="preserve"> </w:t>
      </w:r>
      <w:r>
        <w:rPr>
          <w:rFonts w:ascii="Consolas" w:hAnsi="Consolas"/>
          <w:b w:val="0"/>
          <w:i w:val="0"/>
          <w:sz w:val="21"/>
        </w:rPr>
        <w:t>VERIFIED -&gt; ABSTAINED</w:t>
      </w:r>
      <w:r>
        <w:rPr>
          <w:rFonts w:ascii="Calibri" w:hAnsi="Calibri"/>
          <w:b w:val="0"/>
          <w:i w:val="0"/>
          <w:sz w:val="22"/>
        </w:rPr>
        <w:t xml:space="preserve"> </w:t>
      </w:r>
      <w:r>
        <w:rPr>
          <w:rFonts w:ascii="Consolas" w:hAnsi="Consolas"/>
          <w:b w:val="0"/>
          <w:i w:val="0"/>
          <w:sz w:val="21"/>
        </w:rPr>
        <w:t>ANY_NONTERMINAL -&gt; FAILED</w:t>
      </w:r>
    </w:p>
    <w:p>
      <w:pPr>
        <w:spacing w:after="160" w:line="320" w:lineRule="auto"/>
        <w:jc w:val="both"/>
      </w:pPr>
      <w:r>
        <w:rPr>
          <w:rFonts w:ascii="Calibri" w:hAnsi="Calibri"/>
          <w:b w:val="0"/>
          <w:i w:val="0"/>
          <w:sz w:val="22"/>
        </w:rPr>
        <w:t xml:space="preserve">The transition guard for </w:t>
      </w:r>
      <w:r>
        <w:rPr>
          <w:rFonts w:ascii="Consolas" w:hAnsi="Consolas"/>
          <w:b w:val="0"/>
          <w:i w:val="0"/>
          <w:sz w:val="21"/>
        </w:rPr>
        <w:t>RELEASED</w:t>
      </w:r>
      <w:r>
        <w:rPr>
          <w:rFonts w:ascii="Calibri" w:hAnsi="Calibri"/>
          <w:b w:val="0"/>
          <w:i w:val="0"/>
          <w:sz w:val="22"/>
        </w:rPr>
        <w:t xml:space="preserve"> is:</w:t>
      </w:r>
    </w:p>
    <w:p>
      <w:pPr>
        <w:spacing w:after="160" w:line="320" w:lineRule="auto"/>
        <w:jc w:val="both"/>
      </w:pPr>
      <w:r>
        <w:rPr>
          <w:rFonts w:ascii="Consolas" w:hAnsi="Consolas"/>
          <w:b w:val="0"/>
          <w:i w:val="0"/>
          <w:sz w:val="21"/>
        </w:rPr>
        <w:t>permit(P, request) AND schema_valid(response) AND no_hard_failure(V) AND evidence_gate(mode)</w:t>
      </w:r>
      <w:r>
        <w:rPr>
          <w:rFonts w:ascii="Calibri" w:hAnsi="Calibri"/>
          <w:b w:val="0"/>
          <w:i w:val="0"/>
          <w:sz w:val="22"/>
        </w:rPr>
        <w:t>.</w:t>
      </w:r>
    </w:p>
    <w:p>
      <w:pPr>
        <w:spacing w:after="160" w:line="320" w:lineRule="auto"/>
        <w:jc w:val="both"/>
      </w:pPr>
      <w:r>
        <w:rPr>
          <w:rFonts w:ascii="Calibri" w:hAnsi="Calibri"/>
          <w:b w:val="0"/>
          <w:i w:val="0"/>
          <w:sz w:val="22"/>
        </w:rPr>
        <w:t>This guard does not prove factual truth. It proves only that the implementation satisfied its declared release conditions for that trace.</w:t>
      </w:r>
    </w:p>
    <w:p>
      <w:pPr>
        <w:pStyle w:val="Heading3"/>
      </w:pPr>
      <w:r>
        <w:t>3.4 Candidate diversity</w:t>
      </w:r>
    </w:p>
    <w:p>
      <w:pPr>
        <w:spacing w:after="160" w:line="320" w:lineRule="auto"/>
        <w:jc w:val="both"/>
      </w:pPr>
      <w:r>
        <w:rPr>
          <w:rFonts w:ascii="Calibri" w:hAnsi="Calibri"/>
          <w:b w:val="0"/>
          <w:i w:val="0"/>
          <w:sz w:val="22"/>
        </w:rPr>
        <w:t>The earlier Pentagon Protocol proposed five perspectives: direct, skeptical, lateral, ethical, and data-oriented. In this specification these are optional prompt or algorithm profiles, not independent realities. A deployment must record whether lanes use distinct models, distinct prompts over one model, deterministic rules, or duplicated calls. Diversity is an experimental variable and must not be inferred from labels alone.</w:t>
      </w:r>
    </w:p>
    <w:p>
      <w:pPr>
        <w:pStyle w:val="Heading3"/>
      </w:pPr>
      <w:r>
        <w:t>3.5 Selection and abstention</w:t>
      </w:r>
    </w:p>
    <w:p>
      <w:pPr>
        <w:spacing w:after="160" w:line="320" w:lineRule="auto"/>
        <w:jc w:val="both"/>
      </w:pPr>
      <w:r>
        <w:rPr>
          <w:rFonts w:ascii="Calibri" w:hAnsi="Calibri"/>
          <w:b w:val="0"/>
          <w:i w:val="0"/>
          <w:sz w:val="22"/>
        </w:rPr>
        <w:t xml:space="preserve">For candidates </w:t>
      </w:r>
      <w:r>
        <w:rPr>
          <w:rFonts w:ascii="Consolas" w:hAnsi="Consolas"/>
          <w:b w:val="0"/>
          <w:i w:val="0"/>
          <w:sz w:val="21"/>
        </w:rPr>
        <w:t>c_i</w:t>
      </w:r>
      <w:r>
        <w:rPr>
          <w:rFonts w:ascii="Calibri" w:hAnsi="Calibri"/>
          <w:b w:val="0"/>
          <w:i w:val="0"/>
          <w:sz w:val="22"/>
        </w:rPr>
        <w:t>, an implementation may calculate a bounded score</w:t>
      </w:r>
    </w:p>
    <w:p>
      <w:pPr>
        <w:spacing w:after="160" w:line="320" w:lineRule="auto"/>
        <w:jc w:val="both"/>
      </w:pPr>
      <w:r>
        <w:rPr>
          <w:rFonts w:ascii="Consolas" w:hAnsi="Consolas"/>
          <w:b w:val="0"/>
          <w:i w:val="0"/>
          <w:sz w:val="21"/>
        </w:rPr>
        <w:t>S(c_i) = w_e E_i + w_f F_i + w_p P_i + w_s S_i - w_r R_i</w:t>
      </w:r>
    </w:p>
    <w:p>
      <w:pPr>
        <w:spacing w:after="160" w:line="320" w:lineRule="auto"/>
        <w:jc w:val="both"/>
      </w:pPr>
      <w:r>
        <w:rPr>
          <w:rFonts w:ascii="Calibri" w:hAnsi="Calibri"/>
          <w:b w:val="0"/>
          <w:i w:val="0"/>
          <w:sz w:val="22"/>
        </w:rPr>
        <w:t xml:space="preserve">where </w:t>
      </w:r>
      <w:r>
        <w:rPr>
          <w:rFonts w:ascii="Consolas" w:hAnsi="Consolas"/>
          <w:b w:val="0"/>
          <w:i w:val="0"/>
          <w:sz w:val="21"/>
        </w:rPr>
        <w:t>E_i</w:t>
      </w:r>
      <w:r>
        <w:rPr>
          <w:rFonts w:ascii="Calibri" w:hAnsi="Calibri"/>
          <w:b w:val="0"/>
          <w:i w:val="0"/>
          <w:sz w:val="22"/>
        </w:rPr>
        <w:t xml:space="preserve"> is evidence coverage, </w:t>
      </w:r>
      <w:r>
        <w:rPr>
          <w:rFonts w:ascii="Consolas" w:hAnsi="Consolas"/>
          <w:b w:val="0"/>
          <w:i w:val="0"/>
          <w:sz w:val="21"/>
        </w:rPr>
        <w:t>F_i</w:t>
      </w:r>
      <w:r>
        <w:rPr>
          <w:rFonts w:ascii="Calibri" w:hAnsi="Calibri"/>
          <w:b w:val="0"/>
          <w:i w:val="0"/>
          <w:sz w:val="22"/>
        </w:rPr>
        <w:t xml:space="preserve"> format/constraint compliance, </w:t>
      </w:r>
      <w:r>
        <w:rPr>
          <w:rFonts w:ascii="Consolas" w:hAnsi="Consolas"/>
          <w:b w:val="0"/>
          <w:i w:val="0"/>
          <w:sz w:val="21"/>
        </w:rPr>
        <w:t>P_i</w:t>
      </w:r>
      <w:r>
        <w:rPr>
          <w:rFonts w:ascii="Calibri" w:hAnsi="Calibri"/>
          <w:b w:val="0"/>
          <w:i w:val="0"/>
          <w:sz w:val="22"/>
        </w:rPr>
        <w:t xml:space="preserve"> policy alignment, </w:t>
      </w:r>
      <w:r>
        <w:rPr>
          <w:rFonts w:ascii="Consolas" w:hAnsi="Consolas"/>
          <w:b w:val="0"/>
          <w:i w:val="0"/>
          <w:sz w:val="21"/>
        </w:rPr>
        <w:t>S_i</w:t>
      </w:r>
      <w:r>
        <w:rPr>
          <w:rFonts w:ascii="Calibri" w:hAnsi="Calibri"/>
          <w:b w:val="0"/>
          <w:i w:val="0"/>
          <w:sz w:val="22"/>
        </w:rPr>
        <w:t xml:space="preserve"> source quality, and </w:t>
      </w:r>
      <w:r>
        <w:rPr>
          <w:rFonts w:ascii="Consolas" w:hAnsi="Consolas"/>
          <w:b w:val="0"/>
          <w:i w:val="0"/>
          <w:sz w:val="21"/>
        </w:rPr>
        <w:t>R_i</w:t>
      </w:r>
      <w:r>
        <w:rPr>
          <w:rFonts w:ascii="Calibri" w:hAnsi="Calibri"/>
          <w:b w:val="0"/>
          <w:i w:val="0"/>
          <w:sz w:val="22"/>
        </w:rPr>
        <w:t xml:space="preserve"> identified risk. Weights, component definitions, and thresholds must be declared for a scored experiment. When they are not declared, the system should report selection as heuristic rather than mathematical optimisation.</w:t>
      </w:r>
    </w:p>
    <w:p>
      <w:pPr>
        <w:spacing w:after="160" w:line="320" w:lineRule="auto"/>
        <w:jc w:val="both"/>
      </w:pPr>
      <w:r>
        <w:rPr>
          <w:rFonts w:ascii="Calibri" w:hAnsi="Calibri"/>
          <w:b w:val="0"/>
          <w:i w:val="0"/>
          <w:sz w:val="22"/>
        </w:rPr>
        <w:t>Abstention is required when a hard policy check fails, required evidence is absent, all candidates fail the schema, a tool result is stale beyond the allowed window, or a high-risk claim lacks its required authority. The orchestrator may not convert missing evidence into confidence by adding more prose.</w:t>
      </w:r>
    </w:p>
    <w:p>
      <w:pPr>
        <w:pStyle w:val="Heading2"/>
      </w:pPr>
      <w:r>
        <w:t>4. Threat and failure model</w:t>
      </w:r>
    </w:p>
    <w:p>
      <w:pPr>
        <w:spacing w:after="160" w:line="320" w:lineRule="auto"/>
        <w:jc w:val="both"/>
      </w:pPr>
      <w:r>
        <w:rPr>
          <w:rFonts w:ascii="Calibri" w:hAnsi="Calibri"/>
          <w:b w:val="0"/>
          <w:i w:val="0"/>
          <w:sz w:val="22"/>
        </w:rPr>
        <w:t>The architecture assumes that model outputs, retrieved documents, webpages, tool responses, and candidate messages can be wrong or adversarial. It does not assume that the orchestrator model is trusted merely because it appears later in the pipeline.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Threat or failure</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Required response</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Unauthenticated protected request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deny before generation or tool execution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Prompt injection in retrieved content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treat as data; do not grant permissions or new goals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Provider or local runtime unavailable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record unavailable lane; use an allowed fallback or abstain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Candidate violates required schema</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repair once under a bounded policy or reject</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Missing citation/evidence for gated claim</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qualify, retrieve authorised evidence, or abstain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Stale telemetry or evidence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mark stale and refuse freshness-dependent conclusions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Secret-shaped output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withhold output, investigate, and rotate affected credentials if real</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Model/wrapper contamination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separate direct-model and wrapped-route evaluation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Unsupported tool or interface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fail closed rather than infer an actuator or command signature</w:t>
            </w:r>
          </w:p>
        </w:tc>
      </w:tr>
    </w:tbl>
    <w:p>
      <w:pPr>
        <w:spacing w:after="40"/>
      </w:pPr>
    </w:p>
    <w:p>
      <w:pPr>
        <w:spacing w:after="160" w:line="320" w:lineRule="auto"/>
        <w:jc w:val="both"/>
      </w:pPr>
      <w:r>
        <w:rPr>
          <w:rFonts w:ascii="Calibri" w:hAnsi="Calibri"/>
          <w:b w:val="0"/>
          <w:i w:val="0"/>
          <w:sz w:val="22"/>
        </w:rPr>
        <w:t>The architecture is not a security boundary by itself. Secure deployment also requires ordinary application security, dependency management, key custody, rate limits, isolation, monitoring, incident response, and independent review.</w:t>
      </w:r>
    </w:p>
    <w:p>
      <w:pPr>
        <w:pStyle w:val="Heading2"/>
      </w:pPr>
      <w:r>
        <w:t>5. Implementation mapping</w:t>
      </w:r>
    </w:p>
    <w:p>
      <w:pPr>
        <w:spacing w:after="160" w:line="320" w:lineRule="auto"/>
        <w:jc w:val="both"/>
      </w:pPr>
      <w:r>
        <w:rPr>
          <w:rFonts w:ascii="Calibri" w:hAnsi="Calibri"/>
          <w:b w:val="0"/>
          <w:i w:val="0"/>
          <w:sz w:val="22"/>
        </w:rPr>
        <w:t>The 9 July 2026 public snapshot provides implementation evidence for parts of this model. The public runner observed authentication guards, device authorization, safe local identity/capability branches, and six public routes. A local source snapshot contained declared markers for OpenZero routing, a local model map, direct-mode restrictions, Research Paper Creator actions and validation, and the command-line device protocol.</w:t>
      </w:r>
    </w:p>
    <w:p>
      <w:pPr>
        <w:spacing w:after="160" w:line="320" w:lineRule="auto"/>
        <w:jc w:val="both"/>
      </w:pPr>
      <w:r>
        <w:rPr>
          <w:rFonts w:ascii="Calibri" w:hAnsi="Calibri"/>
          <w:b w:val="0"/>
          <w:i w:val="0"/>
          <w:sz w:val="22"/>
        </w:rPr>
        <w:t>The source hashes recorded in that dated evaluation were: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File</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Bytes</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SHA-256</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api_agent.php</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135,935</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fdcdf8b61a020cf93b42c13d32dd91c36e2899bdde7c639722605839ca061dca</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api_cli.php</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5,444</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a161c484d28021091fde67d00ad3be31f5cb58ecd1c628c88dc788980e36f4a0</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research-paper-creator.php</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73,950</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f472979502edbd34f5d5b844ed239846ed68a49c45683cbcf44fadecd685d748</w:t>
            </w:r>
          </w:p>
        </w:tc>
      </w:tr>
    </w:tbl>
    <w:p>
      <w:pPr>
        <w:spacing w:after="40"/>
      </w:pPr>
    </w:p>
    <w:p>
      <w:pPr>
        <w:spacing w:after="160" w:line="320" w:lineRule="auto"/>
        <w:jc w:val="both"/>
      </w:pPr>
      <w:r>
        <w:rPr>
          <w:rFonts w:ascii="Calibri" w:hAnsi="Calibri"/>
          <w:b w:val="0"/>
          <w:i w:val="0"/>
          <w:sz w:val="22"/>
        </w:rPr>
        <w:t>These hashes bind the static observations to local files. They do not prove that the same files were deployed live.</w:t>
      </w:r>
    </w:p>
    <w:p>
      <w:pPr>
        <w:pStyle w:val="Heading2"/>
      </w:pPr>
      <w:r>
        <w:t>6. Evaluation methods</w:t>
      </w:r>
    </w:p>
    <w:p>
      <w:pPr>
        <w:pStyle w:val="Heading3"/>
      </w:pPr>
      <w:r>
        <w:t>6.1 Public-boundary protocol</w:t>
      </w:r>
    </w:p>
    <w:p>
      <w:pPr>
        <w:spacing w:after="160" w:line="320" w:lineRule="auto"/>
        <w:jc w:val="both"/>
      </w:pPr>
      <w:r>
        <w:rPr>
          <w:rFonts w:ascii="Calibri" w:hAnsi="Calibri"/>
          <w:b w:val="0"/>
          <w:i w:val="0"/>
          <w:sz w:val="22"/>
        </w:rPr>
        <w:t>The public-surface protocol used no account cookies, real provider keys, private server credentials, or attempts to bypass authentication. It performed three requests to each of six public pages, exercised six command-line API cases and four agent API cases, inspected seven predeclared local integration markers, and scanned captured responses for selected token-shaped patterns.</w:t>
      </w:r>
    </w:p>
    <w:p>
      <w:pPr>
        <w:pStyle w:val="Heading3"/>
      </w:pPr>
      <w:r>
        <w:t>6.2 Authenticated routing protocol</w:t>
      </w:r>
    </w:p>
    <w:p>
      <w:pPr>
        <w:spacing w:after="160" w:line="320" w:lineRule="auto"/>
        <w:jc w:val="both"/>
      </w:pPr>
      <w:r>
        <w:rPr>
          <w:rFonts w:ascii="Calibri" w:hAnsi="Calibri"/>
          <w:b w:val="0"/>
          <w:i w:val="0"/>
          <w:sz w:val="22"/>
        </w:rPr>
        <w:t>The authenticated routing experiment used an authorised ZeroThink account and a temporary bearer token. Provider credentials remained in the server-side account vault and were neither printed nor exported. The token was revoked after the run and cleanup reported no active benchmark tokens. ZeroTrade sources and credentials were excluded.</w:t>
      </w:r>
    </w:p>
    <w:p>
      <w:pPr>
        <w:spacing w:after="160" w:line="320" w:lineRule="auto"/>
        <w:jc w:val="both"/>
      </w:pPr>
      <w:r>
        <w:rPr>
          <w:rFonts w:ascii="Calibri" w:hAnsi="Calibri"/>
          <w:b w:val="0"/>
          <w:i w:val="0"/>
          <w:sz w:val="22"/>
        </w:rPr>
        <w:t>Ten exact-answer items covered arithmetic, temporal reasoning, quantifier logic, sorting, Python range evaluation, inventory arithmetic, structured JSON, time arithmetic, a density question, and the mislabeled-boxes problem. The scorer used exact expected answers without an LLM judge. This is a diagnostic suite, not a substitute for established broad benchmarks or human evaluation.</w:t>
      </w:r>
    </w:p>
    <w:p>
      <w:pPr>
        <w:pStyle w:val="Heading3"/>
      </w:pPr>
      <w:r>
        <w:t>6.3 Layer separation</w:t>
      </w:r>
    </w:p>
    <w:p>
      <w:pPr>
        <w:spacing w:after="160" w:line="320" w:lineRule="auto"/>
        <w:jc w:val="both"/>
      </w:pPr>
      <w:r>
        <w:rPr>
          <w:rFonts w:ascii="Calibri" w:hAnsi="Calibri"/>
          <w:b w:val="0"/>
          <w:i w:val="0"/>
          <w:sz w:val="22"/>
        </w:rPr>
        <w:t>Three layers are reported independently:</w:t>
      </w:r>
    </w:p>
    <w:p>
      <w:pPr>
        <w:pStyle w:val="ListNumber"/>
        <w:spacing w:after="80" w:line="290" w:lineRule="auto"/>
        <w:ind w:left="540" w:hanging="279"/>
      </w:pPr>
      <w:r>
        <w:rPr>
          <w:rFonts w:ascii="Calibri" w:hAnsi="Calibri"/>
          <w:b/>
          <w:i w:val="0"/>
          <w:sz w:val="22"/>
        </w:rPr>
        <w:t>Boundary behaviour:</w:t>
      </w:r>
      <w:r>
        <w:rPr>
          <w:rFonts w:ascii="Calibri" w:hAnsi="Calibri"/>
          <w:b w:val="0"/>
          <w:i w:val="0"/>
          <w:sz w:val="22"/>
        </w:rPr>
        <w:t xml:space="preserve"> observable public routes and denial/handshake contracts.</w:t>
      </w:r>
    </w:p>
    <w:p>
      <w:pPr>
        <w:pStyle w:val="ListNumber"/>
        <w:spacing w:after="80" w:line="290" w:lineRule="auto"/>
        <w:ind w:left="540" w:hanging="279"/>
      </w:pPr>
      <w:r>
        <w:rPr>
          <w:rFonts w:ascii="Calibri" w:hAnsi="Calibri"/>
          <w:b/>
          <w:i w:val="0"/>
          <w:sz w:val="22"/>
        </w:rPr>
        <w:t>Routing behaviour:</w:t>
      </w:r>
      <w:r>
        <w:rPr>
          <w:rFonts w:ascii="Calibri" w:hAnsi="Calibri"/>
          <w:b w:val="0"/>
          <w:i w:val="0"/>
          <w:sz w:val="22"/>
        </w:rPr>
        <w:t xml:space="preserve"> whether authenticated requests reached declared provider or local lanes.</w:t>
      </w:r>
    </w:p>
    <w:p>
      <w:pPr>
        <w:pStyle w:val="ListNumber"/>
        <w:spacing w:after="80" w:line="290" w:lineRule="auto"/>
        <w:ind w:left="540" w:hanging="279"/>
      </w:pPr>
      <w:r>
        <w:rPr>
          <w:rFonts w:ascii="Calibri" w:hAnsi="Calibri"/>
          <w:b/>
          <w:i w:val="0"/>
          <w:sz w:val="22"/>
        </w:rPr>
        <w:t>Candidate quality:</w:t>
      </w:r>
      <w:r>
        <w:rPr>
          <w:rFonts w:ascii="Calibri" w:hAnsi="Calibri"/>
          <w:b w:val="0"/>
          <w:i w:val="0"/>
          <w:sz w:val="22"/>
        </w:rPr>
        <w:t xml:space="preserve"> task accuracy and latency for the selected model through that route.</w:t>
      </w:r>
    </w:p>
    <w:p>
      <w:pPr>
        <w:spacing w:after="160" w:line="320" w:lineRule="auto"/>
        <w:jc w:val="both"/>
      </w:pPr>
      <w:r>
        <w:rPr>
          <w:rFonts w:ascii="Calibri" w:hAnsi="Calibri"/>
          <w:b w:val="0"/>
          <w:i w:val="0"/>
          <w:sz w:val="22"/>
        </w:rPr>
        <w:t>Passing one layer does not imply passing another.</w:t>
      </w:r>
    </w:p>
    <w:p>
      <w:pPr>
        <w:pStyle w:val="Heading2"/>
      </w:pPr>
      <w:r>
        <w:t>7. Results</w:t>
      </w:r>
    </w:p>
    <w:p>
      <w:pPr>
        <w:pStyle w:val="Heading3"/>
      </w:pPr>
      <w:r>
        <w:t>7.1 Public-boundary snapshot</w:t>
      </w:r>
    </w:p>
    <w:p>
      <w:pPr>
        <w:spacing w:after="160" w:line="320" w:lineRule="auto"/>
        <w:jc w:val="both"/>
      </w:pPr>
      <w:r>
        <w:rPr>
          <w:rFonts w:ascii="Calibri" w:hAnsi="Calibri"/>
          <w:b w:val="0"/>
          <w:i w:val="0"/>
          <w:sz w:val="22"/>
        </w:rPr>
        <w:t>All 23 predefined checks passed in the 9 July 2026 snapshot.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Area</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Passed / total</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Bounded interpretation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Public pages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 / 6</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selected routes returned expected markers in three requests each</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CLI API</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 / 6</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tested input, authentication, device-start, and pending contracts matched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Agent API</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 / 4</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tested unauthenticated requests were blocked; two local branches matched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Static snapshot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7 / 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selected markers existed in three hashed files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Token-pattern scan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 hits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selected token-shaped pattern appeared in captured responses</w:t>
            </w:r>
          </w:p>
        </w:tc>
      </w:tr>
    </w:tbl>
    <w:p>
      <w:pPr>
        <w:spacing w:after="40"/>
      </w:pPr>
    </w:p>
    <w:p>
      <w:pPr>
        <w:spacing w:after="160" w:line="320" w:lineRule="auto"/>
        <w:jc w:val="both"/>
      </w:pPr>
      <w:r>
        <w:rPr>
          <w:rFonts w:ascii="Calibri" w:hAnsi="Calibri"/>
          <w:b w:val="0"/>
          <w:i w:val="0"/>
          <w:sz w:val="22"/>
        </w:rPr>
        <w:t>The mean latency across benchmark rows with latency was 0.134 seconds, with a median of 0.061 seconds. These are descriptive observations, not availability or service-level measurements.</w:t>
      </w:r>
    </w:p>
    <w:p>
      <w:pPr>
        <w:pStyle w:val="Heading3"/>
      </w:pPr>
      <w:r>
        <w:t>7.2 Authenticated routing snapshot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Lane</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Selected model</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Correct / 10</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Mean latency (s)</w:t>
            </w:r>
          </w:p>
        </w:tc>
        <w:tc>
          <w:tcPr>
            <w:tcW w:type="dxa" w:w="1872"/>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Groq account route</w:t>
            </w:r>
          </w:p>
        </w:tc>
        <w:tc>
          <w:tcPr>
            <w:tcW w:type="dxa" w:w="1872"/>
            <w:vAlign w:val="top"/>
            <w:tcMar>
              <w:top w:w="80" w:type="dxa"/>
              <w:start w:w="120" w:type="dxa"/>
              <w:bottom w:w="80" w:type="dxa"/>
              <w:end w:w="120" w:type="dxa"/>
            </w:tcMar>
          </w:tcPr>
          <w:p>
            <w:pPr>
              <w:spacing w:after="0" w:line="252" w:lineRule="auto"/>
            </w:pPr>
            <w:r>
              <w:rPr>
                <w:rFonts w:ascii="Consolas" w:hAnsi="Consolas"/>
                <w:b w:val="0"/>
                <w:i w:val="0"/>
                <w:sz w:val="17"/>
              </w:rPr>
              <w:t>openai/gpt-oss-120b</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10</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0.850</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available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OpenAI account route</w:t>
            </w:r>
          </w:p>
        </w:tc>
        <w:tc>
          <w:tcPr>
            <w:tcW w:type="dxa" w:w="1872"/>
            <w:vAlign w:val="top"/>
            <w:tcMar>
              <w:top w:w="80" w:type="dxa"/>
              <w:start w:w="120" w:type="dxa"/>
              <w:bottom w:w="80" w:type="dxa"/>
              <w:end w:w="120" w:type="dxa"/>
            </w:tcMar>
          </w:tcPr>
          <w:p>
            <w:pPr>
              <w:spacing w:after="0" w:line="252" w:lineRule="auto"/>
            </w:pPr>
            <w:r>
              <w:rPr>
                <w:rFonts w:ascii="Consolas" w:hAnsi="Consolas"/>
                <w:b w:val="0"/>
                <w:i w:val="0"/>
                <w:sz w:val="17"/>
              </w:rPr>
              <w:t>gpt-5.4</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10</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1.204</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available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Gemini account route</w:t>
            </w:r>
          </w:p>
        </w:tc>
        <w:tc>
          <w:tcPr>
            <w:tcW w:type="dxa" w:w="1872"/>
            <w:vAlign w:val="top"/>
            <w:tcMar>
              <w:top w:w="80" w:type="dxa"/>
              <w:start w:w="120" w:type="dxa"/>
              <w:bottom w:w="80" w:type="dxa"/>
              <w:end w:w="120" w:type="dxa"/>
            </w:tcMar>
          </w:tcPr>
          <w:p>
            <w:pPr>
              <w:spacing w:after="0" w:line="252" w:lineRule="auto"/>
            </w:pPr>
            <w:r>
              <w:rPr>
                <w:rFonts w:ascii="Consolas" w:hAnsi="Consolas"/>
                <w:b w:val="0"/>
                <w:i w:val="0"/>
                <w:sz w:val="17"/>
              </w:rPr>
              <w:t>gemini-3.5-flash</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10</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3.272</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available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NVIDIA account route</w:t>
            </w:r>
          </w:p>
        </w:tc>
        <w:tc>
          <w:tcPr>
            <w:tcW w:type="dxa" w:w="1872"/>
            <w:vAlign w:val="top"/>
            <w:tcMar>
              <w:top w:w="80" w:type="dxa"/>
              <w:start w:w="120" w:type="dxa"/>
              <w:bottom w:w="80" w:type="dxa"/>
              <w:end w:w="120" w:type="dxa"/>
            </w:tcMar>
          </w:tcPr>
          <w:p>
            <w:pPr>
              <w:spacing w:after="0" w:line="252" w:lineRule="auto"/>
            </w:pPr>
            <w:r>
              <w:rPr>
                <w:rFonts w:ascii="Consolas" w:hAnsi="Consolas"/>
                <w:b w:val="0"/>
                <w:i w:val="0"/>
                <w:sz w:val="17"/>
              </w:rPr>
              <w:t>meta/llama-3.3-70b-instruct</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7</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29.482</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available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OpenZero GLM4 wrapper route</w:t>
            </w:r>
          </w:p>
        </w:tc>
        <w:tc>
          <w:tcPr>
            <w:tcW w:type="dxa" w:w="1872"/>
            <w:vAlign w:val="top"/>
            <w:tcMar>
              <w:top w:w="80" w:type="dxa"/>
              <w:start w:w="120" w:type="dxa"/>
              <w:bottom w:w="80" w:type="dxa"/>
              <w:end w:w="120" w:type="dxa"/>
            </w:tcMar>
          </w:tcPr>
          <w:p>
            <w:pPr>
              <w:spacing w:after="0" w:line="252" w:lineRule="auto"/>
            </w:pPr>
            <w:r>
              <w:rPr>
                <w:rFonts w:ascii="Consolas" w:hAnsi="Consolas"/>
                <w:b w:val="0"/>
                <w:i w:val="0"/>
                <w:sz w:val="17"/>
              </w:rPr>
              <w:t>glm4:9b-q5</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3</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8.494</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available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OpenZero Spectra8 wrapper route</w:t>
            </w:r>
          </w:p>
        </w:tc>
        <w:tc>
          <w:tcPr>
            <w:tcW w:type="dxa" w:w="1872"/>
            <w:vAlign w:val="top"/>
            <w:tcMar>
              <w:top w:w="80" w:type="dxa"/>
              <w:start w:w="120" w:type="dxa"/>
              <w:bottom w:w="80" w:type="dxa"/>
              <w:end w:w="120" w:type="dxa"/>
            </w:tcMar>
          </w:tcPr>
          <w:p>
            <w:pPr>
              <w:spacing w:after="0" w:line="252" w:lineRule="auto"/>
            </w:pPr>
            <w:r>
              <w:rPr>
                <w:rFonts w:ascii="Consolas" w:hAnsi="Consolas"/>
                <w:b w:val="0"/>
                <w:i w:val="0"/>
                <w:sz w:val="17"/>
              </w:rPr>
              <w:t>spectra8-q8</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3</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75.703</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available</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xAI account route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none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not scored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not applicable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key rejected</w:t>
            </w:r>
          </w:p>
        </w:tc>
      </w:tr>
      <w:tr>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OpenZero agent route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none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not scored</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not applicable</w:t>
            </w:r>
          </w:p>
        </w:tc>
        <w:tc>
          <w:tcPr>
            <w:tcW w:type="dxa" w:w="1872"/>
            <w:vAlign w:val="top"/>
            <w:tcMar>
              <w:top w:w="80" w:type="dxa"/>
              <w:start w:w="120" w:type="dxa"/>
              <w:bottom w:w="80" w:type="dxa"/>
              <w:end w:w="120" w:type="dxa"/>
            </w:tcMar>
          </w:tcPr>
          <w:p>
            <w:pPr>
              <w:spacing w:after="0" w:line="252" w:lineRule="auto"/>
            </w:pPr>
            <w:r>
              <w:rPr>
                <w:rFonts w:ascii="Calibri" w:hAnsi="Calibri"/>
                <w:b w:val="0"/>
                <w:i w:val="0"/>
                <w:sz w:val="18"/>
              </w:rPr>
              <w:t>local runtime timed out</w:t>
            </w:r>
          </w:p>
        </w:tc>
      </w:tr>
    </w:tbl>
    <w:p>
      <w:pPr>
        <w:spacing w:after="40"/>
      </w:pPr>
    </w:p>
    <w:p>
      <w:pPr>
        <w:spacing w:after="160" w:line="320" w:lineRule="auto"/>
        <w:jc w:val="both"/>
      </w:pPr>
      <w:r>
        <w:rPr>
          <w:rFonts w:ascii="Calibri" w:hAnsi="Calibri"/>
          <w:b w:val="0"/>
          <w:i w:val="0"/>
          <w:sz w:val="22"/>
        </w:rPr>
        <w:t>The three 10/10 results show that ZeroThink routed the tasks to strong provider models. They do not show that ZeroThink improved those models. Conversely, the local wrapper results reveal a deployment problem: the same Spectra8 family had scored 9/10 in a separate direct OpenZero snapshot, but only 3/10 through this wrapper route. The recorded symptoms included long timeouts and probe/context contamination. This difference is evidence for evaluating wrappers independently from model artifacts.</w:t>
      </w:r>
    </w:p>
    <w:p>
      <w:pPr>
        <w:pStyle w:val="Heading2"/>
      </w:pPr>
      <w:r>
        <w:t>8. Claim ledger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Claim</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Evidence or rejection rule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ZeroThink can enforce selected public authentication and device-flow contracts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supported for the dated 23-check snapshot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public result matrix and machine-readable summary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ZeroThink can route an authorised account to multiple provider/local lanes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supported for the dated routing snapshot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scored rows and declared selected models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ZeroThink improves foundation-model intelligence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experiment did not isolate or demonstrate improvement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ZeroThink eliminates hallucinations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architecture can infer this from route or exact-answer checks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ZeroThink performs quantum computation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all reported branching and selection were classical</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Five labelled lanes constitute five independent models or realities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established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implementation must declare model and prompt identity per lane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ZeroThink guarantees truth or a sovereign answer</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release gates produce bounded decisions, not epistemic certainty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system is secure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established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small self-evaluation is not an audit or certification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The architecture is reproducible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partially supported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public artifacts reproduce the dated checks; full deployment is not released</w:t>
            </w:r>
          </w:p>
        </w:tc>
      </w:tr>
    </w:tbl>
    <w:p>
      <w:pPr>
        <w:spacing w:after="40"/>
      </w:pPr>
    </w:p>
    <w:p>
      <w:pPr>
        <w:pStyle w:val="Heading2"/>
      </w:pPr>
      <w:r>
        <w:t>9. Conformance profile</w:t>
      </w:r>
    </w:p>
    <w:p>
      <w:pPr>
        <w:spacing w:after="160" w:line="320" w:lineRule="auto"/>
        <w:jc w:val="both"/>
      </w:pPr>
      <w:r>
        <w:rPr>
          <w:rFonts w:ascii="Calibri" w:hAnsi="Calibri"/>
          <w:b w:val="0"/>
          <w:i w:val="0"/>
          <w:sz w:val="22"/>
        </w:rPr>
        <w:t xml:space="preserve">A system may call itself </w:t>
      </w:r>
      <w:r>
        <w:rPr>
          <w:rFonts w:ascii="Calibri" w:hAnsi="Calibri"/>
          <w:b/>
          <w:i w:val="0"/>
          <w:sz w:val="22"/>
        </w:rPr>
        <w:t>ZeroThink Core conformant</w:t>
      </w:r>
      <w:r>
        <w:rPr>
          <w:rFonts w:ascii="Calibri" w:hAnsi="Calibri"/>
          <w:b w:val="0"/>
          <w:i w:val="0"/>
          <w:sz w:val="22"/>
        </w:rPr>
        <w:t xml:space="preserve"> only if it:</w:t>
      </w:r>
    </w:p>
    <w:p>
      <w:pPr>
        <w:pStyle w:val="ListNumber"/>
        <w:spacing w:after="80" w:line="290" w:lineRule="auto"/>
        <w:ind w:left="540" w:hanging="279"/>
      </w:pPr>
      <w:r>
        <w:rPr>
          <w:rFonts w:ascii="Calibri" w:hAnsi="Calibri"/>
          <w:b w:val="0"/>
          <w:i w:val="0"/>
          <w:sz w:val="22"/>
        </w:rPr>
        <w:t>implements explicit request preflight before protected generation or tool use;</w:t>
      </w:r>
    </w:p>
    <w:p>
      <w:pPr>
        <w:pStyle w:val="ListNumber"/>
        <w:spacing w:after="80" w:line="290" w:lineRule="auto"/>
        <w:ind w:left="540" w:hanging="279"/>
      </w:pPr>
      <w:r>
        <w:rPr>
          <w:rFonts w:ascii="Calibri" w:hAnsi="Calibri"/>
          <w:b w:val="0"/>
          <w:i w:val="0"/>
          <w:sz w:val="22"/>
        </w:rPr>
        <w:t>represents evidence, candidates, findings, and release decisions as distinguishable records;</w:t>
      </w:r>
    </w:p>
    <w:p>
      <w:pPr>
        <w:pStyle w:val="ListNumber"/>
        <w:spacing w:after="80" w:line="290" w:lineRule="auto"/>
        <w:ind w:left="540" w:hanging="279"/>
      </w:pPr>
      <w:r>
        <w:rPr>
          <w:rFonts w:ascii="Calibri" w:hAnsi="Calibri"/>
          <w:b w:val="0"/>
          <w:i w:val="0"/>
          <w:sz w:val="22"/>
        </w:rPr>
        <w:t>prevents evidence or candidate content from granting permissions;</w:t>
      </w:r>
    </w:p>
    <w:p>
      <w:pPr>
        <w:pStyle w:val="ListNumber"/>
        <w:spacing w:after="80" w:line="290" w:lineRule="auto"/>
        <w:ind w:left="540" w:hanging="279"/>
      </w:pPr>
      <w:r>
        <w:rPr>
          <w:rFonts w:ascii="Calibri" w:hAnsi="Calibri"/>
          <w:b w:val="0"/>
          <w:i w:val="0"/>
          <w:sz w:val="22"/>
        </w:rPr>
        <w:t>has a declared abstention path;</w:t>
      </w:r>
    </w:p>
    <w:p>
      <w:pPr>
        <w:pStyle w:val="ListNumber"/>
        <w:spacing w:after="80" w:line="290" w:lineRule="auto"/>
        <w:ind w:left="540" w:hanging="279"/>
      </w:pPr>
      <w:r>
        <w:rPr>
          <w:rFonts w:ascii="Calibri" w:hAnsi="Calibri"/>
          <w:b w:val="0"/>
          <w:i w:val="0"/>
          <w:sz w:val="22"/>
        </w:rPr>
        <w:t>logs provider/model or deterministic rule identity for evaluated lanes;</w:t>
      </w:r>
    </w:p>
    <w:p>
      <w:pPr>
        <w:pStyle w:val="ListNumber"/>
        <w:spacing w:after="80" w:line="290" w:lineRule="auto"/>
        <w:ind w:left="540" w:hanging="279"/>
      </w:pPr>
      <w:r>
        <w:rPr>
          <w:rFonts w:ascii="Calibri" w:hAnsi="Calibri"/>
          <w:b w:val="0"/>
          <w:i w:val="0"/>
          <w:sz w:val="22"/>
        </w:rPr>
        <w:t>separates live observations from static-source observations;</w:t>
      </w:r>
    </w:p>
    <w:p>
      <w:pPr>
        <w:pStyle w:val="ListNumber"/>
        <w:spacing w:after="80" w:line="290" w:lineRule="auto"/>
        <w:ind w:left="540" w:hanging="279"/>
      </w:pPr>
      <w:r>
        <w:rPr>
          <w:rFonts w:ascii="Calibri" w:hAnsi="Calibri"/>
          <w:b w:val="0"/>
          <w:i w:val="0"/>
          <w:sz w:val="22"/>
        </w:rPr>
        <w:t>publishes dated evaluation parameters and negative results;</w:t>
      </w:r>
    </w:p>
    <w:p>
      <w:pPr>
        <w:pStyle w:val="ListNumber"/>
        <w:spacing w:after="80" w:line="290" w:lineRule="auto"/>
        <w:ind w:left="540" w:hanging="279"/>
      </w:pPr>
      <w:r>
        <w:rPr>
          <w:rFonts w:ascii="Calibri" w:hAnsi="Calibri"/>
          <w:b w:val="0"/>
          <w:i w:val="0"/>
          <w:sz w:val="22"/>
        </w:rPr>
        <w:t>does not describe classical branching as quantum computation.</w:t>
      </w:r>
    </w:p>
    <w:p>
      <w:pPr>
        <w:spacing w:after="160" w:line="320" w:lineRule="auto"/>
        <w:jc w:val="both"/>
      </w:pPr>
      <w:r>
        <w:rPr>
          <w:rFonts w:ascii="Calibri" w:hAnsi="Calibri"/>
          <w:b/>
          <w:i w:val="0"/>
          <w:sz w:val="22"/>
        </w:rPr>
        <w:t>ZeroThink Evidence conformant</w:t>
      </w:r>
      <w:r>
        <w:rPr>
          <w:rFonts w:ascii="Calibri" w:hAnsi="Calibri"/>
          <w:b w:val="0"/>
          <w:i w:val="0"/>
          <w:sz w:val="22"/>
        </w:rPr>
        <w:t xml:space="preserve"> additionally requires claim-to-source links, evidence freshness status, hash commitments, and explicit missing-evidence findings. </w:t>
      </w:r>
      <w:r>
        <w:rPr>
          <w:rFonts w:ascii="Calibri" w:hAnsi="Calibri"/>
          <w:b/>
          <w:i w:val="0"/>
          <w:sz w:val="22"/>
        </w:rPr>
        <w:t>ZeroThink Reproducible conformant</w:t>
      </w:r>
      <w:r>
        <w:rPr>
          <w:rFonts w:ascii="Calibri" w:hAnsi="Calibri"/>
          <w:b w:val="0"/>
          <w:i w:val="0"/>
          <w:sz w:val="22"/>
        </w:rPr>
        <w:t xml:space="preserve"> additionally requires executable tests, machine-readable results, dependency/runtime instructions, immutable release hashes, and a limitations statement.</w:t>
      </w:r>
    </w:p>
    <w:p>
      <w:pPr>
        <w:spacing w:after="160" w:line="320" w:lineRule="auto"/>
        <w:jc w:val="both"/>
      </w:pPr>
      <w:r>
        <w:rPr>
          <w:rFonts w:ascii="Calibri" w:hAnsi="Calibri"/>
          <w:b w:val="0"/>
          <w:i w:val="0"/>
          <w:sz w:val="22"/>
        </w:rPr>
        <w:t>Conformance is self-declared unless an independent evaluator repeats it. It is not a security certification.</w:t>
      </w:r>
    </w:p>
    <w:p>
      <w:pPr>
        <w:pStyle w:val="Heading3"/>
      </w:pPr>
      <w:r>
        <w:t>Executable conformance companion</w:t>
      </w:r>
    </w:p>
    <w:p>
      <w:pPr>
        <w:spacing w:after="160" w:line="320" w:lineRule="auto"/>
        <w:jc w:val="both"/>
      </w:pPr>
      <w:r>
        <w:rPr>
          <w:rFonts w:ascii="Calibri" w:hAnsi="Calibri"/>
          <w:b w:val="0"/>
          <w:i w:val="0"/>
          <w:sz w:val="22"/>
        </w:rPr>
        <w:t xml:space="preserve">The release companion under </w:t>
      </w:r>
      <w:r>
        <w:rPr>
          <w:rFonts w:ascii="Consolas" w:hAnsi="Consolas"/>
          <w:b w:val="0"/>
          <w:i w:val="0"/>
          <w:sz w:val="21"/>
        </w:rPr>
        <w:t>artifacts/zerothink-architecture-1.0/</w:t>
      </w:r>
      <w:r>
        <w:rPr>
          <w:rFonts w:ascii="Calibri" w:hAnsi="Calibri"/>
          <w:b w:val="0"/>
          <w:i w:val="0"/>
          <w:sz w:val="22"/>
        </w:rPr>
        <w:t xml:space="preserve"> turns a narrow subset of this specification into executable checks. A JSON Schema fixes the trace vocabulary and required fields. A dependency-free Python verifier then checks state ordering, release authority, hard-failure denial, evidence-gate completion, and the rule that untrusted content cannot grant permissions. Included positive and negative vectors make the expected decisions inspectable. Passing these tests establishes only conformance to those encoded invariants; it does not prove factual correctness, security, or full implementation of the architecture.</w:t>
      </w:r>
    </w:p>
    <w:p>
      <w:pPr>
        <w:pStyle w:val="Heading2"/>
      </w:pPr>
      <w:r>
        <w:t>10. Falsifiable evaluation programme</w:t>
      </w:r>
    </w:p>
    <w:p>
      <w:pPr>
        <w:spacing w:after="160" w:line="320" w:lineRule="auto"/>
        <w:jc w:val="both"/>
      </w:pPr>
      <w:r>
        <w:rPr>
          <w:rFonts w:ascii="Calibri" w:hAnsi="Calibri"/>
          <w:b w:val="0"/>
          <w:i w:val="0"/>
          <w:sz w:val="22"/>
        </w:rPr>
        <w:t>The next evaluation should compare four conditions on the same frozen tasks:</w:t>
      </w:r>
    </w:p>
    <w:p>
      <w:pPr>
        <w:pStyle w:val="ListBullet"/>
        <w:spacing w:after="80" w:line="290" w:lineRule="auto"/>
        <w:ind w:left="540" w:hanging="279"/>
      </w:pPr>
      <w:r>
        <w:rPr>
          <w:rFonts w:ascii="Consolas" w:hAnsi="Consolas"/>
          <w:b w:val="0"/>
          <w:i w:val="0"/>
          <w:sz w:val="21"/>
        </w:rPr>
        <w:t>B0</w:t>
      </w:r>
      <w:r>
        <w:rPr>
          <w:rFonts w:ascii="Calibri" w:hAnsi="Calibri"/>
          <w:b w:val="0"/>
          <w:i w:val="0"/>
          <w:sz w:val="22"/>
        </w:rPr>
        <w:t>: one-shot base model;</w:t>
      </w:r>
    </w:p>
    <w:p>
      <w:pPr>
        <w:pStyle w:val="ListBullet"/>
        <w:spacing w:after="80" w:line="290" w:lineRule="auto"/>
        <w:ind w:left="540" w:hanging="279"/>
      </w:pPr>
      <w:r>
        <w:rPr>
          <w:rFonts w:ascii="Consolas" w:hAnsi="Consolas"/>
          <w:b w:val="0"/>
          <w:i w:val="0"/>
          <w:sz w:val="21"/>
        </w:rPr>
        <w:t>B1</w:t>
      </w:r>
      <w:r>
        <w:rPr>
          <w:rFonts w:ascii="Calibri" w:hAnsi="Calibri"/>
          <w:b w:val="0"/>
          <w:i w:val="0"/>
          <w:sz w:val="22"/>
        </w:rPr>
        <w:t>: same model with a structured prompt but no evidence stage;</w:t>
      </w:r>
    </w:p>
    <w:p>
      <w:pPr>
        <w:pStyle w:val="ListBullet"/>
        <w:spacing w:after="80" w:line="290" w:lineRule="auto"/>
        <w:ind w:left="540" w:hanging="279"/>
      </w:pPr>
      <w:r>
        <w:rPr>
          <w:rFonts w:ascii="Consolas" w:hAnsi="Consolas"/>
          <w:b w:val="0"/>
          <w:i w:val="0"/>
          <w:sz w:val="21"/>
        </w:rPr>
        <w:t>B2</w:t>
      </w:r>
      <w:r>
        <w:rPr>
          <w:rFonts w:ascii="Calibri" w:hAnsi="Calibri"/>
          <w:b w:val="0"/>
          <w:i w:val="0"/>
          <w:sz w:val="22"/>
        </w:rPr>
        <w:t>: ZeroThink evidence and verification stages with one candidate;</w:t>
      </w:r>
    </w:p>
    <w:p>
      <w:pPr>
        <w:pStyle w:val="ListBullet"/>
        <w:spacing w:after="80" w:line="290" w:lineRule="auto"/>
        <w:ind w:left="540" w:hanging="279"/>
      </w:pPr>
      <w:r>
        <w:rPr>
          <w:rFonts w:ascii="Consolas" w:hAnsi="Consolas"/>
          <w:b w:val="0"/>
          <w:i w:val="0"/>
          <w:sz w:val="21"/>
        </w:rPr>
        <w:t>B3</w:t>
      </w:r>
      <w:r>
        <w:rPr>
          <w:rFonts w:ascii="Calibri" w:hAnsi="Calibri"/>
          <w:b w:val="0"/>
          <w:i w:val="0"/>
          <w:sz w:val="22"/>
        </w:rPr>
        <w:t>: ZeroThink with multiple declared candidate profiles.</w:t>
      </w:r>
    </w:p>
    <w:p>
      <w:pPr>
        <w:spacing w:after="160" w:line="320" w:lineRule="auto"/>
        <w:jc w:val="both"/>
      </w:pPr>
      <w:r>
        <w:rPr>
          <w:rFonts w:ascii="Calibri" w:hAnsi="Calibri"/>
          <w:b w:val="0"/>
          <w:i w:val="0"/>
          <w:sz w:val="22"/>
        </w:rPr>
        <w:t>Primary outcomes should include exact correctness where possible, unsupported-claim rate, citation precision/recall, schema compliance, abstention appropriateness, latency, cost, and repair count. Candidate diversity should be measured from outputs and model/prompt identities rather than assumed from lane names. The experiment should preregister thresholds, freeze prompts, publish failures, and separate direct-model from wrapped-service runs.</w:t>
      </w:r>
    </w:p>
    <w:p>
      <w:pPr>
        <w:spacing w:after="160" w:line="320" w:lineRule="auto"/>
        <w:jc w:val="both"/>
      </w:pPr>
      <w:r>
        <w:rPr>
          <w:rFonts w:ascii="Calibri" w:hAnsi="Calibri"/>
          <w:b w:val="0"/>
          <w:i w:val="0"/>
          <w:sz w:val="22"/>
        </w:rPr>
        <w:t xml:space="preserve">A claim that ZeroThink adds value would be falsified if </w:t>
      </w:r>
      <w:r>
        <w:rPr>
          <w:rFonts w:ascii="Consolas" w:hAnsi="Consolas"/>
          <w:b w:val="0"/>
          <w:i w:val="0"/>
          <w:sz w:val="21"/>
        </w:rPr>
        <w:t>B2</w:t>
      </w:r>
      <w:r>
        <w:rPr>
          <w:rFonts w:ascii="Calibri" w:hAnsi="Calibri"/>
          <w:b w:val="0"/>
          <w:i w:val="0"/>
          <w:sz w:val="22"/>
        </w:rPr>
        <w:t xml:space="preserve"> and </w:t>
      </w:r>
      <w:r>
        <w:rPr>
          <w:rFonts w:ascii="Consolas" w:hAnsi="Consolas"/>
          <w:b w:val="0"/>
          <w:i w:val="0"/>
          <w:sz w:val="21"/>
        </w:rPr>
        <w:t>B3</w:t>
      </w:r>
      <w:r>
        <w:rPr>
          <w:rFonts w:ascii="Calibri" w:hAnsi="Calibri"/>
          <w:b w:val="0"/>
          <w:i w:val="0"/>
          <w:sz w:val="22"/>
        </w:rPr>
        <w:t xml:space="preserve"> do not improve predefined evidence or error outcomes relative to </w:t>
      </w:r>
      <w:r>
        <w:rPr>
          <w:rFonts w:ascii="Consolas" w:hAnsi="Consolas"/>
          <w:b w:val="0"/>
          <w:i w:val="0"/>
          <w:sz w:val="21"/>
        </w:rPr>
        <w:t>B0/B1</w:t>
      </w:r>
      <w:r>
        <w:rPr>
          <w:rFonts w:ascii="Calibri" w:hAnsi="Calibri"/>
          <w:b w:val="0"/>
          <w:i w:val="0"/>
          <w:sz w:val="22"/>
        </w:rPr>
        <w:t>, or if any improvement disappears when latency, provider strength, and prompt-token budget are controlled.</w:t>
      </w:r>
    </w:p>
    <w:p>
      <w:pPr>
        <w:pStyle w:val="Heading2"/>
      </w:pPr>
      <w:r>
        <w:t>11. Limitations</w:t>
      </w:r>
    </w:p>
    <w:p>
      <w:pPr>
        <w:spacing w:after="160" w:line="320" w:lineRule="auto"/>
        <w:jc w:val="both"/>
      </w:pPr>
      <w:r>
        <w:rPr>
          <w:rFonts w:ascii="Calibri" w:hAnsi="Calibri"/>
          <w:b w:val="0"/>
          <w:i w:val="0"/>
          <w:sz w:val="22"/>
        </w:rPr>
        <w:t>This is an author-led consolidation and self-evaluation, not peer review or independent validation. The public-boundary experiment is small and dated. Three requests per route do not establish uptime, capacity, or geographic performance. Pattern matching cannot prove the absence of secrets. Static markers do not prove live deployment identity or runtime behaviour. The ten exact-answer items are diagnostic and too small for broad claims. Provider models, keys, and service versions can change. The experiments do not evaluate tool-use safety, prompt-injection resistance, privacy-law compliance, accessibility, human usefulness, long-horizon autonomy, or adversarial security.</w:t>
      </w:r>
    </w:p>
    <w:p>
      <w:pPr>
        <w:spacing w:after="160" w:line="320" w:lineRule="auto"/>
        <w:jc w:val="both"/>
      </w:pPr>
      <w:r>
        <w:rPr>
          <w:rFonts w:ascii="Calibri" w:hAnsi="Calibri"/>
          <w:b w:val="0"/>
          <w:i w:val="0"/>
          <w:sz w:val="22"/>
        </w:rPr>
        <w:t>The architecture is deliberately descriptive at some points: it permits different verifier and scoring implementations. No theorem shows that the proposed score produces correct answers. The use of the word sovereign describes control and auditability, not political, legal, conscious, or epistemic sovereignty.</w:t>
      </w:r>
    </w:p>
    <w:p>
      <w:pPr>
        <w:pStyle w:val="Heading2"/>
      </w:pPr>
      <w:r>
        <w:t>12. Conclusion</w:t>
      </w:r>
    </w:p>
    <w:p>
      <w:pPr>
        <w:spacing w:after="160" w:line="320" w:lineRule="auto"/>
        <w:jc w:val="both"/>
      </w:pPr>
      <w:r>
        <w:rPr>
          <w:rFonts w:ascii="Calibri" w:hAnsi="Calibri"/>
          <w:b w:val="0"/>
          <w:i w:val="0"/>
          <w:sz w:val="22"/>
        </w:rPr>
        <w:t>ZeroThink is best understood as an evidence-gated service architecture, not as a claim that an orchestration wrapper creates a new form of model intelligence. Its useful scientific subject is the boundary between request policy, evidence, candidate generation, verification, routing, abstention, and release. The dated evaluations show two complementary facts: selected public contracts behaved as expected in a 23-check snapshot, and authenticated routing exposed both capable cloud lanes and serious local-wrapper degradation. Publishing those successes and failures makes the architecture falsifiable.</w:t>
      </w:r>
    </w:p>
    <w:p>
      <w:pPr>
        <w:spacing w:after="160" w:line="320" w:lineRule="auto"/>
        <w:jc w:val="both"/>
      </w:pPr>
      <w:r>
        <w:rPr>
          <w:rFonts w:ascii="Calibri" w:hAnsi="Calibri"/>
          <w:b w:val="0"/>
          <w:i w:val="0"/>
          <w:sz w:val="22"/>
        </w:rPr>
        <w:t>The consolidated specification supersedes the strongest unqualified language in the earlier drafts. Future claims should be earned through frozen baselines, declared lane identities, machine-readable traces, negative results, and independent reruns.</w:t>
      </w:r>
    </w:p>
    <w:p>
      <w:pPr>
        <w:pStyle w:val="Heading2"/>
      </w:pPr>
      <w:r>
        <w:t>Data and code availability</w:t>
      </w:r>
    </w:p>
    <w:p>
      <w:pPr>
        <w:spacing w:after="160" w:line="320" w:lineRule="auto"/>
        <w:jc w:val="both"/>
      </w:pPr>
      <w:r>
        <w:rPr>
          <w:rFonts w:ascii="Calibri" w:hAnsi="Calibri"/>
          <w:b w:val="0"/>
          <w:i w:val="0"/>
          <w:sz w:val="22"/>
        </w:rPr>
        <w:t xml:space="preserve">The public research repository is </w:t>
      </w:r>
      <w:r>
        <w:rPr>
          <w:rFonts w:ascii="Consolas" w:hAnsi="Consolas"/>
          <w:b w:val="0"/>
          <w:i w:val="0"/>
          <w:sz w:val="21"/>
        </w:rPr>
        <w:t>https://github.com/ResearchForumOnline/research</w:t>
      </w:r>
      <w:r>
        <w:rPr>
          <w:rFonts w:ascii="Calibri" w:hAnsi="Calibri"/>
          <w:b w:val="0"/>
          <w:i w:val="0"/>
          <w:sz w:val="22"/>
        </w:rPr>
        <w:t xml:space="preserve">. Dated public-boundary and authenticated-routing CSV/JSON artifacts are stored under </w:t>
      </w:r>
      <w:r>
        <w:rPr>
          <w:rFonts w:ascii="Consolas" w:hAnsi="Consolas"/>
          <w:b w:val="0"/>
          <w:i w:val="0"/>
          <w:sz w:val="21"/>
        </w:rPr>
        <w:t>data/benchmarks/</w:t>
      </w:r>
      <w:r>
        <w:rPr>
          <w:rFonts w:ascii="Calibri" w:hAnsi="Calibri"/>
          <w:b w:val="0"/>
          <w:i w:val="0"/>
          <w:sz w:val="22"/>
        </w:rPr>
        <w:t xml:space="preserve">. The historical ZeroThink record is </w:t>
      </w:r>
      <w:r>
        <w:rPr>
          <w:rFonts w:ascii="Consolas" w:hAnsi="Consolas"/>
          <w:b w:val="0"/>
          <w:i w:val="0"/>
          <w:sz w:val="21"/>
        </w:rPr>
        <w:t>https://doi.org/10.5281/zenodo.18305187</w:t>
      </w:r>
      <w:r>
        <w:rPr>
          <w:rFonts w:ascii="Calibri" w:hAnsi="Calibri"/>
          <w:b w:val="0"/>
          <w:i w:val="0"/>
          <w:sz w:val="22"/>
        </w:rPr>
        <w:t>. The two overlapping unpublished Zenodo uploads should be treated as source drafts, not separate validated publications.</w:t>
      </w:r>
    </w:p>
    <w:p>
      <w:pPr>
        <w:pStyle w:val="Heading2"/>
      </w:pPr>
      <w:r>
        <w:t>Ethics, privacy, and security</w:t>
      </w:r>
    </w:p>
    <w:p>
      <w:pPr>
        <w:spacing w:after="160" w:line="320" w:lineRule="auto"/>
        <w:jc w:val="both"/>
      </w:pPr>
      <w:r>
        <w:rPr>
          <w:rFonts w:ascii="Calibri" w:hAnsi="Calibri"/>
          <w:b w:val="0"/>
          <w:i w:val="0"/>
          <w:sz w:val="22"/>
        </w:rPr>
        <w:t>The public-boundary study avoided account cookies, real provider credentials, private server credentials, customer data, and unauthorised access. The authenticated study used an authorised account, retained provider keys server-side, redacted account identifiers, revoked temporary benchmark tokens, and excluded ZeroTrade. Public packages must exclude private prompts, keys, raw customer or DNA data, locked evaluations, and exploit-enabling operational details.</w:t>
      </w:r>
    </w:p>
    <w:p>
      <w:pPr>
        <w:pStyle w:val="Heading2"/>
      </w:pPr>
      <w:r>
        <w:t>Conflict of interest</w:t>
      </w:r>
    </w:p>
    <w:p>
      <w:pPr>
        <w:spacing w:after="160" w:line="320" w:lineRule="auto"/>
        <w:jc w:val="both"/>
      </w:pPr>
      <w:r>
        <w:rPr>
          <w:rFonts w:ascii="Calibri" w:hAnsi="Calibri"/>
          <w:b w:val="0"/>
          <w:i w:val="0"/>
          <w:sz w:val="22"/>
        </w:rPr>
        <w:t>I created and maintain components in the TalkToAI, ZeroThink, and OpenZero ecosystem. This is a self-evaluation. I therefore publish negative results and avoid describing the work as an independent audit, certification, or comparative proof of superiority.</w:t>
      </w:r>
    </w:p>
    <w:p>
      <w:pPr>
        <w:pStyle w:val="Heading2"/>
      </w:pPr>
      <w:r>
        <w:t>AI-use disclosure</w:t>
      </w:r>
    </w:p>
    <w:p>
      <w:pPr>
        <w:spacing w:after="160" w:line="320" w:lineRule="auto"/>
        <w:jc w:val="both"/>
      </w:pPr>
      <w:r>
        <w:rPr>
          <w:rFonts w:ascii="Calibri" w:hAnsi="Calibri"/>
          <w:b w:val="0"/>
          <w:i w:val="0"/>
          <w:sz w:val="22"/>
        </w:rPr>
        <w:t>AI-assisted tools were used for corpus search, editorial consolidation, code support, and language refinement. I am responsible for the architecture, evidence selection, released artifacts, limitations, and final claims. Generated prose is not treated as an experimental observation.</w:t>
      </w:r>
    </w:p>
    <w:p>
      <w:pPr>
        <w:pStyle w:val="Heading2"/>
      </w:pPr>
      <w:r>
        <w:t>References</w:t>
      </w:r>
    </w:p>
    <w:p>
      <w:pPr>
        <w:pStyle w:val="ListNumber"/>
        <w:spacing w:after="80" w:line="290" w:lineRule="auto"/>
        <w:ind w:left="540" w:hanging="279"/>
      </w:pPr>
      <w:r>
        <w:rPr>
          <w:rFonts w:ascii="Calibri" w:hAnsi="Calibri"/>
          <w:b w:val="0"/>
          <w:i w:val="0"/>
          <w:sz w:val="22"/>
        </w:rPr>
        <w:t xml:space="preserve">Hussain, S. B. </w:t>
      </w:r>
      <w:r>
        <w:rPr>
          <w:rFonts w:ascii="Calibri" w:hAnsi="Calibri"/>
          <w:b w:val="0"/>
          <w:i/>
          <w:sz w:val="22"/>
        </w:rPr>
        <w:t>Boundary-Oriented Evaluation of a Deployed AI Agent Service: A Reproducible Public-Surface Case Study</w:t>
      </w:r>
      <w:r>
        <w:rPr>
          <w:rFonts w:ascii="Calibri" w:hAnsi="Calibri"/>
          <w:b w:val="0"/>
          <w:i w:val="0"/>
          <w:sz w:val="22"/>
        </w:rPr>
        <w:t>. Zenodo, 2026. https://doi.org/10.5281/zenodo.21581974</w:t>
      </w:r>
    </w:p>
    <w:p>
      <w:pPr>
        <w:pStyle w:val="ListNumber"/>
        <w:spacing w:after="80" w:line="290" w:lineRule="auto"/>
        <w:ind w:left="540" w:hanging="279"/>
      </w:pPr>
      <w:r>
        <w:rPr>
          <w:rFonts w:ascii="Calibri" w:hAnsi="Calibri"/>
          <w:b w:val="0"/>
          <w:i w:val="0"/>
          <w:sz w:val="22"/>
        </w:rPr>
        <w:t xml:space="preserve">Hussain, S. B. </w:t>
      </w:r>
      <w:r>
        <w:rPr>
          <w:rFonts w:ascii="Calibri" w:hAnsi="Calibri"/>
          <w:b w:val="0"/>
          <w:i/>
          <w:sz w:val="22"/>
        </w:rPr>
        <w:t>ZeroThink Architecture</w:t>
      </w:r>
      <w:r>
        <w:rPr>
          <w:rFonts w:ascii="Calibri" w:hAnsi="Calibri"/>
          <w:b w:val="0"/>
          <w:i w:val="0"/>
          <w:sz w:val="22"/>
        </w:rPr>
        <w:t>. Zenodo, 2026. https://doi.org/10.5281/zenodo.18305187</w:t>
      </w:r>
    </w:p>
    <w:p>
      <w:pPr>
        <w:pStyle w:val="ListNumber"/>
        <w:spacing w:after="80" w:line="290" w:lineRule="auto"/>
        <w:ind w:left="540" w:hanging="279"/>
      </w:pPr>
      <w:r>
        <w:rPr>
          <w:rFonts w:ascii="Calibri" w:hAnsi="Calibri"/>
          <w:b w:val="0"/>
          <w:i w:val="0"/>
          <w:sz w:val="22"/>
        </w:rPr>
        <w:t xml:space="preserve">National Institute of Standards and Technology. </w:t>
      </w:r>
      <w:r>
        <w:rPr>
          <w:rFonts w:ascii="Calibri" w:hAnsi="Calibri"/>
          <w:b w:val="0"/>
          <w:i/>
          <w:sz w:val="22"/>
        </w:rPr>
        <w:t>Artificial Intelligence Risk Management Framework (AI RMF 1.0)</w:t>
      </w:r>
      <w:r>
        <w:rPr>
          <w:rFonts w:ascii="Calibri" w:hAnsi="Calibri"/>
          <w:b w:val="0"/>
          <w:i w:val="0"/>
          <w:sz w:val="22"/>
        </w:rPr>
        <w:t>. NIST AI 100-1, 2023. https://doi.org/10.6028/NIST.AI.100-1</w:t>
      </w:r>
    </w:p>
    <w:p>
      <w:pPr>
        <w:pStyle w:val="ListNumber"/>
        <w:spacing w:after="80" w:line="290" w:lineRule="auto"/>
        <w:ind w:left="540" w:hanging="279"/>
      </w:pPr>
      <w:r>
        <w:rPr>
          <w:rFonts w:ascii="Calibri" w:hAnsi="Calibri"/>
          <w:b w:val="0"/>
          <w:i w:val="0"/>
          <w:sz w:val="22"/>
        </w:rPr>
        <w:t xml:space="preserve">National Institute of Standards and Technology. </w:t>
      </w:r>
      <w:r>
        <w:rPr>
          <w:rFonts w:ascii="Calibri" w:hAnsi="Calibri"/>
          <w:b w:val="0"/>
          <w:i/>
          <w:sz w:val="22"/>
        </w:rPr>
        <w:t>Technical Guide to Information Security Testing and Assessment</w:t>
      </w:r>
      <w:r>
        <w:rPr>
          <w:rFonts w:ascii="Calibri" w:hAnsi="Calibri"/>
          <w:b w:val="0"/>
          <w:i w:val="0"/>
          <w:sz w:val="22"/>
        </w:rPr>
        <w:t>. NIST SP 800-115, 2008. https://doi.org/10.6028/NIST.SP.800-115</w:t>
      </w:r>
    </w:p>
    <w:p>
      <w:pPr>
        <w:pStyle w:val="ListNumber"/>
        <w:spacing w:after="80" w:line="290" w:lineRule="auto"/>
        <w:ind w:left="540" w:hanging="279"/>
      </w:pPr>
      <w:r>
        <w:rPr>
          <w:rFonts w:ascii="Calibri" w:hAnsi="Calibri"/>
          <w:b w:val="0"/>
          <w:i w:val="0"/>
          <w:sz w:val="22"/>
        </w:rPr>
        <w:t xml:space="preserve">OWASP Foundation. </w:t>
      </w:r>
      <w:r>
        <w:rPr>
          <w:rFonts w:ascii="Calibri" w:hAnsi="Calibri"/>
          <w:b w:val="0"/>
          <w:i/>
          <w:sz w:val="22"/>
        </w:rPr>
        <w:t>Application Security Verification Standard 5.0.0</w:t>
      </w:r>
      <w:r>
        <w:rPr>
          <w:rFonts w:ascii="Calibri" w:hAnsi="Calibri"/>
          <w:b w:val="0"/>
          <w:i w:val="0"/>
          <w:sz w:val="22"/>
        </w:rPr>
        <w:t>. 2025. https://owasp.org/www-project-application-security-verification-standard/</w:t>
      </w:r>
    </w:p>
    <w:p>
      <w:pPr>
        <w:pStyle w:val="ListNumber"/>
        <w:spacing w:after="80" w:line="290" w:lineRule="auto"/>
        <w:ind w:left="540" w:hanging="279"/>
      </w:pPr>
      <w:r>
        <w:rPr>
          <w:rFonts w:ascii="Calibri" w:hAnsi="Calibri"/>
          <w:b w:val="0"/>
          <w:i w:val="0"/>
          <w:sz w:val="22"/>
        </w:rPr>
        <w:t xml:space="preserve">Mitchell, M., et al. Model Cards for Model Reporting. </w:t>
      </w:r>
      <w:r>
        <w:rPr>
          <w:rFonts w:ascii="Calibri" w:hAnsi="Calibri"/>
          <w:b w:val="0"/>
          <w:i/>
          <w:sz w:val="22"/>
        </w:rPr>
        <w:t>FAT</w:t>
      </w:r>
      <w:r>
        <w:rPr>
          <w:rFonts w:ascii="Calibri" w:hAnsi="Calibri"/>
          <w:b w:val="0"/>
          <w:i w:val="0"/>
          <w:sz w:val="22"/>
        </w:rPr>
        <w:t xml:space="preserve"> 2019. https://doi.org/10.1145/3287560.3287596</w:t>
      </w:r>
    </w:p>
    <w:p>
      <w:pPr>
        <w:pStyle w:val="ListNumber"/>
        <w:spacing w:after="80" w:line="290" w:lineRule="auto"/>
        <w:ind w:left="540" w:hanging="279"/>
      </w:pPr>
      <w:r>
        <w:rPr>
          <w:rFonts w:ascii="Calibri" w:hAnsi="Calibri"/>
          <w:b w:val="0"/>
          <w:i w:val="0"/>
          <w:sz w:val="22"/>
        </w:rPr>
        <w:t xml:space="preserve">Sculley, D., et al. Hidden Technical Debt in Machine Learning Systems. </w:t>
      </w:r>
      <w:r>
        <w:rPr>
          <w:rFonts w:ascii="Calibri" w:hAnsi="Calibri"/>
          <w:b w:val="0"/>
          <w:i/>
          <w:sz w:val="22"/>
        </w:rPr>
        <w:t>Advances in Neural Information Processing Systems 28</w:t>
      </w:r>
      <w:r>
        <w:rPr>
          <w:rFonts w:ascii="Calibri" w:hAnsi="Calibri"/>
          <w:b w:val="0"/>
          <w:i w:val="0"/>
          <w:sz w:val="22"/>
        </w:rPr>
        <w:t>, 2015.</w:t>
      </w:r>
    </w:p>
    <w:p>
      <w:pPr>
        <w:pStyle w:val="ListNumber"/>
        <w:spacing w:after="80" w:line="290" w:lineRule="auto"/>
        <w:ind w:left="540" w:hanging="279"/>
      </w:pPr>
      <w:r>
        <w:rPr>
          <w:rFonts w:ascii="Calibri" w:hAnsi="Calibri"/>
          <w:b w:val="0"/>
          <w:i w:val="0"/>
          <w:sz w:val="22"/>
        </w:rPr>
        <w:t xml:space="preserve">World Wide Web Consortium. </w:t>
      </w:r>
      <w:r>
        <w:rPr>
          <w:rFonts w:ascii="Calibri" w:hAnsi="Calibri"/>
          <w:b w:val="0"/>
          <w:i/>
          <w:sz w:val="22"/>
        </w:rPr>
        <w:t>PROV-O: The PROV Ontology</w:t>
      </w:r>
      <w:r>
        <w:rPr>
          <w:rFonts w:ascii="Calibri" w:hAnsi="Calibri"/>
          <w:b w:val="0"/>
          <w:i w:val="0"/>
          <w:sz w:val="22"/>
        </w:rPr>
        <w:t>. W3C Recommendation, 2013. https://www.w3.org/TR/prov-o/</w:t>
      </w:r>
    </w:p>
    <w:p>
      <w:pPr>
        <w:pStyle w:val="Heading2"/>
      </w:pPr>
      <w:r>
        <w:t>Appendix A. Released result files</w:t>
      </w:r>
    </w:p>
    <w:p>
      <w:pPr>
        <w:spacing w:after="160" w:line="320" w:lineRule="auto"/>
        <w:jc w:val="both"/>
      </w:pPr>
      <w:r>
        <w:rPr>
          <w:rFonts w:ascii="Calibri" w:hAnsi="Calibri"/>
          <w:b w:val="0"/>
          <w:i w:val="0"/>
          <w:sz w:val="22"/>
        </w:rPr>
        <w:t xml:space="preserve">Public-boundary results are in </w:t>
      </w:r>
      <w:r>
        <w:rPr>
          <w:rFonts w:ascii="Consolas" w:hAnsi="Consolas"/>
          <w:b w:val="0"/>
          <w:i w:val="0"/>
          <w:sz w:val="21"/>
        </w:rPr>
        <w:t>data/benchmarks/zerothink-system-benchmark-2026-07-09.csv</w:t>
      </w:r>
      <w:r>
        <w:rPr>
          <w:rFonts w:ascii="Calibri" w:hAnsi="Calibri"/>
          <w:b w:val="0"/>
          <w:i w:val="0"/>
          <w:sz w:val="22"/>
        </w:rPr>
        <w:t xml:space="preserve"> and its </w:t>
      </w:r>
      <w:r>
        <w:rPr>
          <w:rFonts w:ascii="Consolas" w:hAnsi="Consolas"/>
          <w:b w:val="0"/>
          <w:i w:val="0"/>
          <w:sz w:val="21"/>
        </w:rPr>
        <w:t>-summary-2026-07-09.json</w:t>
      </w:r>
      <w:r>
        <w:rPr>
          <w:rFonts w:ascii="Calibri" w:hAnsi="Calibri"/>
          <w:b w:val="0"/>
          <w:i w:val="0"/>
          <w:sz w:val="22"/>
        </w:rPr>
        <w:t xml:space="preserve"> companion. Authenticated-routing results are in </w:t>
      </w:r>
      <w:r>
        <w:rPr>
          <w:rFonts w:ascii="Consolas" w:hAnsi="Consolas"/>
          <w:b w:val="0"/>
          <w:i w:val="0"/>
          <w:sz w:val="21"/>
        </w:rPr>
        <w:t>data/benchmarks/zerothink-authenticated-intelligence-benchmark-2026-07-09.csv</w:t>
      </w:r>
      <w:r>
        <w:rPr>
          <w:rFonts w:ascii="Calibri" w:hAnsi="Calibri"/>
          <w:b w:val="0"/>
          <w:i w:val="0"/>
          <w:sz w:val="22"/>
        </w:rPr>
        <w:t xml:space="preserve"> and its summary JSON; the separate Spectra8 direct-route snapshot uses the same stem with </w:t>
      </w:r>
      <w:r>
        <w:rPr>
          <w:rFonts w:ascii="Consolas" w:hAnsi="Consolas"/>
          <w:b w:val="0"/>
          <w:i w:val="0"/>
          <w:sz w:val="21"/>
        </w:rPr>
        <w:t>-spectra8-only</w:t>
      </w:r>
      <w:r>
        <w:rPr>
          <w:rFonts w:ascii="Calibri" w:hAnsi="Calibri"/>
          <w:b w:val="0"/>
          <w:i w:val="0"/>
          <w:sz w:val="22"/>
        </w:rPr>
        <w:t xml:space="preserve"> before the extension.</w:t>
      </w:r>
    </w:p>
    <w:p>
      <w:pPr>
        <w:pStyle w:val="Heading2"/>
      </w:pPr>
      <w:r>
        <w:t>Appendix B. Supersession statement</w:t>
      </w:r>
    </w:p>
    <w:p>
      <w:pPr>
        <w:spacing w:after="160" w:line="320" w:lineRule="auto"/>
        <w:jc w:val="both"/>
      </w:pPr>
      <w:r>
        <w:rPr>
          <w:rFonts w:ascii="Calibri" w:hAnsi="Calibri"/>
          <w:b w:val="0"/>
          <w:i w:val="0"/>
          <w:sz w:val="22"/>
        </w:rPr>
        <w:t xml:space="preserve">This paper consolidates the unpublished uploads titled </w:t>
      </w:r>
      <w:r>
        <w:rPr>
          <w:rFonts w:ascii="Calibri" w:hAnsi="Calibri"/>
          <w:b w:val="0"/>
          <w:i/>
          <w:sz w:val="22"/>
        </w:rPr>
        <w:t>ZeroThink Swarm Intelligence Architecture</w:t>
      </w:r>
      <w:r>
        <w:rPr>
          <w:rFonts w:ascii="Calibri" w:hAnsi="Calibri"/>
          <w:b w:val="0"/>
          <w:i w:val="0"/>
          <w:sz w:val="22"/>
        </w:rPr>
        <w:t xml:space="preserve"> and </w:t>
      </w:r>
      <w:r>
        <w:rPr>
          <w:rFonts w:ascii="Calibri" w:hAnsi="Calibri"/>
          <w:b w:val="0"/>
          <w:i/>
          <w:sz w:val="22"/>
        </w:rPr>
        <w:t>ZeroThink: The Sovereign Reasoning Layer</w:t>
      </w:r>
      <w:r>
        <w:rPr>
          <w:rFonts w:ascii="Calibri" w:hAnsi="Calibri"/>
          <w:b w:val="0"/>
          <w:i w:val="0"/>
          <w:sz w:val="22"/>
        </w:rPr>
        <w:t>. It preserves their design vocabulary as historical context but supersedes claims that the system guarantees truth, prevents hallucination, performs quantum computation, holds contradictory realities in a physical sense, or has been independently validated merely because the work was discussed, routed, or viewed by an institution or company.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ZEROTHINK 1.0 | REPRODUCIBLE ARCHITECTURE | PUBLIC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