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s/font29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15.odttf" ContentType="application/vnd.openxmlformats-officedocument.obfuscatedFont"/>
  <Override PartName="/word/fonts/font9.odttf" ContentType="application/vnd.openxmlformats-officedocument.obfuscatedFont"/>
  <Override PartName="/word/fonts/font30.odttf" ContentType="application/vnd.openxmlformats-officedocument.obfuscatedFont"/>
  <Override PartName="/word/fonts/font28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19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10125" w:type="dxa"/>
        <w:jc w:val="left"/>
        <w:tblInd w:w="1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79"/>
        <w:gridCol w:w="2835"/>
        <w:gridCol w:w="2941"/>
        <w:gridCol w:w="1769"/>
      </w:tblGrid>
      <w:tr>
        <w:trPr>
          <w:tblHeader w:val="true"/>
          <w:trHeight w:val="225" w:hRule="atLeast"/>
        </w:trPr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1395F" w:val="clear"/>
          </w:tcPr>
          <w:p>
            <w:pPr>
              <w:pStyle w:val="Heading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0" w:name="_65x1p9c8h3l0"/>
            <w:bookmarkStart w:id="1" w:name="_65x1p9c8h3l0"/>
            <w:bookmarkEnd w:id="1"/>
          </w:p>
          <w:p>
            <w:pPr>
              <w:pStyle w:val="Heading4"/>
              <w:jc w:val="center"/>
              <w:rPr>
                <w:sz w:val="22"/>
                <w:szCs w:val="22"/>
              </w:rPr>
            </w:pPr>
            <w:bookmarkStart w:id="2" w:name="_aai6dyz0egup"/>
            <w:bookmarkEnd w:id="2"/>
            <w:r>
              <w:rPr>
                <w:sz w:val="22"/>
                <w:szCs w:val="22"/>
              </w:rPr>
              <w:t>FULL LEGAL 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1395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LOCATION (COUNTRY)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1395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EMAIL ADDRESS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1395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MARK X FOR ANY NON-CONTRIBUTING MEMBER</w:t>
            </w:r>
          </w:p>
        </w:tc>
      </w:tr>
      <w:tr>
        <w:trPr>
          <w:trHeight w:val="468" w:hRule="atLeast"/>
        </w:trPr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  <w:t>Saurav Pal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  <w:t>Sauravpal.work@gmail.com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left="270"/>
              <w:jc w:val="center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</w:tr>
      <w:tr>
        <w:trPr>
          <w:trHeight w:val="468" w:hRule="atLeast"/>
        </w:trPr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</w:tr>
      <w:tr>
        <w:trPr>
          <w:trHeight w:val="468" w:hRule="atLeast"/>
        </w:trPr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Calibri" w:hAnsi="Calibri" w:eastAsia="Calibri" w:cs="Calibri"/>
          <w:color w:val="41395F"/>
        </w:rPr>
      </w:pPr>
      <w:r>
        <w:rPr>
          <w:rFonts w:eastAsia="Calibri" w:cs="Calibri" w:ascii="Calibri" w:hAnsi="Calibri"/>
          <w:color w:val="41395F"/>
        </w:rPr>
      </w:r>
    </w:p>
    <w:p>
      <w:pPr>
        <w:pStyle w:val="normal1"/>
        <w:rPr>
          <w:rFonts w:ascii="Calibri" w:hAnsi="Calibri" w:eastAsia="Calibri" w:cs="Calibri"/>
          <w:b/>
          <w:bCs/>
          <w:color w:val="41395F"/>
        </w:rPr>
      </w:pPr>
      <w:r>
        <w:rPr>
          <w:rFonts w:eastAsia="Calibri" w:cs="Calibri" w:ascii="Calibri" w:hAnsi="Calibri"/>
          <w:b/>
          <w:bCs/>
          <w:color w:val="41395F"/>
        </w:rPr>
      </w:r>
    </w:p>
    <w:tbl>
      <w:tblPr>
        <w:tblStyle w:val="Table2"/>
        <w:tblW w:w="102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040"/>
        <w:gridCol w:w="8159"/>
      </w:tblGrid>
      <w:tr>
        <w:trPr>
          <w:trHeight w:val="440" w:hRule="atLeast"/>
        </w:trPr>
        <w:tc>
          <w:tcPr>
            <w:tcW w:w="10199" w:type="dxa"/>
            <w:gridSpan w:val="2"/>
            <w:tcBorders>
              <w:top w:val="single" w:sz="8" w:space="0" w:color="29333D"/>
              <w:left w:val="single" w:sz="8" w:space="0" w:color="29333D"/>
              <w:bottom w:val="single" w:sz="8" w:space="0" w:color="29333D"/>
              <w:right w:val="single" w:sz="8" w:space="0" w:color="29333D"/>
            </w:tcBorders>
            <w:shd w:fill="41395F" w:val="clear"/>
          </w:tcPr>
          <w:p>
            <w:pPr>
              <w:pStyle w:val="normal1"/>
              <w:widowControl w:val="false"/>
              <w:spacing w:lineRule="auto" w:line="240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Statement of integrity: </w:t>
            </w:r>
            <w:r>
              <w:rPr>
                <w:color w:val="FFFFFF"/>
              </w:rPr>
              <w:t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/>
        <w:tc>
          <w:tcPr>
            <w:tcW w:w="2040" w:type="dxa"/>
            <w:tcBorders>
              <w:top w:val="single" w:sz="8" w:space="0" w:color="29333D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member 1</w:t>
            </w:r>
          </w:p>
        </w:tc>
        <w:tc>
          <w:tcPr>
            <w:tcW w:w="8159" w:type="dxa"/>
            <w:tcBorders>
              <w:top w:val="single" w:sz="8" w:space="0" w:color="29333D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color w:val="41395F"/>
                <w:sz w:val="22"/>
                <w:szCs w:val="22"/>
              </w:rPr>
            </w:pPr>
            <w:r>
              <w:rPr>
                <w:b/>
                <w:bCs/>
                <w:color w:val="41395F"/>
                <w:sz w:val="22"/>
                <w:szCs w:val="22"/>
              </w:rPr>
              <w:t>Saurav Pal</w:t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member 2</w:t>
            </w:r>
          </w:p>
        </w:tc>
        <w:tc>
          <w:tcPr>
            <w:tcW w:w="8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color w:val="41395F"/>
                <w:sz w:val="22"/>
                <w:szCs w:val="22"/>
              </w:rPr>
            </w:pPr>
            <w:r>
              <w:rPr>
                <w:b/>
                <w:bCs/>
                <w:color w:val="41395F"/>
                <w:sz w:val="22"/>
                <w:szCs w:val="22"/>
              </w:rPr>
            </w:r>
          </w:p>
        </w:tc>
      </w:tr>
      <w:tr>
        <w:trPr/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member 3</w:t>
            </w:r>
          </w:p>
        </w:tc>
        <w:tc>
          <w:tcPr>
            <w:tcW w:w="8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  <w:color w:val="41395F"/>
                <w:sz w:val="22"/>
                <w:szCs w:val="22"/>
              </w:rPr>
            </w:pPr>
            <w:r>
              <w:rPr>
                <w:b/>
                <w:bCs/>
                <w:color w:val="41395F"/>
                <w:sz w:val="22"/>
                <w:szCs w:val="22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1018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185"/>
      </w:tblGrid>
      <w:tr>
        <w:trPr/>
        <w:tc>
          <w:tcPr>
            <w:tcW w:w="10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41395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 xml:space="preserve">Use the box below to explain any attempts to reach out to a non-contributing member. Type (N/A) if all members contributed.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Note: </w:t>
            </w:r>
            <w:r>
              <w:rPr>
                <w:color w:val="FFFFFF"/>
                <w:sz w:val="22"/>
                <w:szCs w:val="22"/>
              </w:rPr>
              <w:t>You may be required to provide proof of your outreach to non-contributing members upon request.</w:t>
            </w:r>
          </w:p>
        </w:tc>
      </w:tr>
      <w:tr>
        <w:trPr/>
        <w:tc>
          <w:tcPr>
            <w:tcW w:w="10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</w:r>
      <w:r>
        <w:br w:type="page"/>
      </w:r>
    </w:p>
    <w:p>
      <w:pPr>
        <w:pStyle w:val="normal1"/>
        <w:spacing w:before="0"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eastAsia="Calibri" w:cs="Calibri" w:ascii="Calibri" w:hAnsi="Calibri"/>
          <w:b/>
          <w:bCs/>
          <w:sz w:val="22"/>
          <w:szCs w:val="22"/>
        </w:rPr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17714" w:val="clear"/>
          </w:tcPr>
          <w:p>
            <w:pPr>
              <w:pStyle w:val="normal1"/>
              <w:numPr>
                <w:ilvl w:val="0"/>
                <w:numId w:val="2"/>
              </w:numPr>
              <w:ind w:hanging="360" w:left="360"/>
              <w:rPr>
                <w:b/>
                <w:bCs/>
                <w:sz w:val="22"/>
                <w:szCs w:val="22"/>
              </w:rPr>
            </w:pPr>
            <w:r>
              <w:rPr>
                <w:rFonts w:eastAsia="Nova Mono" w:cs="Nova Mono" w:ascii="Nova Mono" w:hAnsi="Nova Mono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eastAsia="Nova Mono" w:cs="Nova Mono" w:ascii="Nova Mono" w:hAnsi="Nova Mono"/>
                <w:b/>
                <w:bCs/>
                <w:sz w:val="22"/>
                <w:szCs w:val="22"/>
              </w:rPr>
              <w:t>On top left of your screen click on File →Download → Microsoft Word (.docx) to download this template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3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Upload the template in Google Drive and share it with your group members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left="3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Delete this page with the requirements before submitting your report. Leaving them will result in an increased similarity score on Turnitin.</w:t>
            </w:r>
          </w:p>
        </w:tc>
      </w:tr>
    </w:tbl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 w:before="0"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Keep in mind the following:</w:t>
      </w:r>
    </w:p>
    <w:p>
      <w:pPr>
        <w:pStyle w:val="normal1"/>
        <w:numPr>
          <w:ilvl w:val="0"/>
          <w:numId w:val="1"/>
        </w:numPr>
        <w:spacing w:lineRule="auto" w:line="276" w:before="0" w:after="180"/>
        <w:ind w:hanging="360" w:left="763"/>
        <w:rPr>
          <w:rFonts w:ascii="Roboto" w:hAnsi="Roboto" w:eastAsia="Roboto" w:cs="Roboto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Make sure you address all the questions in the GWP assignment document published in the Course Overview. </w:t>
      </w:r>
    </w:p>
    <w:p>
      <w:pPr>
        <w:pStyle w:val="normal1"/>
        <w:numPr>
          <w:ilvl w:val="0"/>
          <w:numId w:val="1"/>
        </w:numPr>
        <w:spacing w:lineRule="auto" w:line="276" w:before="0" w:after="180"/>
        <w:ind w:hanging="360" w:left="77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Follow the “Submission requirements and format’  instructions included in each Group Work Project Assignment, including report length.</w:t>
      </w:r>
    </w:p>
    <w:p>
      <w:pPr>
        <w:pStyle w:val="normal1"/>
        <w:numPr>
          <w:ilvl w:val="0"/>
          <w:numId w:val="1"/>
        </w:numPr>
        <w:spacing w:lineRule="auto" w:line="276" w:before="0" w:after="180"/>
        <w:ind w:hanging="360" w:left="763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Including in-text citations and related references is mandatory for all submissions.</w:t>
      </w:r>
      <w:r>
        <w:rPr>
          <w:color w:val="000000"/>
          <w:sz w:val="22"/>
          <w:szCs w:val="22"/>
        </w:rPr>
        <w:t xml:space="preserve"> You will receive a ‘0’ grade for missing in-text citations and references, or penalties for partial completion. Use the </w:t>
      </w:r>
      <w:hyperlink r:id="rId2">
        <w:r>
          <w:rPr>
            <w:rStyle w:val="ListLabel19"/>
            <w:b/>
            <w:bCs/>
            <w:color w:val="1155CC"/>
            <w:sz w:val="22"/>
            <w:szCs w:val="22"/>
            <w:u w:val="single"/>
          </w:rPr>
          <w:t>In-Text Citations and References Guide</w:t>
        </w:r>
      </w:hyperlink>
      <w:r>
        <w:rPr>
          <w:color w:val="000000"/>
          <w:sz w:val="22"/>
          <w:szCs w:val="22"/>
        </w:rPr>
        <w:t xml:space="preserve"> to learn how to include them.</w:t>
      </w:r>
    </w:p>
    <w:p>
      <w:pPr>
        <w:pStyle w:val="normal1"/>
        <w:numPr>
          <w:ilvl w:val="0"/>
          <w:numId w:val="1"/>
        </w:numPr>
        <w:spacing w:lineRule="auto" w:line="276" w:before="0" w:after="180"/>
        <w:ind w:hanging="360"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Additional writing aids: </w:t>
      </w:r>
      <w:hyperlink r:id="rId3">
        <w:r>
          <w:rPr>
            <w:rStyle w:val="ListLabel20"/>
            <w:color w:val="1155CC"/>
            <w:sz w:val="22"/>
            <w:szCs w:val="22"/>
            <w:u w:val="single"/>
          </w:rPr>
          <w:t>Anti-Plagiarism Guide</w:t>
        </w:r>
      </w:hyperlink>
      <w:r>
        <w:rPr>
          <w:color w:val="000000"/>
          <w:sz w:val="22"/>
          <w:szCs w:val="22"/>
        </w:rPr>
        <w:t xml:space="preserve">, </w:t>
      </w:r>
      <w:hyperlink r:id="rId4">
        <w:r>
          <w:rPr>
            <w:rStyle w:val="ListLabel20"/>
            <w:color w:val="1155CC"/>
            <w:sz w:val="22"/>
            <w:szCs w:val="22"/>
            <w:u w:val="single"/>
          </w:rPr>
          <w:t>Academic Writing Guide</w:t>
        </w:r>
      </w:hyperlink>
      <w:r>
        <w:rPr>
          <w:color w:val="000000"/>
          <w:sz w:val="22"/>
          <w:szCs w:val="22"/>
        </w:rPr>
        <w:t xml:space="preserve">, </w:t>
      </w:r>
      <w:hyperlink r:id="rId5">
        <w:r>
          <w:rPr>
            <w:rStyle w:val="ListLabel20"/>
            <w:color w:val="1155CC"/>
            <w:sz w:val="22"/>
            <w:szCs w:val="22"/>
            <w:u w:val="single"/>
          </w:rPr>
          <w:t>Online Writing Resources</w:t>
        </w:r>
      </w:hyperlink>
      <w:r>
        <w:rPr>
          <w:color w:val="000000"/>
          <w:sz w:val="22"/>
          <w:szCs w:val="22"/>
        </w:rPr>
        <w:t>.</w:t>
      </w:r>
    </w:p>
    <w:p>
      <w:pPr>
        <w:pStyle w:val="normal1"/>
        <w:numPr>
          <w:ilvl w:val="0"/>
          <w:numId w:val="1"/>
        </w:numPr>
        <w:spacing w:lineRule="auto" w:line="276" w:before="0" w:after="180"/>
        <w:ind w:hanging="360" w:left="763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To avoid an increase in the Turnitin similarity score, </w:t>
      </w:r>
      <w:r>
        <w:rPr>
          <w:b/>
          <w:bCs/>
          <w:color w:val="000000"/>
          <w:sz w:val="22"/>
          <w:szCs w:val="22"/>
        </w:rPr>
        <w:t>DO NOT copy the questions</w:t>
      </w:r>
      <w:r>
        <w:rPr>
          <w:color w:val="000000"/>
          <w:sz w:val="22"/>
          <w:szCs w:val="22"/>
        </w:rPr>
        <w:t xml:space="preserve"> from the GWP assignment document.</w:t>
      </w:r>
    </w:p>
    <w:p>
      <w:pPr>
        <w:pStyle w:val="normal1"/>
        <w:numPr>
          <w:ilvl w:val="0"/>
          <w:numId w:val="1"/>
        </w:numPr>
        <w:spacing w:lineRule="auto" w:line="240" w:before="0" w:after="60"/>
        <w:ind w:hanging="360" w:left="770"/>
        <w:rPr>
          <w:rFonts w:ascii="Roboto" w:hAnsi="Roboto" w:eastAsia="Roboto" w:cs="Roboto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Submission format tips:</w:t>
      </w:r>
    </w:p>
    <w:p>
      <w:pPr>
        <w:pStyle w:val="normal1"/>
        <w:numPr>
          <w:ilvl w:val="1"/>
          <w:numId w:val="1"/>
        </w:numPr>
        <w:spacing w:lineRule="auto" w:line="240" w:before="0" w:after="60"/>
        <w:ind w:hanging="360" w:left="1490"/>
        <w:rPr>
          <w:rFonts w:ascii="Roboto" w:hAnsi="Roboto" w:eastAsia="Roboto" w:cs="Roboto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Use the same font type and size and same format throughout your report. You can use Calibri 11, Arial 10, or Times 11.</w:t>
      </w:r>
    </w:p>
    <w:p>
      <w:pPr>
        <w:pStyle w:val="normal1"/>
        <w:numPr>
          <w:ilvl w:val="1"/>
          <w:numId w:val="1"/>
        </w:numPr>
        <w:spacing w:lineRule="auto" w:line="240" w:before="0" w:after="60"/>
        <w:ind w:hanging="360" w:left="1490"/>
        <w:rPr>
          <w:rFonts w:ascii="Roboto" w:hAnsi="Roboto" w:eastAsia="Roboto" w:cs="Roboto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 NOT split charts, graphs, and tables between two separate pages.</w:t>
      </w:r>
    </w:p>
    <w:p>
      <w:pPr>
        <w:pStyle w:val="normal1"/>
        <w:numPr>
          <w:ilvl w:val="1"/>
          <w:numId w:val="1"/>
        </w:numPr>
        <w:spacing w:lineRule="auto" w:line="240" w:before="0" w:after="60"/>
        <w:ind w:hanging="360" w:left="1490"/>
        <w:rPr>
          <w:rFonts w:ascii="Roboto" w:hAnsi="Roboto" w:eastAsia="Roboto" w:cs="Roboto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Always include the axes labels and scales in your graphs as well as an explanation of how the data should be read.</w:t>
      </w:r>
    </w:p>
    <w:p>
      <w:pPr>
        <w:pStyle w:val="normal1"/>
        <w:numPr>
          <w:ilvl w:val="0"/>
          <w:numId w:val="1"/>
        </w:numPr>
        <w:spacing w:lineRule="auto" w:line="240" w:before="180" w:after="180"/>
        <w:ind w:hanging="360" w:left="763"/>
        <w:rPr>
          <w:rFonts w:ascii="Roboto" w:hAnsi="Roboto" w:eastAsia="Roboto" w:cs="Roboto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 the </w:t>
      </w:r>
      <w:hyperlink r:id="rId6">
        <w:r>
          <w:rPr>
            <w:rStyle w:val="ListLabel21"/>
            <w:color w:val="0563C1"/>
            <w:sz w:val="22"/>
            <w:szCs w:val="22"/>
            <w:u w:val="single"/>
          </w:rPr>
          <w:t>LIRN Library</w:t>
        </w:r>
      </w:hyperlink>
      <w:r>
        <w:rPr>
          <w:color w:val="000000"/>
          <w:sz w:val="22"/>
          <w:szCs w:val="22"/>
        </w:rPr>
        <w:t xml:space="preserve"> for your research. It can be accessed via the left navigation pane inside the WQU learning platform.</w:t>
      </w:r>
    </w:p>
    <w:p>
      <w:pPr>
        <w:pStyle w:val="normal1"/>
        <w:numPr>
          <w:ilvl w:val="0"/>
          <w:numId w:val="1"/>
        </w:numPr>
        <w:spacing w:lineRule="auto" w:line="240" w:before="180" w:after="180"/>
        <w:ind w:hanging="360" w:left="763"/>
        <w:rPr>
          <w:color w:val="000000"/>
          <w:sz w:val="22"/>
          <w:szCs w:val="22"/>
          <w:u w:val="none"/>
        </w:rPr>
      </w:pPr>
      <w:r>
        <w:rPr>
          <w:color w:val="000000"/>
          <w:sz w:val="22"/>
          <w:szCs w:val="22"/>
        </w:rPr>
        <w:t>Carefully read</w:t>
      </w:r>
      <w:r>
        <w:rPr/>
        <w:t xml:space="preserve">  </w:t>
      </w:r>
      <w:hyperlink r:id="rId7">
        <w:r>
          <w:rPr>
            <w:rStyle w:val="ListLabel22"/>
            <w:b/>
            <w:bCs/>
            <w:color w:val="1155CC"/>
            <w:u w:val="single"/>
          </w:rPr>
          <w:t>Academic Policy on the use of AI</w:t>
        </w:r>
      </w:hyperlink>
      <w:r>
        <w:rPr/>
        <w:t xml:space="preserve"> explaining how the use of AI tools is restricted and regulated. Severe penalties apply for excessive and improper use of AI</w:t>
      </w:r>
    </w:p>
    <w:p>
      <w:pPr>
        <w:pStyle w:val="normal1"/>
        <w:spacing w:lineRule="auto" w:line="276" w:before="0" w:after="180"/>
        <w:ind w:hanging="0" w:left="770"/>
        <w:rPr>
          <w:b/>
          <w:bCs/>
          <w:i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>The PDF file with your report must be uploaded separately from the zipped folder that includes any other types of  files. This allows Turnitin to generate a similarity report.</w:t>
      </w:r>
    </w:p>
    <w:p>
      <w:pPr>
        <w:pStyle w:val="normal1"/>
        <w:spacing w:lineRule="auto" w:line="276" w:before="0" w:after="180"/>
        <w:ind w:hanging="0" w:left="77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720" w:top="1440" w:footer="648" w:bottom="1440"/>
      <w:pgNumType w:start="0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Roboto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Calibri">
    <w:charset w:val="01"/>
    <w:family w:val="roman"/>
    <w:pitch w:val="variable"/>
  </w:font>
  <w:font w:name="Nova Mono">
    <w:charset w:val="01"/>
    <w:family w:val="roman"/>
    <w:pitch w:val="variable"/>
  </w:font>
  <w:font w:name="Roboto">
    <w:altName w:val="Helvetica Neue"/>
    <w:charset w:val="01"/>
    <w:family w:val="auto"/>
    <w:pitch w:val="default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Noto Sans Symbols">
    <w:charset w:val="01"/>
    <w:family w:val="swiss"/>
    <w:pitch w:val="variable"/>
    <w:embedRegular r:id="rId25" w:fontKey="{19014A78-CABC-4EF0-12AC-5CD89AEFDE19}"/>
    <w:embedBold r:id="rId26" w:fontKey="{1A014A78-CABC-4EF0-12AC-5CD89AEFDE1A}"/>
  </w:font>
  <w:font w:name="Courier New">
    <w:charset w:val="01"/>
    <w:family w:val="modern"/>
    <w:pitch w:val="fixed"/>
    <w:embedRegular r:id="rId27" w:fontKey="{1B014A78-CABC-4EF0-12AC-5CD89AEFDE1B}"/>
    <w:embedBold r:id="rId28" w:fontKey="{1C014A78-CABC-4EF0-12AC-5CD89AEFDE1C}"/>
    <w:embedItalic r:id="rId29" w:fontKey="{1D014A78-CABC-4EF0-12AC-5CD89AEFDE1D}"/>
    <w:embedBoldItalic r:id="rId30" w:fontKey="{1E014A78-CABC-4EF0-12AC-5CD89AEFDE1E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ubtitle"/>
      <w:tabs>
        <w:tab w:val="clear" w:pos="720"/>
        <w:tab w:val="right" w:pos="9360" w:leader="none"/>
      </w:tabs>
      <w:jc w:val="right"/>
      <w:rPr>
        <w:rFonts w:ascii="Roboto" w:hAnsi="Roboto" w:eastAsia="Roboto" w:cs="Roboto"/>
        <w:color w:val="CCCCCC"/>
        <w:sz w:val="15"/>
        <w:szCs w:val="15"/>
      </w:rPr>
    </w:pPr>
    <w:bookmarkStart w:id="5" w:name="_3njj2xp27vi6"/>
    <w:bookmarkEnd w:id="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ubtitle"/>
      <w:tabs>
        <w:tab w:val="clear" w:pos="720"/>
        <w:tab w:val="right" w:pos="9360" w:leader="none"/>
      </w:tabs>
      <w:jc w:val="right"/>
      <w:rPr>
        <w:rFonts w:ascii="Roboto" w:hAnsi="Roboto" w:eastAsia="Roboto" w:cs="Roboto"/>
        <w:color w:val="CCCCCC"/>
        <w:sz w:val="15"/>
        <w:szCs w:val="15"/>
      </w:rPr>
    </w:pPr>
    <w:bookmarkStart w:id="6" w:name="_3njj2xp27vi6"/>
    <w:bookmarkEnd w:id="6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ubtitle"/>
      <w:ind w:hanging="0" w:left="0"/>
      <w:rPr/>
    </w:pPr>
    <w:bookmarkStart w:id="3" w:name="_qabbsffvlmwa"/>
    <w:bookmarkEnd w:id="3"/>
    <w:r>
      <w:rPr>
        <w:b/>
        <w:bCs/>
        <w:color w:val="29333D"/>
        <w:sz w:val="24"/>
        <w:szCs w:val="24"/>
      </w:rPr>
      <w:t>GROUP WORK PROJECT #</w:t>
    </w:r>
    <w:r>
      <w:rPr>
        <w:color w:val="29333D"/>
        <w:sz w:val="24"/>
        <w:szCs w:val="24"/>
      </w:rPr>
      <w:t xml:space="preserve"> </w:t>
    </w:r>
    <w:r>
      <w:rPr>
        <w:color w:val="29333D"/>
        <w:sz w:val="24"/>
        <w:szCs w:val="24"/>
      </w:rPr>
      <w:t>1</w:t>
    </w:r>
    <w:r>
      <w:rPr>
        <w:color w:val="29333D"/>
        <w:sz w:val="24"/>
        <w:szCs w:val="24"/>
      </w:rPr>
      <w:tab/>
      <w:tab/>
      <w:tab/>
    </w:r>
    <w:r>
      <w:rPr>
        <w:rFonts w:eastAsia="Calibri" w:cs="Calibri" w:ascii="Calibri" w:hAnsi="Calibri"/>
        <w:color w:val="41395F"/>
        <w:sz w:val="24"/>
        <w:szCs w:val="24"/>
      </w:rPr>
      <w:t>MScFE 610: FINANCIAL ECONOEMTRICS</w:t>
    </w:r>
  </w:p>
  <w:p>
    <w:pPr>
      <w:pStyle w:val="normal1"/>
      <w:rPr/>
    </w:pPr>
    <w:r>
      <w:rPr>
        <w:b/>
        <w:bCs/>
      </w:rPr>
      <w:t>Group Number:</w:t>
    </w:r>
    <w:r>
      <w:rPr/>
      <w:t xml:space="preserve"> </w:t>
    </w:r>
    <w:r>
      <w:rPr>
        <w:rFonts w:ascii="Roboto;Helvetica Neue;Arial;Helvetica;sans-serif" w:hAnsi="Roboto;Helvetica Neue;Arial;Helvetica;sans-serif"/>
        <w:b/>
        <w:i w:val="false"/>
        <w:caps w:val="false"/>
        <w:smallCaps w:val="false"/>
        <w:color w:val="41395F"/>
        <w:spacing w:val="0"/>
        <w:sz w:val="21"/>
        <w:u w:val="none"/>
      </w:rPr>
      <w:t>17817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ubtitle"/>
      <w:ind w:hanging="0" w:left="0"/>
      <w:rPr/>
    </w:pPr>
    <w:bookmarkStart w:id="4" w:name="_qabbsffvlmwa"/>
    <w:bookmarkEnd w:id="4"/>
    <w:r>
      <w:rPr>
        <w:b/>
        <w:bCs/>
        <w:color w:val="29333D"/>
        <w:sz w:val="24"/>
        <w:szCs w:val="24"/>
      </w:rPr>
      <w:t>GROUP WORK PROJECT #</w:t>
    </w:r>
    <w:r>
      <w:rPr>
        <w:color w:val="29333D"/>
        <w:sz w:val="24"/>
        <w:szCs w:val="24"/>
      </w:rPr>
      <w:t xml:space="preserve"> </w:t>
    </w:r>
    <w:r>
      <w:rPr>
        <w:color w:val="29333D"/>
        <w:sz w:val="24"/>
        <w:szCs w:val="24"/>
      </w:rPr>
      <w:t>1</w:t>
    </w:r>
    <w:r>
      <w:rPr>
        <w:color w:val="29333D"/>
        <w:sz w:val="24"/>
        <w:szCs w:val="24"/>
      </w:rPr>
      <w:tab/>
      <w:tab/>
      <w:tab/>
    </w:r>
    <w:r>
      <w:rPr>
        <w:rFonts w:eastAsia="Calibri" w:cs="Calibri" w:ascii="Calibri" w:hAnsi="Calibri"/>
        <w:color w:val="41395F"/>
        <w:sz w:val="24"/>
        <w:szCs w:val="24"/>
      </w:rPr>
      <w:t>MScFE 610: FINANCIAL ECONOEMTRICS</w:t>
    </w:r>
  </w:p>
  <w:p>
    <w:pPr>
      <w:pStyle w:val="normal1"/>
      <w:rPr/>
    </w:pPr>
    <w:r>
      <w:rPr>
        <w:b/>
        <w:bCs/>
      </w:rPr>
      <w:t>Group Number:</w:t>
    </w:r>
    <w:r>
      <w:rPr/>
      <w:t xml:space="preserve"> </w:t>
    </w:r>
    <w:r>
      <w:rPr>
        <w:rFonts w:ascii="Roboto;Helvetica Neue;Arial;Helvetica;sans-serif" w:hAnsi="Roboto;Helvetica Neue;Arial;Helvetica;sans-serif"/>
        <w:b/>
        <w:i w:val="false"/>
        <w:caps w:val="false"/>
        <w:smallCaps w:val="false"/>
        <w:color w:val="41395F"/>
        <w:spacing w:val="0"/>
        <w:sz w:val="21"/>
        <w:u w:val="none"/>
      </w:rPr>
      <w:t>17817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7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1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3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7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9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3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Roboto" w:hAnsi="Roboto" w:eastAsia="Roboto" w:cs="Roboto"/>
        <w:color w:val="29333D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Roboto" w:hAnsi="Roboto" w:eastAsia="Roboto" w:cs="Roboto"/>
      <w:color w:val="29333D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0" w:after="60"/>
    </w:pPr>
    <w:rPr>
      <w:b/>
      <w:bCs/>
      <w:color w:val="004974"/>
      <w:sz w:val="44"/>
      <w:szCs w:val="44"/>
      <w:shd w:fill="auto" w:val="clear"/>
    </w:rPr>
  </w:style>
  <w:style w:type="paragraph" w:styleId="Heading2">
    <w:name w:val="Heading 2"/>
    <w:basedOn w:val="normal1"/>
    <w:next w:val="normal1"/>
    <w:qFormat/>
    <w:pPr>
      <w:keepNext w:val="true"/>
      <w:keepLines/>
      <w:shd w:val="clear" w:fill="FFFFFF"/>
      <w:spacing w:lineRule="auto" w:line="240" w:before="300" w:after="300"/>
    </w:pPr>
    <w:rPr>
      <w:b/>
      <w:bCs/>
      <w:color w:val="004974"/>
      <w:sz w:val="32"/>
      <w:szCs w:val="32"/>
      <w:shd w:fill="auto" w:val="clear"/>
    </w:rPr>
  </w:style>
  <w:style w:type="paragraph" w:styleId="Heading3">
    <w:name w:val="Heading 3"/>
    <w:basedOn w:val="normal1"/>
    <w:next w:val="normal1"/>
    <w:qFormat/>
    <w:pPr>
      <w:keepNext w:val="true"/>
      <w:keepLines/>
    </w:pPr>
    <w:rPr>
      <w:b/>
      <w:bCs/>
      <w:color w:val="004974"/>
      <w:shd w:fill="auto" w:val="clear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/>
    </w:pPr>
    <w:rPr>
      <w:b/>
      <w:bCs/>
      <w:color w:val="FFFFFF"/>
      <w:sz w:val="20"/>
      <w:szCs w:val="20"/>
      <w:shd w:fill="auto" w:val="clear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/>
    </w:pPr>
    <w:rPr>
      <w:b/>
      <w:bCs/>
      <w:color w:val="E17714"/>
      <w:u w:val="single"/>
    </w:rPr>
  </w:style>
  <w:style w:type="paragraph" w:styleId="Heading6">
    <w:name w:val="Heading 6"/>
    <w:basedOn w:val="normal1"/>
    <w:next w:val="normal1"/>
    <w:qFormat/>
    <w:pPr>
      <w:keepNext w:val="true"/>
      <w:keepLines/>
      <w:shd w:val="clear" w:fill="FFFFFF"/>
      <w:spacing w:lineRule="auto" w:line="240" w:before="180" w:after="300"/>
      <w:jc w:val="center"/>
    </w:pPr>
    <w:rPr>
      <w:rFonts w:ascii="Palatino" w:hAnsi="Palatino" w:eastAsia="Palatino" w:cs="Palatino"/>
      <w:i/>
      <w:iCs/>
      <w:color w:val="434343"/>
      <w:highlight w:val="whit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Roboto" w:hAnsi="Roboto" w:eastAsia="Roboto" w:cs="Roboto"/>
      <w:color w:val="29333D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/>
    </w:pPr>
    <w:rPr>
      <w:b/>
      <w:bCs/>
      <w:color w:val="004974"/>
      <w:sz w:val="52"/>
      <w:szCs w:val="52"/>
      <w:shd w:fill="auto" w:val="clear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/>
    </w:pPr>
    <w:rPr>
      <w:color w:val="B7B7B7"/>
      <w:sz w:val="20"/>
      <w:szCs w:val="20"/>
      <w:shd w:fill="auto" w:val="clea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QJBsqKxvhrtsmHHOk8KX_N77MXzrD9kb/view?usp=drive_link" TargetMode="External"/><Relationship Id="rId3" Type="http://schemas.openxmlformats.org/officeDocument/2006/relationships/hyperlink" Target="https://drive.google.com/file/d/1PZ7WLUwtFFmRoIzESv4i6KkOqZaW21zD/view?usp=drive_link" TargetMode="External"/><Relationship Id="rId4" Type="http://schemas.openxmlformats.org/officeDocument/2006/relationships/hyperlink" Target="https://drive.google.com/file/d/1Jyh9rYKi2MV626d9fpfe9wYREXDQakld/view?usp=drive_link" TargetMode="External"/><Relationship Id="rId5" Type="http://schemas.openxmlformats.org/officeDocument/2006/relationships/hyperlink" Target="https://drive.google.com/file/d/1k_EHz4sbsjLD55Ba0MICsDHP2DMPDAI1/view?usp=drive_link" TargetMode="External"/><Relationship Id="rId6" Type="http://schemas.openxmlformats.org/officeDocument/2006/relationships/hyperlink" Target="https://proxy.lirn.net/WorldQuantUniv?_rwpLaunch=true&amp;groupID=2" TargetMode="External"/><Relationship Id="rId7" Type="http://schemas.openxmlformats.org/officeDocument/2006/relationships/hyperlink" Target="https://drive.google.com/file/d/1vAvrVRRknXvi5BXDciuvZ7AxZT5X8NPZ/view?usp=sharing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3</Pages>
  <Words>444</Words>
  <Characters>2270</Characters>
  <CharactersWithSpaces>2674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2026-09-27T11:20:08Z</dcterms:modified>
  <cp:revision>1</cp:revision>
  <dc:subject/>
  <dc:title/>
</cp:coreProperties>
</file>