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006B6B"/>
          <w:sz w:val="52"/>
          <w:szCs w:val="52"/>
        </w:rPr>
        <w:t xml:space="preserve">ReserveTMK</w:t>
      </w:r>
    </w:p>
    <w:p>
      <w:pPr>
        <w:spacing w:before="0" w:after="60"/>
      </w:pPr>
      <w:r>
        <w:rPr>
          <w:rFonts w:ascii="Arial" w:cs="Arial" w:eastAsia="Arial" w:hAnsi="Arial"/>
          <w:color w:val="1A1A1A"/>
          <w:sz w:val="32"/>
          <w:szCs w:val="32"/>
        </w:rPr>
        <w:t xml:space="preserve">Māori Outcomes Funder Profile</w:t>
      </w:r>
    </w:p>
    <w:p>
      <w:pPr>
        <w:spacing w:before="0" w:after="60"/>
      </w:pPr>
      <w:r>
        <w:rPr>
          <w:rFonts w:ascii="Arial" w:cs="Arial" w:eastAsia="Arial" w:hAnsi="Arial"/>
          <w:i/>
          <w:iCs/>
          <w:color w:val="595959"/>
          <w:sz w:val="20"/>
          <w:szCs w:val="20"/>
        </w:rPr>
        <w:t xml:space="preserve">Aligned to Tāmaki Ora 2025–2027 | Ngā Mātārae / Auckland Council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Organisation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ReserveTMK (Reserve Tāmaki)</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Glen Innes, Tāmaki Makaurau</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Community innovation and coworking hub supporting Māori entrepreneurs and enterprises</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Primary Funder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Ngā Mātārae – Māori Outcomes Directorate, Auckland Council</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Fund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Māori Outcomes Fund (MOF)</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Tāmaki Ora 2025–2027</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MOF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Approved – 3-year investment (via Tātaki Auckland Unlimited application)</w:t>
            </w:r>
          </w:p>
        </w:tc>
      </w:tr>
      <w:tr>
        <w:tc>
          <w:tcPr>
            <w:tcW w:type="dxa" w:w="28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Profile 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Guide reporting, funding conversations and partnership alignment</w:t>
            </w:r>
          </w:p>
        </w:tc>
      </w:tr>
    </w:tbl>
    <w:p>
      <w:pPr>
        <w:spacing w:before="60" w:after="60"/>
      </w:pPr>
      <w:r>
        <w:t xml:space="preserve"/>
      </w:r>
    </w:p>
    <w:p>
      <w:pPr>
        <w:pStyle w:val="Heading1"/>
        <w:pBdr>
          <w:bottom w:val="single" w:color="006B6B" w:sz="8" w:space="4"/>
        </w:pBdr>
        <w:spacing w:before="360" w:after="120"/>
      </w:pPr>
      <w:r>
        <w:rPr>
          <w:rFonts w:ascii="Arial" w:cs="Arial" w:eastAsia="Arial" w:hAnsi="Arial"/>
          <w:b/>
          <w:bCs/>
          <w:color w:val="006B6B"/>
          <w:sz w:val="28"/>
          <w:szCs w:val="28"/>
        </w:rPr>
        <w:t xml:space="preserve">1. Who We Are</w:t>
      </w:r>
    </w:p>
    <w:p>
      <w:pPr>
        <w:spacing w:before="60" w:after="60"/>
      </w:pPr>
      <w:r>
        <w:rPr>
          <w:rFonts w:ascii="Arial" w:cs="Arial" w:eastAsia="Arial" w:hAnsi="Arial"/>
          <w:color w:val="595959"/>
          <w:sz w:val="22"/>
          <w:szCs w:val="22"/>
        </w:rPr>
        <w:t xml:space="preserve">ReserveTMK is a community innovation and coworking hub based in Glen Innes, Tāmaki Makaurau. We exist to support Māori entrepreneurs, local enterprises and community-led kaupapa in the Tāmaki rohe.</w:t>
      </w:r>
    </w:p>
    <w:p>
      <w:pPr>
        <w:spacing w:before="60" w:after="60"/>
      </w:pPr>
      <w:r>
        <w:t xml:space="preserve"/>
      </w:r>
    </w:p>
    <w:p>
      <w:pPr>
        <w:spacing w:before="60" w:after="60"/>
      </w:pPr>
      <w:r>
        <w:rPr>
          <w:rFonts w:ascii="Arial" w:cs="Arial" w:eastAsia="Arial" w:hAnsi="Arial"/>
          <w:color w:val="595959"/>
          <w:sz w:val="22"/>
          <w:szCs w:val="22"/>
        </w:rPr>
        <w:t xml:space="preserve">We are not a social service and we are not a marae. We are infrastructure for Māori economic and community self-determination — a place where people can show up, build, connect and grow.</w:t>
      </w:r>
    </w:p>
    <w:p>
      <w:pPr>
        <w:spacing w:before="60" w:after="60"/>
      </w:pPr>
      <w:r>
        <w:t xml:space="preserve"/>
      </w:r>
    </w:p>
    <w:p>
      <w:pPr>
        <w:spacing w:before="60" w:after="60"/>
      </w:pPr>
      <w:r>
        <w:rPr>
          <w:rFonts w:ascii="Arial" w:cs="Arial" w:eastAsia="Arial" w:hAnsi="Arial"/>
          <w:color w:val="595959"/>
          <w:sz w:val="22"/>
          <w:szCs w:val="22"/>
        </w:rPr>
        <w:t xml:space="preserve">The hub sits at the intersection of three things the Tāmaki community needs most: a physical space to work from, access to networks and support, and a sense of belonging to something collective.</w:t>
      </w:r>
    </w:p>
    <w:p>
      <w:pPr>
        <w:spacing w:before="60" w:after="60"/>
      </w:pPr>
      <w:r>
        <w:t xml:space="preserve"/>
      </w:r>
    </w:p>
    <w:p>
      <w:pPr>
        <w:pStyle w:val="Heading1"/>
        <w:pBdr>
          <w:bottom w:val="single" w:color="006B6B" w:sz="8" w:space="4"/>
        </w:pBdr>
        <w:spacing w:before="360" w:after="120"/>
      </w:pPr>
      <w:r>
        <w:rPr>
          <w:rFonts w:ascii="Arial" w:cs="Arial" w:eastAsia="Arial" w:hAnsi="Arial"/>
          <w:b/>
          <w:bCs/>
          <w:color w:val="006B6B"/>
          <w:sz w:val="28"/>
          <w:szCs w:val="28"/>
        </w:rPr>
        <w:t xml:space="preserve">2. Our Place in the Māori Outcomes Fund</w:t>
      </w:r>
    </w:p>
    <w:p>
      <w:pPr>
        <w:spacing w:before="60" w:after="60"/>
      </w:pPr>
      <w:r>
        <w:rPr>
          <w:rFonts w:ascii="Arial" w:cs="Arial" w:eastAsia="Arial" w:hAnsi="Arial"/>
          <w:color w:val="595959"/>
          <w:sz w:val="22"/>
          <w:szCs w:val="22"/>
        </w:rPr>
        <w:t xml:space="preserve">ReserveTMK was named alongside Te Ngāhere (Henderson) and Grid MNK (Manukau) as one of three innovation hubs approved for three years of Māori Outcomes Fund investment, following an application by Tātaki Auckland Unlimited. This positions ReserveTMK as a recognised vehicle for Māori outcomes delivery within the Auckland Council group.</w:t>
      </w:r>
    </w:p>
    <w:p>
      <w:pPr>
        <w:spacing w:before="60" w:after="60"/>
      </w:pPr>
      <w:r>
        <w:t xml:space="preserve"/>
      </w:r>
    </w:p>
    <w:p>
      <w:pPr>
        <w:spacing w:before="60" w:after="60"/>
      </w:pPr>
      <w:r>
        <w:rPr>
          <w:rFonts w:ascii="Arial" w:cs="Arial" w:eastAsia="Arial" w:hAnsi="Arial"/>
          <w:color w:val="595959"/>
          <w:sz w:val="22"/>
          <w:szCs w:val="22"/>
        </w:rPr>
        <w:t xml:space="preserve">This profile documents how we track, report and communicate against those outcomes — so that our mahi is visible, measurable and aligned to what Ngā Mātārae needs to see.</w:t>
      </w:r>
    </w:p>
    <w:p>
      <w:pPr>
        <w:spacing w:before="60" w:after="60"/>
      </w:pPr>
      <w:r>
        <w:t xml:space="preserve"/>
      </w:r>
    </w:p>
    <w:p>
      <w:pPr>
        <w:pStyle w:val="Heading1"/>
        <w:pBdr>
          <w:bottom w:val="single" w:color="006B6B" w:sz="8" w:space="4"/>
        </w:pBdr>
        <w:spacing w:before="360" w:after="120"/>
      </w:pPr>
      <w:r>
        <w:rPr>
          <w:rFonts w:ascii="Arial" w:cs="Arial" w:eastAsia="Arial" w:hAnsi="Arial"/>
          <w:b/>
          <w:bCs/>
          <w:color w:val="006B6B"/>
          <w:sz w:val="28"/>
          <w:szCs w:val="28"/>
        </w:rPr>
        <w:t xml:space="preserve">3. Tāmaki Ora Alignment</w:t>
      </w:r>
    </w:p>
    <w:p>
      <w:pPr>
        <w:spacing w:before="60" w:after="60"/>
      </w:pPr>
      <w:r>
        <w:rPr>
          <w:rFonts w:ascii="Arial" w:cs="Arial" w:eastAsia="Arial" w:hAnsi="Arial"/>
          <w:color w:val="595959"/>
          <w:sz w:val="22"/>
          <w:szCs w:val="22"/>
        </w:rPr>
        <w:t xml:space="preserve">Tāmaki Ora structures Māori outcomes across seven pou (outcome areas). The table below maps ReserveTMK's mahi to the pou most relevant to our kaupapa.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Tāmaki Ora Pou</w:t>
            </w:r>
          </w:p>
        </w:tc>
        <w:tc>
          <w:tcPr>
            <w:tcW w:type="dxa" w:w="28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0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ReserveTMK contribution</w:t>
            </w:r>
          </w:p>
        </w:tc>
      </w:tr>
      <w:tr>
        <w:tc>
          <w:tcPr>
            <w:tcW w:type="dxa" w:w="25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20"/>
                <w:szCs w:val="20"/>
              </w:rPr>
              <w:t xml:space="preserve">Whai Rawa Ora
(Economic Wellbeing)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Māori businesses and entrepreneurs grow wealth and power a resilient economy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Hot desking, coworking space and business support for Māori entrepreneurs and enterprises in Tāmaki. Direct access to workspace, networks and activation.</w:t>
            </w:r>
          </w:p>
        </w:tc>
      </w:tr>
      <w:tr>
        <w:tc>
          <w:tcPr>
            <w:tcW w:type="dxa" w:w="25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20"/>
                <w:szCs w:val="20"/>
              </w:rPr>
              <w:t xml:space="preserve">Te Hapori Ora
(Community Wellbeing)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Whānau and communities are connected, supported and thriving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Hub as a gathering point. Activations, events and programmes that connect people, reduce isolation and grow community capacity.</w:t>
            </w:r>
          </w:p>
        </w:tc>
      </w:tr>
      <w:tr>
        <w:tc>
          <w:tcPr>
            <w:tcW w:type="dxa" w:w="25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20"/>
                <w:szCs w:val="20"/>
              </w:rPr>
              <w:t xml:space="preserve">Tuakiri Ora
(Cultural Identity)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Tāmaki Makaurau reflects te reo Māori, tikanga and Māori identity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Space that holds and affirms Māori identity. Cultural expression embedded in how the hub operates and who it serves.</w:t>
            </w:r>
          </w:p>
        </w:tc>
      </w:tr>
      <w:tr>
        <w:tc>
          <w:tcPr>
            <w:tcW w:type="dxa" w:w="25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20"/>
                <w:szCs w:val="20"/>
              </w:rPr>
              <w:t xml:space="preserve">Huatau Ora
(Future Wellbeing)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Māori are empowered to lead innovation and build intergenerational systems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Supporting youth and emerging entrepreneurs. Hosting innovation-focused kaupapa. Building capability for the next generation of Tāmaki leaders.</w:t>
            </w:r>
          </w:p>
        </w:tc>
      </w:tr>
    </w:tbl>
    <w:p>
      <w:pPr>
        <w:spacing w:before="60" w:after="60"/>
      </w:pPr>
      <w:r>
        <w:t xml:space="preserve"/>
      </w:r>
    </w:p>
    <w:p>
      <w:pPr>
        <w:pStyle w:val="Heading1"/>
        <w:pBdr>
          <w:bottom w:val="single" w:color="006B6B" w:sz="8" w:space="4"/>
        </w:pBdr>
        <w:spacing w:before="360" w:after="120"/>
      </w:pPr>
      <w:r>
        <w:rPr>
          <w:rFonts w:ascii="Arial" w:cs="Arial" w:eastAsia="Arial" w:hAnsi="Arial"/>
          <w:b/>
          <w:bCs/>
          <w:color w:val="006B6B"/>
          <w:sz w:val="28"/>
          <w:szCs w:val="28"/>
        </w:rPr>
        <w:t xml:space="preserve">4. What We Deliver</w:t>
      </w:r>
    </w:p>
    <w:p>
      <w:pPr>
        <w:spacing w:before="180" w:after="60"/>
      </w:pPr>
      <w:r>
        <w:rPr>
          <w:rFonts w:ascii="Arial" w:cs="Arial" w:eastAsia="Arial" w:hAnsi="Arial"/>
          <w:b/>
          <w:bCs/>
          <w:color w:val="006B6B"/>
          <w:sz w:val="22"/>
          <w:szCs w:val="22"/>
        </w:rPr>
        <w:t xml:space="preserve">Core Activities</w:t>
      </w:r>
    </w:p>
    <w:p>
      <w:pPr>
        <w:pStyle w:val="ListParagraph"/>
        <w:numPr>
          <w:ilvl w:val="0"/>
          <w:numId w:val="2"/>
        </w:numPr>
        <w:spacing w:before="40" w:after="40"/>
      </w:pPr>
      <w:r>
        <w:rPr>
          <w:rFonts w:ascii="Arial" w:cs="Arial" w:eastAsia="Arial" w:hAnsi="Arial"/>
          <w:color w:val="595959"/>
          <w:sz w:val="22"/>
          <w:szCs w:val="22"/>
        </w:rPr>
        <w:t xml:space="preserve">Coworking and hot desking for Māori individuals and enterprises</w:t>
      </w:r>
    </w:p>
    <w:p>
      <w:pPr>
        <w:pStyle w:val="ListParagraph"/>
        <w:numPr>
          <w:ilvl w:val="0"/>
          <w:numId w:val="2"/>
        </w:numPr>
        <w:spacing w:before="40" w:after="40"/>
      </w:pPr>
      <w:r>
        <w:rPr>
          <w:rFonts w:ascii="Arial" w:cs="Arial" w:eastAsia="Arial" w:hAnsi="Arial"/>
          <w:color w:val="595959"/>
          <w:sz w:val="22"/>
          <w:szCs w:val="22"/>
        </w:rPr>
        <w:t xml:space="preserve">Meeting room and venue hire for community and business use</w:t>
      </w:r>
    </w:p>
    <w:p>
      <w:pPr>
        <w:pStyle w:val="ListParagraph"/>
        <w:numPr>
          <w:ilvl w:val="0"/>
          <w:numId w:val="2"/>
        </w:numPr>
        <w:spacing w:before="40" w:after="40"/>
      </w:pPr>
      <w:r>
        <w:rPr>
          <w:rFonts w:ascii="Arial" w:cs="Arial" w:eastAsia="Arial" w:hAnsi="Arial"/>
          <w:color w:val="595959"/>
          <w:sz w:val="22"/>
          <w:szCs w:val="22"/>
        </w:rPr>
        <w:t xml:space="preserve">Community activations, events and hui</w:t>
      </w:r>
    </w:p>
    <w:p>
      <w:pPr>
        <w:pStyle w:val="ListParagraph"/>
        <w:numPr>
          <w:ilvl w:val="0"/>
          <w:numId w:val="2"/>
        </w:numPr>
        <w:spacing w:before="40" w:after="40"/>
      </w:pPr>
      <w:r>
        <w:rPr>
          <w:rFonts w:ascii="Arial" w:cs="Arial" w:eastAsia="Arial" w:hAnsi="Arial"/>
          <w:color w:val="595959"/>
          <w:sz w:val="22"/>
          <w:szCs w:val="22"/>
        </w:rPr>
        <w:t xml:space="preserve">Entrepreneur and enterprise support programmes</w:t>
      </w:r>
    </w:p>
    <w:p>
      <w:pPr>
        <w:pStyle w:val="ListParagraph"/>
        <w:numPr>
          <w:ilvl w:val="0"/>
          <w:numId w:val="2"/>
        </w:numPr>
        <w:spacing w:before="40" w:after="40"/>
      </w:pPr>
      <w:r>
        <w:rPr>
          <w:rFonts w:ascii="Arial" w:cs="Arial" w:eastAsia="Arial" w:hAnsi="Arial"/>
          <w:color w:val="595959"/>
          <w:sz w:val="22"/>
          <w:szCs w:val="22"/>
        </w:rPr>
        <w:t xml:space="preserve">Partnership-led kaupapa with local organisations and CCOs</w:t>
      </w:r>
    </w:p>
    <w:p>
      <w:pPr>
        <w:spacing w:before="60" w:after="60"/>
      </w:pPr>
      <w:r>
        <w:t xml:space="preserve"/>
      </w:r>
    </w:p>
    <w:p>
      <w:pPr>
        <w:spacing w:before="180" w:after="60"/>
      </w:pPr>
      <w:r>
        <w:rPr>
          <w:rFonts w:ascii="Arial" w:cs="Arial" w:eastAsia="Arial" w:hAnsi="Arial"/>
          <w:b/>
          <w:bCs/>
          <w:color w:val="006B6B"/>
          <w:sz w:val="22"/>
          <w:szCs w:val="22"/>
        </w:rPr>
        <w:t xml:space="preserve">Who We Serve</w:t>
      </w:r>
    </w:p>
    <w:p>
      <w:pPr>
        <w:pStyle w:val="ListParagraph"/>
        <w:numPr>
          <w:ilvl w:val="0"/>
          <w:numId w:val="2"/>
        </w:numPr>
        <w:spacing w:before="40" w:after="40"/>
      </w:pPr>
      <w:r>
        <w:rPr>
          <w:rFonts w:ascii="Arial" w:cs="Arial" w:eastAsia="Arial" w:hAnsi="Arial"/>
          <w:color w:val="595959"/>
          <w:sz w:val="22"/>
          <w:szCs w:val="22"/>
        </w:rPr>
        <w:t xml:space="preserve">Māori entrepreneurs and small business owners in Tāmaki</w:t>
      </w:r>
    </w:p>
    <w:p>
      <w:pPr>
        <w:pStyle w:val="ListParagraph"/>
        <w:numPr>
          <w:ilvl w:val="0"/>
          <w:numId w:val="2"/>
        </w:numPr>
        <w:spacing w:before="40" w:after="40"/>
      </w:pPr>
      <w:r>
        <w:rPr>
          <w:rFonts w:ascii="Arial" w:cs="Arial" w:eastAsia="Arial" w:hAnsi="Arial"/>
          <w:color w:val="595959"/>
          <w:sz w:val="22"/>
          <w:szCs w:val="22"/>
        </w:rPr>
        <w:t xml:space="preserve">Community organisations and non-profits operating locally</w:t>
      </w:r>
    </w:p>
    <w:p>
      <w:pPr>
        <w:pStyle w:val="ListParagraph"/>
        <w:numPr>
          <w:ilvl w:val="0"/>
          <w:numId w:val="2"/>
        </w:numPr>
        <w:spacing w:before="40" w:after="40"/>
      </w:pPr>
      <w:r>
        <w:rPr>
          <w:rFonts w:ascii="Arial" w:cs="Arial" w:eastAsia="Arial" w:hAnsi="Arial"/>
          <w:color w:val="595959"/>
          <w:sz w:val="22"/>
          <w:szCs w:val="22"/>
        </w:rPr>
        <w:t xml:space="preserve">Youth and rangatahi in the Glen Innes and wider Tāmaki rohe</w:t>
      </w:r>
    </w:p>
    <w:p>
      <w:pPr>
        <w:pStyle w:val="ListParagraph"/>
        <w:numPr>
          <w:ilvl w:val="0"/>
          <w:numId w:val="2"/>
        </w:numPr>
        <w:spacing w:before="40" w:after="40"/>
      </w:pPr>
      <w:r>
        <w:rPr>
          <w:rFonts w:ascii="Arial" w:cs="Arial" w:eastAsia="Arial" w:hAnsi="Arial"/>
          <w:color w:val="595959"/>
          <w:sz w:val="22"/>
          <w:szCs w:val="22"/>
        </w:rPr>
        <w:t xml:space="preserve">Mana whenua and mātaawaka connected to this area</w:t>
      </w:r>
    </w:p>
    <w:p>
      <w:pPr>
        <w:spacing w:before="60" w:after="60"/>
      </w:pPr>
      <w:r>
        <w:t xml:space="preserve"/>
      </w:r>
    </w:p>
    <w:p>
      <w:pPr>
        <w:spacing w:before="180" w:after="60"/>
      </w:pPr>
      <w:r>
        <w:rPr>
          <w:rFonts w:ascii="Arial" w:cs="Arial" w:eastAsia="Arial" w:hAnsi="Arial"/>
          <w:b/>
          <w:bCs/>
          <w:color w:val="006B6B"/>
          <w:sz w:val="22"/>
          <w:szCs w:val="22"/>
        </w:rPr>
        <w:t xml:space="preserve">What Good Looks Like</w:t>
      </w:r>
    </w:p>
    <w:p>
      <w:pPr>
        <w:pStyle w:val="ListParagraph"/>
        <w:numPr>
          <w:ilvl w:val="0"/>
          <w:numId w:val="2"/>
        </w:numPr>
        <w:spacing w:before="40" w:after="40"/>
      </w:pPr>
      <w:r>
        <w:rPr>
          <w:rFonts w:ascii="Arial" w:cs="Arial" w:eastAsia="Arial" w:hAnsi="Arial"/>
          <w:color w:val="595959"/>
          <w:sz w:val="22"/>
          <w:szCs w:val="22"/>
        </w:rPr>
        <w:t xml:space="preserve">People coming back consistently — not just using the space once</w:t>
      </w:r>
    </w:p>
    <w:p>
      <w:pPr>
        <w:pStyle w:val="ListParagraph"/>
        <w:numPr>
          <w:ilvl w:val="0"/>
          <w:numId w:val="2"/>
        </w:numPr>
        <w:spacing w:before="40" w:after="40"/>
      </w:pPr>
      <w:r>
        <w:rPr>
          <w:rFonts w:ascii="Arial" w:cs="Arial" w:eastAsia="Arial" w:hAnsi="Arial"/>
          <w:color w:val="595959"/>
          <w:sz w:val="22"/>
          <w:szCs w:val="22"/>
        </w:rPr>
        <w:t xml:space="preserve">Enterprises growing or stabilising as a result of access to the hub</w:t>
      </w:r>
    </w:p>
    <w:p>
      <w:pPr>
        <w:pStyle w:val="ListParagraph"/>
        <w:numPr>
          <w:ilvl w:val="0"/>
          <w:numId w:val="2"/>
        </w:numPr>
        <w:spacing w:before="40" w:after="40"/>
      </w:pPr>
      <w:r>
        <w:rPr>
          <w:rFonts w:ascii="Arial" w:cs="Arial" w:eastAsia="Arial" w:hAnsi="Arial"/>
          <w:color w:val="595959"/>
          <w:sz w:val="22"/>
          <w:szCs w:val="22"/>
        </w:rPr>
        <w:t xml:space="preserve">Community connections forming that wouldn't have happened otherwise</w:t>
      </w:r>
    </w:p>
    <w:p>
      <w:pPr>
        <w:pStyle w:val="ListParagraph"/>
        <w:numPr>
          <w:ilvl w:val="0"/>
          <w:numId w:val="2"/>
        </w:numPr>
        <w:spacing w:before="40" w:after="40"/>
      </w:pPr>
      <w:r>
        <w:rPr>
          <w:rFonts w:ascii="Arial" w:cs="Arial" w:eastAsia="Arial" w:hAnsi="Arial"/>
          <w:color w:val="595959"/>
          <w:sz w:val="22"/>
          <w:szCs w:val="22"/>
        </w:rPr>
        <w:t xml:space="preserve">Tāmaki identity visible and affirmed in how the space operates</w:t>
      </w:r>
    </w:p>
    <w:p>
      <w:pPr>
        <w:spacing w:before="60" w:after="60"/>
      </w:pPr>
      <w:r>
        <w:t xml:space="preserve"/>
      </w:r>
    </w:p>
    <w:p>
      <w:pPr>
        <w:pStyle w:val="Heading1"/>
        <w:pBdr>
          <w:bottom w:val="single" w:color="006B6B" w:sz="8" w:space="4"/>
        </w:pBdr>
        <w:spacing w:before="360" w:after="120"/>
      </w:pPr>
      <w:r>
        <w:rPr>
          <w:rFonts w:ascii="Arial" w:cs="Arial" w:eastAsia="Arial" w:hAnsi="Arial"/>
          <w:b/>
          <w:bCs/>
          <w:color w:val="006B6B"/>
          <w:sz w:val="28"/>
          <w:szCs w:val="28"/>
        </w:rPr>
        <w:t xml:space="preserve">5. Reporting Framework</w:t>
      </w:r>
    </w:p>
    <w:p>
      <w:pPr>
        <w:spacing w:before="60" w:after="60"/>
      </w:pPr>
      <w:r>
        <w:rPr>
          <w:rFonts w:ascii="Arial" w:cs="Arial" w:eastAsia="Arial" w:hAnsi="Arial"/>
          <w:color w:val="595959"/>
          <w:sz w:val="22"/>
          <w:szCs w:val="22"/>
        </w:rPr>
        <w:t xml:space="preserve">This section outlines the indicators we track to demonstrate impact against Tāmaki Ora. Reporting cadence aligns with Auckland Council's Māori Outcomes reporting cycle.</w:t>
      </w:r>
    </w:p>
    <w:p>
      <w:pPr>
        <w:spacing w:before="60" w:after="60"/>
      </w:pPr>
      <w:r>
        <w:t xml:space="preserve"/>
      </w:r>
    </w:p>
    <w:p>
      <w:pPr>
        <w:spacing w:before="180" w:after="60"/>
      </w:pPr>
      <w:r>
        <w:rPr>
          <w:rFonts w:ascii="Arial" w:cs="Arial" w:eastAsia="Arial" w:hAnsi="Arial"/>
          <w:b/>
          <w:bCs/>
          <w:color w:val="006B6B"/>
          <w:sz w:val="22"/>
          <w:szCs w:val="22"/>
        </w:rPr>
        <w:t xml:space="preserve">Whai Rawa Ora — Economic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Indicator</w:t>
            </w:r>
          </w:p>
        </w:tc>
        <w:tc>
          <w:tcPr>
            <w:tcW w:type="dxa" w:w="4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Number of Māori entrepreneurs/enterprises using the hub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Hot desk and membership records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Repeat usage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Return visits tracked by user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Revenue generated through hub activity (venue hire, programmes)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Financial reporting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Enterprises supported that grew or sustained during the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Qualitative check-ins / surveys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Jobs or income opportunities created or supported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Reported quarterly where data available</w:t>
            </w:r>
          </w:p>
        </w:tc>
      </w:tr>
    </w:tbl>
    <w:p>
      <w:pPr>
        <w:spacing w:before="60" w:after="60"/>
      </w:pPr>
      <w:r>
        <w:t xml:space="preserve"/>
      </w:r>
    </w:p>
    <w:p>
      <w:pPr>
        <w:spacing w:before="180" w:after="60"/>
      </w:pPr>
      <w:r>
        <w:rPr>
          <w:rFonts w:ascii="Arial" w:cs="Arial" w:eastAsia="Arial" w:hAnsi="Arial"/>
          <w:b/>
          <w:bCs/>
          <w:color w:val="006B6B"/>
          <w:sz w:val="22"/>
          <w:szCs w:val="22"/>
        </w:rPr>
        <w:t xml:space="preserve">Te Hapori Ora — Community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Indicator</w:t>
            </w:r>
          </w:p>
        </w:tc>
        <w:tc>
          <w:tcPr>
            <w:tcW w:type="dxa" w:w="4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Number of activations, events and hui hosted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Event log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Total community attendees across activations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Headcount / sign-in sheets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Number of organisations partnered with or hosted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Partnership tracker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Community connections formed through hub activity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Qualitative — stories, testimonials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Proportion of users who identify as Māori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Opt-in demographic capture</w:t>
            </w:r>
          </w:p>
        </w:tc>
      </w:tr>
    </w:tbl>
    <w:p>
      <w:pPr>
        <w:spacing w:before="60" w:after="60"/>
      </w:pPr>
      <w:r>
        <w:t xml:space="preserve"/>
      </w:r>
    </w:p>
    <w:p>
      <w:pPr>
        <w:spacing w:before="180" w:after="60"/>
      </w:pPr>
      <w:r>
        <w:rPr>
          <w:rFonts w:ascii="Arial" w:cs="Arial" w:eastAsia="Arial" w:hAnsi="Arial"/>
          <w:b/>
          <w:bCs/>
          <w:color w:val="006B6B"/>
          <w:sz w:val="22"/>
          <w:szCs w:val="22"/>
        </w:rPr>
        <w:t xml:space="preserve">Tuakiri Ora — Cultural identity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Indicator</w:t>
            </w:r>
          </w:p>
        </w:tc>
        <w:tc>
          <w:tcPr>
            <w:tcW w:type="dxa" w:w="468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1A1A1A"/>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Te reo Māori visible and used in hub operations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Observed — signage, communications, naming conventions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Kaupapa Māori reflected in programming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Programme review — proportion of culturally grounded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Māori-led events and activations hosted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Event log tagged by leadership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User feedback on cultural safety and belonging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Periodic survey / kōrero</w:t>
            </w:r>
          </w:p>
        </w:tc>
      </w:tr>
    </w:tbl>
    <w:p>
      <w:pPr>
        <w:spacing w:before="60" w:after="60"/>
      </w:pPr>
      <w:r>
        <w:t xml:space="preserve"/>
      </w:r>
    </w:p>
    <w:p>
      <w:pPr>
        <w:pStyle w:val="Heading1"/>
        <w:pBdr>
          <w:bottom w:val="single" w:color="006B6B" w:sz="8" w:space="4"/>
        </w:pBdr>
        <w:spacing w:before="360" w:after="120"/>
      </w:pPr>
      <w:r>
        <w:rPr>
          <w:rFonts w:ascii="Arial" w:cs="Arial" w:eastAsia="Arial" w:hAnsi="Arial"/>
          <w:b/>
          <w:bCs/>
          <w:color w:val="006B6B"/>
          <w:sz w:val="28"/>
          <w:szCs w:val="28"/>
        </w:rPr>
        <w:t xml:space="preserve">6. Partnership and Co-investment</w:t>
      </w:r>
    </w:p>
    <w:p>
      <w:pPr>
        <w:spacing w:before="60" w:after="60"/>
      </w:pPr>
      <w:r>
        <w:rPr>
          <w:rFonts w:ascii="Arial" w:cs="Arial" w:eastAsia="Arial" w:hAnsi="Arial"/>
          <w:color w:val="595959"/>
          <w:sz w:val="22"/>
          <w:szCs w:val="22"/>
        </w:rPr>
        <w:t xml:space="preserve">Ngā Mātārae's revised MOF model specifically looks for initiatives where co-investment and partnership funding can be identified and leveraged alongside council funding. ReserveTMK is well placed to demonstrate this.</w:t>
      </w:r>
    </w:p>
    <w:p>
      <w:pPr>
        <w:spacing w:before="60" w:after="60"/>
      </w:pPr>
      <w:r>
        <w:t xml:space="preserve"/>
      </w:r>
    </w:p>
    <w:p>
      <w:pPr>
        <w:spacing w:before="180" w:after="60"/>
      </w:pPr>
      <w:r>
        <w:rPr>
          <w:rFonts w:ascii="Arial" w:cs="Arial" w:eastAsia="Arial" w:hAnsi="Arial"/>
          <w:b/>
          <w:bCs/>
          <w:color w:val="006B6B"/>
          <w:sz w:val="22"/>
          <w:szCs w:val="22"/>
        </w:rPr>
        <w:t xml:space="preserve">Current and potential partners</w:t>
      </w:r>
    </w:p>
    <w:p>
      <w:pPr>
        <w:pStyle w:val="ListParagraph"/>
        <w:numPr>
          <w:ilvl w:val="0"/>
          <w:numId w:val="2"/>
        </w:numPr>
        <w:spacing w:before="40" w:after="40"/>
      </w:pPr>
      <w:r>
        <w:rPr>
          <w:rFonts w:ascii="Arial" w:cs="Arial" w:eastAsia="Arial" w:hAnsi="Arial"/>
          <w:color w:val="595959"/>
          <w:sz w:val="22"/>
          <w:szCs w:val="22"/>
        </w:rPr>
        <w:t xml:space="preserve">Tātaki Auckland Unlimited — CCO sponsor and original MOF applicant</w:t>
      </w:r>
    </w:p>
    <w:p>
      <w:pPr>
        <w:pStyle w:val="ListParagraph"/>
        <w:numPr>
          <w:ilvl w:val="0"/>
          <w:numId w:val="2"/>
        </w:numPr>
        <w:spacing w:before="40" w:after="40"/>
      </w:pPr>
      <w:r>
        <w:rPr>
          <w:rFonts w:ascii="Arial" w:cs="Arial" w:eastAsia="Arial" w:hAnsi="Arial"/>
          <w:color w:val="595959"/>
          <w:sz w:val="22"/>
          <w:szCs w:val="22"/>
        </w:rPr>
        <w:t xml:space="preserve">Auckland Council Māori Outcomes team — direct funder relationship</w:t>
      </w:r>
    </w:p>
    <w:p>
      <w:pPr>
        <w:pStyle w:val="ListParagraph"/>
        <w:numPr>
          <w:ilvl w:val="0"/>
          <w:numId w:val="2"/>
        </w:numPr>
        <w:spacing w:before="40" w:after="40"/>
      </w:pPr>
      <w:r>
        <w:rPr>
          <w:rFonts w:ascii="Arial" w:cs="Arial" w:eastAsia="Arial" w:hAnsi="Arial"/>
          <w:color w:val="595959"/>
          <w:sz w:val="22"/>
          <w:szCs w:val="22"/>
        </w:rPr>
        <w:t xml:space="preserve">Glen Innes / Tāmaki local board — potential co-investment for local activations</w:t>
      </w:r>
    </w:p>
    <w:p>
      <w:pPr>
        <w:pStyle w:val="ListParagraph"/>
        <w:numPr>
          <w:ilvl w:val="0"/>
          <w:numId w:val="2"/>
        </w:numPr>
        <w:spacing w:before="40" w:after="40"/>
      </w:pPr>
      <w:r>
        <w:rPr>
          <w:rFonts w:ascii="Arial" w:cs="Arial" w:eastAsia="Arial" w:hAnsi="Arial"/>
          <w:color w:val="595959"/>
          <w:sz w:val="22"/>
          <w:szCs w:val="22"/>
        </w:rPr>
        <w:t xml:space="preserve">Mana whenua — ongoing relationship building for co-design and endorsement of kaupapa</w:t>
      </w:r>
    </w:p>
    <w:p>
      <w:pPr>
        <w:pStyle w:val="ListParagraph"/>
        <w:numPr>
          <w:ilvl w:val="0"/>
          <w:numId w:val="2"/>
        </w:numPr>
        <w:spacing w:before="40" w:after="40"/>
      </w:pPr>
      <w:r>
        <w:rPr>
          <w:rFonts w:ascii="Arial" w:cs="Arial" w:eastAsia="Arial" w:hAnsi="Arial"/>
          <w:color w:val="595959"/>
          <w:sz w:val="22"/>
          <w:szCs w:val="22"/>
        </w:rPr>
        <w:t xml:space="preserve">Community organisations active in Tāmaki rohe — programme partners</w:t>
      </w:r>
    </w:p>
    <w:p>
      <w:pPr>
        <w:pStyle w:val="ListParagraph"/>
        <w:numPr>
          <w:ilvl w:val="0"/>
          <w:numId w:val="2"/>
        </w:numPr>
        <w:spacing w:before="40" w:after="40"/>
      </w:pPr>
      <w:r>
        <w:rPr>
          <w:rFonts w:ascii="Arial" w:cs="Arial" w:eastAsia="Arial" w:hAnsi="Arial"/>
          <w:color w:val="595959"/>
          <w:sz w:val="22"/>
          <w:szCs w:val="22"/>
        </w:rPr>
        <w:t xml:space="preserve">Central government agencies (DIA, TPK, MBIE) — potential co-funders for specific programmes</w:t>
      </w:r>
    </w:p>
    <w:p>
      <w:pPr>
        <w:spacing w:before="60" w:after="60"/>
      </w:pPr>
      <w:r>
        <w:t xml:space="preserve"/>
      </w:r>
    </w:p>
    <w:p>
      <w:pPr>
        <w:spacing w:before="60" w:after="60"/>
      </w:pPr>
      <w:r>
        <w:rPr>
          <w:rFonts w:ascii="Arial" w:cs="Arial" w:eastAsia="Arial" w:hAnsi="Arial"/>
          <w:color w:val="595959"/>
          <w:sz w:val="22"/>
          <w:szCs w:val="22"/>
        </w:rPr>
        <w:t xml:space="preserve">Where funding from government agencies or philanthropic organisations can be identified and leveraged alongside MOF investment, this will be documented in our reporting as evidence of co-investment leverage.</w:t>
      </w:r>
    </w:p>
    <w:p>
      <w:pPr>
        <w:spacing w:before="60" w:after="60"/>
      </w:pPr>
      <w:r>
        <w:t xml:space="preserve"/>
      </w:r>
    </w:p>
    <w:p>
      <w:pPr>
        <w:pStyle w:val="Heading1"/>
        <w:pBdr>
          <w:bottom w:val="single" w:color="006B6B" w:sz="8" w:space="4"/>
        </w:pBdr>
        <w:spacing w:before="360" w:after="120"/>
      </w:pPr>
      <w:r>
        <w:rPr>
          <w:rFonts w:ascii="Arial" w:cs="Arial" w:eastAsia="Arial" w:hAnsi="Arial"/>
          <w:b/>
          <w:bCs/>
          <w:color w:val="006B6B"/>
          <w:sz w:val="28"/>
          <w:szCs w:val="28"/>
        </w:rPr>
        <w:t xml:space="preserve">7. Reporting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348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What we report</w:t>
            </w:r>
          </w:p>
        </w:tc>
        <w:tc>
          <w:tcPr>
            <w:tcW w:type="dxa" w:w="348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4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20"/>
                <w:szCs w:val="20"/>
              </w:rPr>
              <w:t xml:space="preserve">Monthly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Usage numbers, events, activations, venue hire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Internal / Tātaki Auckland Unlimited</w:t>
            </w:r>
          </w:p>
        </w:tc>
      </w:tr>
      <w:tr>
        <w:tc>
          <w:tcPr>
            <w:tcW w:type="dxa" w:w="24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20"/>
                <w:szCs w:val="20"/>
              </w:rPr>
              <w:t xml:space="preserve">Quarterly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Progress against Tāmaki Ora indicators, partnership updates, stories of impact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Ngā Mātārae / MOF reporting</w:t>
            </w:r>
          </w:p>
        </w:tc>
      </w:tr>
      <w:tr>
        <w:tc>
          <w:tcPr>
            <w:tcW w:type="dxa" w:w="24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r>
              <w:rPr>
                <w:rFonts w:ascii="Arial" w:cs="Arial" w:eastAsia="Arial" w:hAnsi="Arial"/>
                <w:b/>
                <w:bCs/>
                <w:color w:val="006B6B"/>
                <w:sz w:val="20"/>
                <w:szCs w:val="20"/>
              </w:rPr>
              <w:t xml:space="preserve">Annually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Full outcomes report — quantitative and qualitative, co-investment summary, forward plan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Auckland Council Māori Outcomes Report cycle</w:t>
            </w:r>
          </w:p>
        </w:tc>
      </w:tr>
    </w:tbl>
    <w:p>
      <w:pPr>
        <w:spacing w:before="60" w:after="60"/>
      </w:pPr>
      <w:r>
        <w:t xml:space="preserve"/>
      </w:r>
    </w:p>
    <w:p>
      <w:pPr>
        <w:pStyle w:val="Heading1"/>
        <w:pBdr>
          <w:bottom w:val="single" w:color="006B6B" w:sz="8" w:space="4"/>
        </w:pBdr>
        <w:spacing w:before="360" w:after="120"/>
      </w:pPr>
      <w:r>
        <w:rPr>
          <w:rFonts w:ascii="Arial" w:cs="Arial" w:eastAsia="Arial" w:hAnsi="Arial"/>
          <w:b/>
          <w:bCs/>
          <w:color w:val="006B6B"/>
          <w:sz w:val="28"/>
          <w:szCs w:val="28"/>
        </w:rPr>
        <w:t xml:space="preserve">8. How We Talk About Our Work</w:t>
      </w:r>
    </w:p>
    <w:p>
      <w:pPr>
        <w:spacing w:before="60" w:after="60"/>
      </w:pPr>
      <w:r>
        <w:rPr>
          <w:rFonts w:ascii="Arial" w:cs="Arial" w:eastAsia="Arial" w:hAnsi="Arial"/>
          <w:color w:val="595959"/>
          <w:sz w:val="22"/>
          <w:szCs w:val="22"/>
        </w:rPr>
        <w:t xml:space="preserve">When communicating about ReserveTMK in the context of Māori outcomes, these are the frames that land:</w:t>
      </w:r>
    </w:p>
    <w:p>
      <w:pPr>
        <w:spacing w:before="60" w:after="60"/>
      </w:pPr>
      <w:r>
        <w:t xml:space="preserve"/>
      </w:r>
    </w:p>
    <w:p>
      <w:pPr>
        <w:pStyle w:val="ListParagraph"/>
        <w:numPr>
          <w:ilvl w:val="0"/>
          <w:numId w:val="2"/>
        </w:numPr>
        <w:spacing w:before="40" w:after="40"/>
      </w:pPr>
      <w:r>
        <w:rPr>
          <w:rFonts w:ascii="Arial" w:cs="Arial" w:eastAsia="Arial" w:hAnsi="Arial"/>
          <w:color w:val="595959"/>
          <w:sz w:val="22"/>
          <w:szCs w:val="22"/>
        </w:rPr>
        <w:t xml:space="preserve">We are infrastructure for Māori self-determination in Tāmaki — not a service delivered to people, but a place that enables people to do their own mahi.</w:t>
      </w:r>
    </w:p>
    <w:p>
      <w:pPr>
        <w:pStyle w:val="ListParagraph"/>
        <w:numPr>
          <w:ilvl w:val="0"/>
          <w:numId w:val="2"/>
        </w:numPr>
        <w:spacing w:before="40" w:after="40"/>
      </w:pPr>
      <w:r>
        <w:rPr>
          <w:rFonts w:ascii="Arial" w:cs="Arial" w:eastAsia="Arial" w:hAnsi="Arial"/>
          <w:color w:val="595959"/>
          <w:sz w:val="22"/>
          <w:szCs w:val="22"/>
        </w:rPr>
        <w:t xml:space="preserve">Our hub activates Māori economic participation by giving entrepreneurs somewhere to show up and grow.</w:t>
      </w:r>
    </w:p>
    <w:p>
      <w:pPr>
        <w:pStyle w:val="ListParagraph"/>
        <w:numPr>
          <w:ilvl w:val="0"/>
          <w:numId w:val="2"/>
        </w:numPr>
        <w:spacing w:before="40" w:after="40"/>
      </w:pPr>
      <w:r>
        <w:rPr>
          <w:rFonts w:ascii="Arial" w:cs="Arial" w:eastAsia="Arial" w:hAnsi="Arial"/>
          <w:color w:val="595959"/>
          <w:sz w:val="22"/>
          <w:szCs w:val="22"/>
        </w:rPr>
        <w:t xml:space="preserve">We hold community in Tāmaki — a rohe that has experienced significant disruption and needs spaces that belong to it.</w:t>
      </w:r>
    </w:p>
    <w:p>
      <w:pPr>
        <w:pStyle w:val="ListParagraph"/>
        <w:numPr>
          <w:ilvl w:val="0"/>
          <w:numId w:val="2"/>
        </w:numPr>
        <w:spacing w:before="40" w:after="40"/>
      </w:pPr>
      <w:r>
        <w:rPr>
          <w:rFonts w:ascii="Arial" w:cs="Arial" w:eastAsia="Arial" w:hAnsi="Arial"/>
          <w:color w:val="595959"/>
          <w:sz w:val="22"/>
          <w:szCs w:val="22"/>
        </w:rPr>
        <w:t xml:space="preserve">We sit within a whānau of three hubs across Tāmaki Makaurau. That scale matters for demonstrating regional reach of MOF investment.</w:t>
      </w:r>
    </w:p>
    <w:p>
      <w:pPr>
        <w:spacing w:before="60" w:after="60"/>
      </w:pPr>
      <w:r>
        <w:t xml:space="preserve"/>
      </w:r>
    </w:p>
    <w:p>
      <w:pPr>
        <w:spacing w:before="60" w:after="60"/>
      </w:pPr>
      <w:r>
        <w:rPr>
          <w:rFonts w:ascii="Arial" w:cs="Arial" w:eastAsia="Arial" w:hAnsi="Arial"/>
          <w:color w:val="595959"/>
          <w:sz w:val="22"/>
          <w:szCs w:val="22"/>
        </w:rPr>
        <w:t xml:space="preserve">These talking points can be adapted for funding applications, partnership conversations, council reporting and media.</w:t>
      </w:r>
    </w:p>
    <w:p>
      <w:pPr>
        <w:spacing w:before="60" w:after="60"/>
      </w:pPr>
      <w:r>
        <w:t xml:space="preserve"/>
      </w:r>
    </w:p>
    <w:p>
      <w:pPr>
        <w:pBdr>
          <w:top w:val="single" w:color="006B6B" w:sz="6" w:space="4"/>
        </w:pBdr>
        <w:spacing w:before="360" w:after="60"/>
      </w:pPr>
      <w:r>
        <w:rPr>
          <w:rFonts w:ascii="Arial" w:cs="Arial" w:eastAsia="Arial" w:hAnsi="Arial"/>
          <w:i/>
          <w:iCs/>
          <w:color w:val="595959"/>
          <w:sz w:val="18"/>
          <w:szCs w:val="18"/>
        </w:rPr>
        <w:t xml:space="preserve">ReserveTMK  |  Glen Innes, Tāmaki Makaurau  |  Māori Outcomes Funder Profile  |  Aligned to Tāmaki Ora 2025–2027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6B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2026-03-16T06:52:36.421Z</dcterms:created>
  <dcterms:modified xsi:type="dcterms:W3CDTF">2026-03-16T06:52:36.422Z</dcterms:modified>
</cp:coreProperties>
</file>

<file path=docProps/custom.xml><?xml version="1.0" encoding="utf-8"?>
<Properties xmlns="http://schemas.openxmlformats.org/officeDocument/2006/custom-properties" xmlns:vt="http://schemas.openxmlformats.org/officeDocument/2006/docPropsVTypes"/>
</file>