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006B6B"/>
          <w:sz w:val="56"/>
          <w:szCs w:val="56"/>
        </w:rPr>
        <w:t xml:space="preserve">RESERVE TĀMAKI</w:t>
      </w:r>
    </w:p>
    <w:p>
      <w:pPr>
        <w:spacing w:before="0" w:after="80"/>
      </w:pPr>
      <w:r>
        <w:rPr>
          <w:rFonts w:ascii="Arial" w:cs="Arial" w:eastAsia="Arial" w:hAnsi="Arial"/>
          <w:color w:val="666666"/>
          <w:sz w:val="30"/>
          <w:szCs w:val="30"/>
        </w:rPr>
        <w:t xml:space="preserve">Reporting System — Developer Enhancement Brief</w:t>
      </w:r>
    </w:p>
    <w:p>
      <w:pPr>
        <w:spacing w:before="0" w:after="600"/>
      </w:pPr>
      <w:r>
        <w:rPr>
          <w:rFonts w:ascii="Arial" w:cs="Arial" w:eastAsia="Arial" w:hAnsi="Arial"/>
          <w:i/>
          <w:iCs/>
          <w:color w:val="666666"/>
          <w:sz w:val="20"/>
          <w:szCs w:val="20"/>
        </w:rPr>
        <w:t xml:space="preserve">Version 2.0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6B" w:sz="1"/>
              <w:left w:val="single" w:color="006B6B" w:sz="12"/>
              <w:bottom w:val="single" w:color="006B6B" w:sz="1"/>
              <w:right w:val="single" w:color="006B6B" w:sz="1"/>
            </w:tcBorders>
            <w:shd w:fill="E0F2F2" w:val="clear"/>
            <w:tcMar>
              <w:top w:type="dxa" w:w="120"/>
              <w:left w:type="dxa" w:w="200"/>
              <w:bottom w:type="dxa" w:w="120"/>
              <w:right w:type="dxa" w:w="200"/>
            </w:tcMar>
          </w:tcPr>
          <w:p>
            <w:r>
              <w:rPr>
                <w:rFonts w:ascii="Arial" w:cs="Arial" w:eastAsia="Arial" w:hAnsi="Arial"/>
                <w:color w:val="2D2D2D"/>
                <w:sz w:val="20"/>
                <w:szCs w:val="20"/>
              </w:rPr>
              <w:t xml:space="preserve">PURPOSE: This brief describes enhancements to the existing Reserve Tāmaki reporting system. We now have three funders with different community lenses, outcomes frameworks and metrics. The current system cannot split data by community or generate funder-specific reports. These additions fix that without replacing what already works.</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1. Context — Why This Is Needed</w:t>
      </w:r>
    </w:p>
    <w:p>
      <w:pPr>
        <w:spacing w:before="60" w:after="60"/>
      </w:pPr>
      <w:r>
        <w:rPr>
          <w:rFonts w:ascii="Arial" w:cs="Arial" w:eastAsia="Arial" w:hAnsi="Arial"/>
          <w:color w:val="2D2D2D"/>
          <w:sz w:val="22"/>
          <w:szCs w:val="22"/>
        </w:rPr>
        <w:t xml:space="preserve">Reserve Tāmaki currently has two Auckland Council funders and is pursuing a third. Each funder has a different primary community, a different outcomes framework, and different metrics they care about. The current reporting system generates one unified report that cannot distinguish between these lenses.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Funder</w:t>
            </w:r>
          </w:p>
        </w:tc>
        <w:tc>
          <w:tcPr>
            <w:tcW w:type="dxa" w:w="2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Framework</w:t>
            </w:r>
          </w:p>
        </w:tc>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Primary Community</w:t>
            </w:r>
          </w:p>
        </w:tc>
        <w:tc>
          <w:tcPr>
            <w:tcW w:type="dxa" w:w="21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Reporting Cadence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Ngā Mātārae (Māori Outcomes)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Tāmaki Ora 2025–2027 (7 Ora pou)</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mātāwaka in Tāmaki</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 + EOI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Economic Development Office (EDO)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Tāmaki Employment Precinct Strategy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entrepreneurs (Māori &amp; Pasifika)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Foundation North (pending)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Increased Equity / Social Inclusion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Pasifika whānau</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Annual impact report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A" w:sz="1"/>
              <w:left w:val="single" w:color="C8972A" w:sz="12"/>
              <w:bottom w:val="single" w:color="C8972A" w:sz="1"/>
              <w:right w:val="single" w:color="C8972A" w:sz="1"/>
            </w:tcBorders>
            <w:shd w:fill="FDF5E0" w:val="clear"/>
            <w:tcMar>
              <w:top w:type="dxa" w:w="120"/>
              <w:left w:type="dxa" w:w="200"/>
              <w:bottom w:type="dxa" w:w="120"/>
              <w:right w:type="dxa" w:w="200"/>
            </w:tcMar>
          </w:tcPr>
          <w:p>
            <w:r>
              <w:rPr>
                <w:rFonts w:ascii="Arial" w:cs="Arial" w:eastAsia="Arial" w:hAnsi="Arial"/>
                <w:color w:val="2D2D2D"/>
                <w:sz w:val="20"/>
                <w:szCs w:val="20"/>
              </w:rPr>
              <w:t xml:space="preserve">KEY INSIGHT: The same activity — a business workshop attended by 6 Māori and 4 Pasifika participants — needs to be reportable as a Māori outcome to Ngā Mātārae, a hub activation to EDO, and a Pasifika equity outcome to Foundation North. The data is the same. The lens changes.</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2. What Exists — Current System Summary</w:t>
      </w:r>
    </w:p>
    <w:p>
      <w:pPr>
        <w:spacing w:before="60" w:after="60"/>
      </w:pPr>
      <w:r>
        <w:rPr>
          <w:rFonts w:ascii="Arial" w:cs="Arial" w:eastAsia="Arial" w:hAnsi="Arial"/>
          <w:color w:val="2D2D2D"/>
          <w:sz w:val="22"/>
          <w:szCs w:val="22"/>
        </w:rPr>
        <w:t xml:space="preserve">Do not replace any of this. All enhancements build on top of the existing six report sections: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5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1. Engagement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Unique contacts, total interactions, demographics incl. ethnicity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2. Delivery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Events by type, bookings, community hours, programmes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3. Impact by Taxonomy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Impact scores, debrief counts, quotes per category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4. Outcome Movement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Mindset/Skill/Confidence change, milestones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5. Value &amp; Contribution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Revenue, in-kind, memberships, programme costs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6. Narrative Summary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Generated prose summary of the period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8972A"/>
                <w:sz w:val="20"/>
                <w:szCs w:val="20"/>
              </w:rPr>
              <w:t xml:space="preserve">⚡ Enhance (see Section 5)</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3. New Feature 1 — Community Lens Filter</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A top-level filter that recalculates every section of the report for a specific community. When a Community Lens is active, all counts, percentages, quotes and narratives reflect only that community's data.</w:t>
      </w:r>
    </w:p>
    <w:p>
      <w:pPr>
        <w:spacing w:before="120" w:after="120"/>
      </w:pPr>
      <w:r>
        <w:t xml:space="preserve"/>
      </w:r>
    </w:p>
    <w:p>
      <w:pPr>
        <w:spacing w:before="240" w:after="80"/>
      </w:pPr>
      <w:r>
        <w:rPr>
          <w:rFonts w:ascii="Arial" w:cs="Arial" w:eastAsia="Arial" w:hAnsi="Arial"/>
          <w:b/>
          <w:bCs/>
          <w:color w:val="006B6B"/>
          <w:sz w:val="24"/>
          <w:szCs w:val="24"/>
        </w:rPr>
        <w:t xml:space="preserve">Filter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Lens</w:t>
            </w:r>
          </w:p>
        </w:tc>
        <w:tc>
          <w:tcPr>
            <w:tcW w:type="dxa" w:w="31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Filters To</w:t>
            </w:r>
          </w:p>
        </w:tc>
        <w:tc>
          <w:tcPr>
            <w:tcW w:type="dxa" w:w="4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Use For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All Communities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 filter — full dataset</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Internal use, EDO overview reporting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Māori</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Participants with Māori ethnicity tag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Ngā Mātārae / Māori Outcomes Fund reporting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Pasifika</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Participants with Pasifika ethnicity tag</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Foundation North reporting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Māori + Pasifika</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Either ethnicity (union)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Combined community impact overview</w:t>
            </w:r>
          </w:p>
        </w:tc>
      </w:tr>
    </w:tbl>
    <w:p>
      <w:pPr>
        <w:spacing w:before="120" w:after="12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Ethnicity data already exists in the Engagement section demographics — use that as the data source</w:t>
      </w:r>
    </w:p>
    <w:p>
      <w:pPr>
        <w:pStyle w:val="ListParagraph"/>
        <w:numPr>
          <w:ilvl w:val="0"/>
          <w:numId w:val="2"/>
        </w:numPr>
        <w:spacing w:before="40" w:after="40"/>
      </w:pPr>
      <w:r>
        <w:rPr>
          <w:rFonts w:ascii="Arial" w:cs="Arial" w:eastAsia="Arial" w:hAnsi="Arial"/>
          <w:b w:val="false"/>
          <w:bCs w:val="false"/>
          <w:color w:val="2D2D2D"/>
          <w:sz w:val="22"/>
          <w:szCs w:val="22"/>
        </w:rPr>
        <w:t xml:space="preserve">The lens filter should sit at the top of the report page, visually prominent, above the period tabs</w:t>
      </w:r>
    </w:p>
    <w:p>
      <w:pPr>
        <w:pStyle w:val="ListParagraph"/>
        <w:numPr>
          <w:ilvl w:val="0"/>
          <w:numId w:val="2"/>
        </w:numPr>
        <w:spacing w:before="40" w:after="40"/>
      </w:pPr>
      <w:r>
        <w:rPr>
          <w:rFonts w:ascii="Arial" w:cs="Arial" w:eastAsia="Arial" w:hAnsi="Arial"/>
          <w:b w:val="false"/>
          <w:bCs w:val="false"/>
          <w:color w:val="2D2D2D"/>
          <w:sz w:val="22"/>
          <w:szCs w:val="22"/>
        </w:rPr>
        <w:t xml:space="preserve">When a lens is active, show a banner across the report: e.g. 'Viewing: Māori community data only'</w:t>
      </w:r>
    </w:p>
    <w:p>
      <w:pPr>
        <w:pStyle w:val="ListParagraph"/>
        <w:numPr>
          <w:ilvl w:val="0"/>
          <w:numId w:val="2"/>
        </w:numPr>
        <w:spacing w:before="40" w:after="40"/>
      </w:pPr>
      <w:r>
        <w:rPr>
          <w:rFonts w:ascii="Arial" w:cs="Arial" w:eastAsia="Arial" w:hAnsi="Arial"/>
          <w:b w:val="false"/>
          <w:bCs w:val="false"/>
          <w:color w:val="2D2D2D"/>
          <w:sz w:val="22"/>
          <w:szCs w:val="22"/>
        </w:rPr>
        <w:t xml:space="preserve">All six existing sections recalculate when the lens changes — no new sections needed, just filtered data</w:t>
      </w:r>
    </w:p>
    <w:p>
      <w:pPr>
        <w:pStyle w:val="ListParagraph"/>
        <w:numPr>
          <w:ilvl w:val="0"/>
          <w:numId w:val="2"/>
        </w:numPr>
        <w:spacing w:before="40" w:after="40"/>
      </w:pPr>
      <w:r>
        <w:rPr>
          <w:rFonts w:ascii="Arial" w:cs="Arial" w:eastAsia="Arial" w:hAnsi="Arial"/>
          <w:b w:val="false"/>
          <w:bCs w:val="false"/>
          <w:color w:val="2D2D2D"/>
          <w:sz w:val="22"/>
          <w:szCs w:val="22"/>
        </w:rPr>
        <w:t xml:space="preserve">Percentage figures should reflect the filtered group (e.g. '42% showed confidence growth' means 42% of Māori participants, not total)</w:t>
      </w:r>
    </w:p>
    <w:p>
      <w:pPr>
        <w:pStyle w:val="ListParagraph"/>
        <w:numPr>
          <w:ilvl w:val="0"/>
          <w:numId w:val="2"/>
        </w:numPr>
        <w:spacing w:before="40" w:after="40"/>
      </w:pPr>
      <w:r>
        <w:rPr>
          <w:rFonts w:ascii="Arial" w:cs="Arial" w:eastAsia="Arial" w:hAnsi="Arial"/>
          <w:b w:val="false"/>
          <w:bCs w:val="false"/>
          <w:color w:val="2D2D2D"/>
          <w:sz w:val="22"/>
          <w:szCs w:val="22"/>
        </w:rPr>
        <w:t xml:space="preserve">Quotes in Section 3 (Impact by Taxonomy) should only surface quotes from participants matching the active lens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6B" w:sz="1"/>
              <w:left w:val="single" w:color="006B6B" w:sz="12"/>
              <w:bottom w:val="single" w:color="006B6B" w:sz="1"/>
              <w:right w:val="single" w:color="006B6B" w:sz="1"/>
            </w:tcBorders>
            <w:shd w:fill="E0F2F2" w:val="clear"/>
            <w:tcMar>
              <w:top w:type="dxa" w:w="120"/>
              <w:left w:type="dxa" w:w="200"/>
              <w:bottom w:type="dxa" w:w="120"/>
              <w:right w:type="dxa" w:w="200"/>
            </w:tcMar>
          </w:tcPr>
          <w:p>
            <w:r>
              <w:rPr>
                <w:rFonts w:ascii="Arial" w:cs="Arial" w:eastAsia="Arial" w:hAnsi="Arial"/>
                <w:color w:val="2D2D2D"/>
                <w:sz w:val="20"/>
                <w:szCs w:val="20"/>
              </w:rPr>
              <w:t xml:space="preserve">IMPORTANT — Mātāwaka framing: When the Māori lens is active, consider labelling it 'Māori (mātāwaka)' in the report header. This is the accurate description of Reserve Tāmaki's Māori community and aligns with the Tāmaki Ora framework language. Ngā Mātārae will recognise and value this terminology.</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4. New Feature 2 — Funder Profiles</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Saved filter configurations that pre-set the Community Lens, period, programme filters and visible sections for a specific funder. One click loads the right view without manual setup each time.</w:t>
      </w:r>
    </w:p>
    <w:p>
      <w:pPr>
        <w:spacing w:before="120" w:after="120"/>
      </w:pPr>
      <w:r>
        <w:t xml:space="preserve"/>
      </w:r>
    </w:p>
    <w:p>
      <w:pPr>
        <w:spacing w:before="240" w:after="80"/>
      </w:pPr>
      <w:r>
        <w:rPr>
          <w:rFonts w:ascii="Arial" w:cs="Arial" w:eastAsia="Arial" w:hAnsi="Arial"/>
          <w:b/>
          <w:bCs/>
          <w:color w:val="006B6B"/>
          <w:sz w:val="24"/>
          <w:szCs w:val="24"/>
        </w:rPr>
        <w:t xml:space="preserve">The Three Profiles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760"/>
        <w:gridCol w:w="2000"/>
      </w:tblGrid>
      <w:tr>
        <w:trPr>
          <w:tblHeader/>
        </w:trPr>
        <w:tc>
          <w:tcPr>
            <w:tcW w:type="dxa" w:w="2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Profile Name</w:t>
            </w:r>
          </w:p>
        </w:tc>
        <w:tc>
          <w:tcPr>
            <w:tcW w:type="dxa" w:w="1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Community Lens</w:t>
            </w:r>
          </w:p>
        </w:tc>
        <w:tc>
          <w:tcPr>
            <w:tcW w:type="dxa" w:w="18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Default Period</w:t>
            </w:r>
          </w:p>
        </w:tc>
        <w:tc>
          <w:tcPr>
            <w:tcW w:type="dxa" w:w="17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Funder Tag</w:t>
            </w:r>
          </w:p>
        </w:tc>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Priority Sections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Ngā Mātārae — Māori Outcomes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Outcomes Fund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Outcome Movement, Narrative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Economic Development Office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Communities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EDO / AC Economic Dev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Delivery, Engagement, Value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Foundation North — Pasifika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Pasifika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Annual / Custom</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Foundation North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Impact, Narrative</w:t>
            </w:r>
          </w:p>
        </w:tc>
      </w:tr>
    </w:tbl>
    <w:p>
      <w:pPr>
        <w:spacing w:before="120" w:after="12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Store profiles as saved JSON objects: { lens, period, funderTag, visibleSections, name }</w:t>
      </w:r>
    </w:p>
    <w:p>
      <w:pPr>
        <w:pStyle w:val="ListParagraph"/>
        <w:numPr>
          <w:ilvl w:val="0"/>
          <w:numId w:val="2"/>
        </w:numPr>
        <w:spacing w:before="40" w:after="40"/>
      </w:pPr>
      <w:r>
        <w:rPr>
          <w:rFonts w:ascii="Arial" w:cs="Arial" w:eastAsia="Arial" w:hAnsi="Arial"/>
          <w:b w:val="false"/>
          <w:bCs w:val="false"/>
          <w:color w:val="2D2D2D"/>
          <w:sz w:val="22"/>
          <w:szCs w:val="22"/>
        </w:rPr>
        <w:t xml:space="preserve">Allow new profiles to be created and named by the admin user</w:t>
      </w:r>
    </w:p>
    <w:p>
      <w:pPr>
        <w:pStyle w:val="ListParagraph"/>
        <w:numPr>
          <w:ilvl w:val="0"/>
          <w:numId w:val="2"/>
        </w:numPr>
        <w:spacing w:before="40" w:after="40"/>
      </w:pPr>
      <w:r>
        <w:rPr>
          <w:rFonts w:ascii="Arial" w:cs="Arial" w:eastAsia="Arial" w:hAnsi="Arial"/>
          <w:b w:val="false"/>
          <w:bCs w:val="false"/>
          <w:color w:val="2D2D2D"/>
          <w:sz w:val="22"/>
          <w:szCs w:val="22"/>
        </w:rPr>
        <w:t xml:space="preserve">Show profiles as quick-select buttons at the top of the Reports page</w:t>
      </w:r>
    </w:p>
    <w:p>
      <w:pPr>
        <w:pStyle w:val="ListParagraph"/>
        <w:numPr>
          <w:ilvl w:val="0"/>
          <w:numId w:val="2"/>
        </w:numPr>
        <w:spacing w:before="40" w:after="40"/>
      </w:pPr>
      <w:r>
        <w:rPr>
          <w:rFonts w:ascii="Arial" w:cs="Arial" w:eastAsia="Arial" w:hAnsi="Arial"/>
          <w:b w:val="false"/>
          <w:bCs w:val="false"/>
          <w:color w:val="2D2D2D"/>
          <w:sz w:val="22"/>
          <w:szCs w:val="22"/>
        </w:rPr>
        <w:t xml:space="preserve">When a profile is active, show its name clearly in the report header so exported PDFs are labelled correctly</w:t>
      </w:r>
    </w:p>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5. New Feature 3 — Structured Narrative for Funders</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Replaces or supplements the current logic-driven narrative summary with a structured story arc that funders can read and feel, not just scan. The structure maps to how funders think about impact.</w:t>
      </w:r>
    </w:p>
    <w:p>
      <w:pPr>
        <w:spacing w:before="120" w:after="120"/>
      </w:pPr>
      <w:r>
        <w:t xml:space="preserve"/>
      </w:r>
    </w:p>
    <w:p>
      <w:pPr>
        <w:spacing w:before="240" w:after="80"/>
      </w:pPr>
      <w:r>
        <w:rPr>
          <w:rFonts w:ascii="Arial" w:cs="Arial" w:eastAsia="Arial" w:hAnsi="Arial"/>
          <w:b/>
          <w:bCs/>
          <w:color w:val="006B6B"/>
          <w:sz w:val="24"/>
          <w:szCs w:val="24"/>
        </w:rPr>
        <w:t xml:space="preserve">Story Arc Structure (per funder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60"/>
        <w:gridCol w:w="2600"/>
      </w:tblGrid>
      <w:tr>
        <w:trPr>
          <w:tblHeader/>
        </w:trPr>
        <w:tc>
          <w:tcPr>
            <w:tcW w:type="dxa" w:w="5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0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Who we reached</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How many people, from which community, in this period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 filtered by lens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What we did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Events, programmes, activations, hours delivered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Delivery section</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 shifted</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Confidence, mindset, skills — with % showing movement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Outcome Movement — filtered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 story from this period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participant journey or milestone (human, real)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Milestones + quotes — manual input field</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What's next</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What's coming in the next period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input field</w:t>
            </w:r>
          </w:p>
        </w:tc>
      </w:tr>
    </w:tbl>
    <w:p>
      <w:pPr>
        <w:spacing w:before="120" w:after="12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Sections 1, 2 and 3 auto-generate from existing data (filtered by active lens)</w:t>
      </w:r>
    </w:p>
    <w:p>
      <w:pPr>
        <w:pStyle w:val="ListParagraph"/>
        <w:numPr>
          <w:ilvl w:val="0"/>
          <w:numId w:val="2"/>
        </w:numPr>
        <w:spacing w:before="40" w:after="40"/>
      </w:pPr>
      <w:r>
        <w:rPr>
          <w:rFonts w:ascii="Arial" w:cs="Arial" w:eastAsia="Arial" w:hAnsi="Arial"/>
          <w:b w:val="false"/>
          <w:bCs w:val="false"/>
          <w:color w:val="2D2D2D"/>
          <w:sz w:val="22"/>
          <w:szCs w:val="22"/>
        </w:rPr>
        <w:t xml:space="preserve">Section 4 — participant story — requires a manual text input field in the report builder. This is intentional. The story should be human-written, not generated</w:t>
      </w:r>
    </w:p>
    <w:p>
      <w:pPr>
        <w:pStyle w:val="ListParagraph"/>
        <w:numPr>
          <w:ilvl w:val="0"/>
          <w:numId w:val="2"/>
        </w:numPr>
        <w:spacing w:before="40" w:after="40"/>
      </w:pPr>
      <w:r>
        <w:rPr>
          <w:rFonts w:ascii="Arial" w:cs="Arial" w:eastAsia="Arial" w:hAnsi="Arial"/>
          <w:b w:val="false"/>
          <w:bCs w:val="false"/>
          <w:color w:val="2D2D2D"/>
          <w:sz w:val="22"/>
          <w:szCs w:val="22"/>
        </w:rPr>
        <w:t xml:space="preserve">Section 5 — what's next — also manual. Keep it simple: a free text field, max 150 words</w:t>
      </w:r>
    </w:p>
    <w:p>
      <w:pPr>
        <w:pStyle w:val="ListParagraph"/>
        <w:numPr>
          <w:ilvl w:val="0"/>
          <w:numId w:val="2"/>
        </w:numPr>
        <w:spacing w:before="40" w:after="40"/>
      </w:pPr>
      <w:r>
        <w:rPr>
          <w:rFonts w:ascii="Arial" w:cs="Arial" w:eastAsia="Arial" w:hAnsi="Arial"/>
          <w:b w:val="false"/>
          <w:bCs w:val="false"/>
          <w:color w:val="2D2D2D"/>
          <w:sz w:val="22"/>
          <w:szCs w:val="22"/>
        </w:rPr>
        <w:t xml:space="preserve">The narrative output should be export-ready: clean formatting, no system language, ready to paste into a funder report</w:t>
      </w:r>
    </w:p>
    <w:p>
      <w:pPr>
        <w:pStyle w:val="ListParagraph"/>
        <w:numPr>
          <w:ilvl w:val="0"/>
          <w:numId w:val="2"/>
        </w:numPr>
        <w:spacing w:before="40" w:after="40"/>
      </w:pPr>
      <w:r>
        <w:rPr>
          <w:rFonts w:ascii="Arial" w:cs="Arial" w:eastAsia="Arial" w:hAnsi="Arial"/>
          <w:b w:val="false"/>
          <w:bCs w:val="false"/>
          <w:color w:val="2D2D2D"/>
          <w:sz w:val="22"/>
          <w:szCs w:val="22"/>
        </w:rPr>
        <w:t xml:space="preserve">If AI generation is used for sections 1–3, prompt it with the active funder profile name so the language reflects that funder's framework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A" w:sz="1"/>
              <w:left w:val="single" w:color="C8972A" w:sz="12"/>
              <w:bottom w:val="single" w:color="C8972A" w:sz="1"/>
              <w:right w:val="single" w:color="C8972A" w:sz="1"/>
            </w:tcBorders>
            <w:shd w:fill="FDF5E0" w:val="clear"/>
            <w:tcMar>
              <w:top w:type="dxa" w:w="120"/>
              <w:left w:type="dxa" w:w="200"/>
              <w:bottom w:type="dxa" w:w="120"/>
              <w:right w:type="dxa" w:w="200"/>
            </w:tcMar>
          </w:tcPr>
          <w:p>
            <w:r>
              <w:rPr>
                <w:rFonts w:ascii="Arial" w:cs="Arial" w:eastAsia="Arial" w:hAnsi="Arial"/>
                <w:color w:val="2D2D2D"/>
                <w:sz w:val="20"/>
                <w:szCs w:val="20"/>
              </w:rPr>
              <w:t xml:space="preserve">EXAMPLE PROMPT for AI narrative (Section 1–3): 'You are writing a monthly report for Reserve Tāmaki to their Māori Outcomes funder. Use plain NZ English. Frame outcomes using Tāmaki Ora language where relevant (Whai Rawa Ora, Te Hapori Ora, Huatau Ora). Do not use jargon. Here is the data: [inject metrics]'</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6. New Feature 4 — Community Comparison Panel</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A side-by-side view showing Māori and Pasifika data in the same panel. Useful for internal review and for funders who want to see both communities in context.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Māori (mātāwaka)</w:t>
            </w:r>
          </w:p>
        </w:tc>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Pasifika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Unique participants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Rangatahi (under 25)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Events attended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Showing confidence growth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Milestones achieved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New contacts this period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bl>
    <w:p>
      <w:pPr>
        <w:spacing w:before="120" w:after="12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This is a new optional panel — add it as a 7th collapsible section called 'Community Comparison'</w:t>
      </w:r>
    </w:p>
    <w:p>
      <w:pPr>
        <w:pStyle w:val="ListParagraph"/>
        <w:numPr>
          <w:ilvl w:val="0"/>
          <w:numId w:val="2"/>
        </w:numPr>
        <w:spacing w:before="40" w:after="40"/>
      </w:pPr>
      <w:r>
        <w:rPr>
          <w:rFonts w:ascii="Arial" w:cs="Arial" w:eastAsia="Arial" w:hAnsi="Arial"/>
          <w:b w:val="false"/>
          <w:bCs w:val="false"/>
          <w:color w:val="2D2D2D"/>
          <w:sz w:val="22"/>
          <w:szCs w:val="22"/>
        </w:rPr>
        <w:t xml:space="preserve">Only show it when no community lens is active (i.e. 'All Communities' view)</w:t>
      </w:r>
    </w:p>
    <w:p>
      <w:pPr>
        <w:pStyle w:val="ListParagraph"/>
        <w:numPr>
          <w:ilvl w:val="0"/>
          <w:numId w:val="2"/>
        </w:numPr>
        <w:spacing w:before="40" w:after="40"/>
      </w:pPr>
      <w:r>
        <w:rPr>
          <w:rFonts w:ascii="Arial" w:cs="Arial" w:eastAsia="Arial" w:hAnsi="Arial"/>
          <w:b w:val="false"/>
          <w:bCs w:val="false"/>
          <w:color w:val="2D2D2D"/>
          <w:sz w:val="22"/>
          <w:szCs w:val="22"/>
        </w:rPr>
        <w:t xml:space="preserve">Pull from existing ethnicity breakdown data in Section 1 (Engagement) — no new data needed</w:t>
      </w:r>
    </w:p>
    <w:p>
      <w:pPr>
        <w:pStyle w:val="ListParagraph"/>
        <w:numPr>
          <w:ilvl w:val="0"/>
          <w:numId w:val="2"/>
        </w:numPr>
        <w:spacing w:before="40" w:after="40"/>
      </w:pPr>
      <w:r>
        <w:rPr>
          <w:rFonts w:ascii="Arial" w:cs="Arial" w:eastAsia="Arial" w:hAnsi="Arial"/>
          <w:b w:val="false"/>
          <w:bCs w:val="false"/>
          <w:color w:val="2D2D2D"/>
          <w:sz w:val="22"/>
          <w:szCs w:val="22"/>
        </w:rPr>
        <w:t xml:space="preserve">Include a visual bar or simple indicator showing the relative split (e.g. 40% Māori / 40% Pasifika / 20% other)</w:t>
      </w:r>
    </w:p>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7. New Feature 5 — Tāmaki Ora Outcomes Mapping</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When the Ngā Mātārae funder profile is active, an additional panel appears that maps Reserve Tāmaki's activity to the three relevant Tāmaki Ora pou. This is the language Ngā Mātārae's committee needs to see.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Tāmaki Ora Pou</w:t>
            </w:r>
          </w:p>
        </w:tc>
        <w:tc>
          <w:tcPr>
            <w:tcW w:type="dxa" w:w="33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What We Count</w:t>
            </w:r>
          </w:p>
        </w:tc>
        <w:tc>
          <w:tcPr>
            <w:tcW w:type="dxa" w:w="3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Where Data Comes From</w:t>
            </w:r>
          </w:p>
        </w:tc>
      </w:tr>
      <w:tr>
        <w:tc>
          <w:tcPr>
            <w:tcW w:type="dxa" w:w="2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bCs/>
                <w:color w:val="2D2D2D"/>
                <w:sz w:val="20"/>
                <w:szCs w:val="20"/>
              </w:rPr>
              <w:t xml:space="preserve">Whai Rawa Ora
(Māori economic wellbeing)</w:t>
            </w:r>
          </w:p>
        </w:tc>
        <w:tc>
          <w:tcPr>
            <w:tcW w:type="dxa" w:w="336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participants in business capability programmes, funding or resources secured by Māori participants, businesses progressed across stages</w:t>
            </w:r>
          </w:p>
        </w:tc>
        <w:tc>
          <w:tcPr>
            <w:tcW w:type="dxa" w:w="36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Outcome Movement milestones + programme filter (Māori lens)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Te Hapori Ora
(thriving communities)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participants in community events, rangatahi engaged, repeat engagement rate, community connections made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section (Māori lens) + Delivery section</w:t>
            </w:r>
          </w:p>
        </w:tc>
      </w:tr>
      <w:tr>
        <w:tc>
          <w:tcPr>
            <w:tcW w:type="dxa" w:w="2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bCs/>
                <w:color w:val="2D2D2D"/>
                <w:sz w:val="20"/>
                <w:szCs w:val="20"/>
              </w:rPr>
              <w:t xml:space="preserve">Huatau Ora
(innovation and futures)</w:t>
            </w:r>
          </w:p>
        </w:tc>
        <w:tc>
          <w:tcPr>
            <w:tcW w:type="dxa" w:w="336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rangatahi in innovation or entrepreneurship programmes, new ideas or ventures started, mindset shift scores</w:t>
            </w:r>
          </w:p>
        </w:tc>
        <w:tc>
          <w:tcPr>
            <w:tcW w:type="dxa" w:w="36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 filter (Youth/Innovation) + Outcome Movement (Māori lens)</w:t>
            </w:r>
          </w:p>
        </w:tc>
      </w:tr>
    </w:tbl>
    <w:p>
      <w:pPr>
        <w:spacing w:before="120" w:after="12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This panel only appears when the Ngā Mātārae funder profile is active</w:t>
      </w:r>
    </w:p>
    <w:p>
      <w:pPr>
        <w:pStyle w:val="ListParagraph"/>
        <w:numPr>
          <w:ilvl w:val="0"/>
          <w:numId w:val="2"/>
        </w:numPr>
        <w:spacing w:before="40" w:after="40"/>
      </w:pPr>
      <w:r>
        <w:rPr>
          <w:rFonts w:ascii="Arial" w:cs="Arial" w:eastAsia="Arial" w:hAnsi="Arial"/>
          <w:b w:val="false"/>
          <w:bCs w:val="false"/>
          <w:color w:val="2D2D2D"/>
          <w:sz w:val="22"/>
          <w:szCs w:val="22"/>
        </w:rPr>
        <w:t xml:space="preserve">The pou labels and descriptions should be hardcoded — they are fixed framework language, not user-defined</w:t>
      </w:r>
    </w:p>
    <w:p>
      <w:pPr>
        <w:pStyle w:val="ListParagraph"/>
        <w:numPr>
          <w:ilvl w:val="0"/>
          <w:numId w:val="2"/>
        </w:numPr>
        <w:spacing w:before="40" w:after="40"/>
      </w:pPr>
      <w:r>
        <w:rPr>
          <w:rFonts w:ascii="Arial" w:cs="Arial" w:eastAsia="Arial" w:hAnsi="Arial"/>
          <w:b w:val="false"/>
          <w:bCs w:val="false"/>
          <w:color w:val="2D2D2D"/>
          <w:sz w:val="22"/>
          <w:szCs w:val="22"/>
        </w:rPr>
        <w:t xml:space="preserve">The metrics pulling into each pou use existing data — this is a display/mapping layer, not new data collection</w:t>
      </w:r>
    </w:p>
    <w:p>
      <w:pPr>
        <w:pStyle w:val="ListParagraph"/>
        <w:numPr>
          <w:ilvl w:val="0"/>
          <w:numId w:val="2"/>
        </w:numPr>
        <w:spacing w:before="40" w:after="40"/>
      </w:pPr>
      <w:r>
        <w:rPr>
          <w:rFonts w:ascii="Arial" w:cs="Arial" w:eastAsia="Arial" w:hAnsi="Arial"/>
          <w:b w:val="false"/>
          <w:bCs w:val="false"/>
          <w:color w:val="2D2D2D"/>
          <w:sz w:val="22"/>
          <w:szCs w:val="22"/>
        </w:rPr>
        <w:t xml:space="preserve">Label this panel 'Tāmaki Ora Alignment' in the UI</w:t>
      </w:r>
    </w:p>
    <w:p>
      <w:pPr>
        <w:pStyle w:val="ListParagraph"/>
        <w:numPr>
          <w:ilvl w:val="0"/>
          <w:numId w:val="2"/>
        </w:numPr>
        <w:spacing w:before="40" w:after="40"/>
      </w:pPr>
      <w:r>
        <w:rPr>
          <w:rFonts w:ascii="Arial" w:cs="Arial" w:eastAsia="Arial" w:hAnsi="Arial"/>
          <w:b w:val="false"/>
          <w:bCs w:val="false"/>
          <w:color w:val="2D2D2D"/>
          <w:sz w:val="22"/>
          <w:szCs w:val="22"/>
        </w:rPr>
        <w:t xml:space="preserve">Add a small tooltip or info icon next to each pou name explaining what it means in plain English</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6B" w:sz="1"/>
              <w:left w:val="single" w:color="006B6B" w:sz="12"/>
              <w:bottom w:val="single" w:color="006B6B" w:sz="1"/>
              <w:right w:val="single" w:color="006B6B" w:sz="1"/>
            </w:tcBorders>
            <w:shd w:fill="E0F2F2" w:val="clear"/>
            <w:tcMar>
              <w:top w:type="dxa" w:w="120"/>
              <w:left w:type="dxa" w:w="200"/>
              <w:bottom w:type="dxa" w:w="120"/>
              <w:right w:type="dxa" w:w="200"/>
            </w:tcMar>
          </w:tcPr>
          <w:p>
            <w:r>
              <w:rPr>
                <w:rFonts w:ascii="Arial" w:cs="Arial" w:eastAsia="Arial" w:hAnsi="Arial"/>
                <w:color w:val="2D2D2D"/>
                <w:sz w:val="20"/>
                <w:szCs w:val="20"/>
              </w:rPr>
              <w:t xml:space="preserve">NOTE FOR DEVELOPER: The three pou used here — Whai Rawa Ora, Te Hapori Ora, Huatau Ora — are from Auckland Council's Tāmaki Ora 2025–2027 Māori Outcomes Strategy. This is public policy language that our funder uses to evaluate all funded organisations. Getting this right in the reporting system will significantly strengthen our funding position.</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8. Build Priority</w:t>
      </w:r>
    </w:p>
    <w:p>
      <w:pPr>
        <w:spacing w:before="60" w:after="60"/>
      </w:pPr>
      <w:r>
        <w:rPr>
          <w:rFonts w:ascii="Arial" w:cs="Arial" w:eastAsia="Arial" w:hAnsi="Arial"/>
          <w:color w:val="2D2D2D"/>
          <w:sz w:val="22"/>
          <w:szCs w:val="22"/>
        </w:rPr>
        <w:t xml:space="preserve">These are listed in order of urgency based on upcoming funder reporting deadlines.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000"/>
        <w:gridCol w:w="3300"/>
      </w:tblGrid>
      <w:tr>
        <w:trPr>
          <w:tblHeader/>
        </w:trPr>
        <w:tc>
          <w:tcPr>
            <w:tcW w:type="dxa" w:w="5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5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3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5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356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bCs/>
                <w:color w:val="2D2D2D"/>
                <w:sz w:val="20"/>
                <w:szCs w:val="20"/>
              </w:rPr>
              <w:t xml:space="preserve">Community Lens Filter</w:t>
            </w:r>
          </w:p>
        </w:tc>
        <w:tc>
          <w:tcPr>
            <w:tcW w:type="dxa" w:w="20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C62828"/>
                <w:sz w:val="20"/>
                <w:szCs w:val="20"/>
              </w:rPr>
              <w:t xml:space="preserve">🔴 Critical — build first</w:t>
            </w:r>
          </w:p>
        </w:tc>
        <w:tc>
          <w:tcPr>
            <w:tcW w:type="dxa" w:w="33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for every funder report. Unlocks everything else.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Funder Profiles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 Critical</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Saves significant time each reporting cycle.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Tāmaki Ora Outcomes Mapping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E65100"/>
                <w:sz w:val="20"/>
                <w:szCs w:val="20"/>
              </w:rPr>
              <w:t xml:space="preserve">🟠 High — before March EOI</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Required for Ngā Mātārae EOI and ongoing reporting.</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Structured Narrative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 High</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Improves quality of all funder reports immediately.</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Community Comparison Panel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C8972A"/>
                <w:sz w:val="20"/>
                <w:szCs w:val="20"/>
              </w:rPr>
              <w:t xml:space="preserve">🟡 Medium</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Useful but not urgent until Foundation North is confirmed.</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9. What Not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2"/>
              <w:bottom w:val="single" w:color="C62828" w:sz="1"/>
              <w:right w:val="single" w:color="C62828" w:sz="1"/>
            </w:tcBorders>
            <w:shd w:fill="FDE8E8" w:val="clear"/>
            <w:tcMar>
              <w:top w:type="dxa" w:w="120"/>
              <w:left w:type="dxa" w:w="200"/>
              <w:bottom w:type="dxa" w:w="120"/>
              <w:right w:type="dxa" w:w="200"/>
            </w:tcMar>
          </w:tcPr>
          <w:p>
            <w:r>
              <w:rPr>
                <w:rFonts w:ascii="Arial" w:cs="Arial" w:eastAsia="Arial" w:hAnsi="Arial"/>
                <w:color w:val="2D2D2D"/>
                <w:sz w:val="20"/>
                <w:szCs w:val="20"/>
              </w:rPr>
              <w:t xml:space="preserve">All six existing report sections should remain intact and unchanged. The period tabs (Monthly, Quarterly, YTD, All Time, Custom) stay as-is. The legacy metrics layer and blended data display stays as-is. CSV export and snapshot saving stay as-is. The benchmark insight cards stay as-is. These enhancements are additive only.</w:t>
            </w:r>
          </w:p>
        </w:tc>
      </w:tr>
    </w:tbl>
    <w:p>
      <w:pPr>
        <w:spacing w:before="120" w:after="120"/>
      </w:pPr>
      <w:r>
        <w:t xml:space="preserve"/>
      </w:r>
    </w:p>
    <w:p>
      <w:pPr>
        <w:spacing w:before="120" w:after="12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10. Questions for the Developer</w:t>
      </w:r>
    </w:p>
    <w:p>
      <w:pPr>
        <w:pStyle w:val="ListParagraph"/>
        <w:numPr>
          <w:ilvl w:val="0"/>
          <w:numId w:val="2"/>
        </w:numPr>
        <w:spacing w:before="40" w:after="40"/>
      </w:pPr>
      <w:r>
        <w:rPr>
          <w:rFonts w:ascii="Arial" w:cs="Arial" w:eastAsia="Arial" w:hAnsi="Arial"/>
          <w:b w:val="false"/>
          <w:bCs w:val="false"/>
          <w:color w:val="2D2D2D"/>
          <w:sz w:val="22"/>
          <w:szCs w:val="22"/>
        </w:rPr>
        <w:t xml:space="preserve">Is ethnicity currently stored as a tag/field on individual participant records, or only aggregated in the Engagement section? The Community Lens filter requires it at the participant level.</w:t>
      </w:r>
    </w:p>
    <w:p>
      <w:pPr>
        <w:pStyle w:val="ListParagraph"/>
        <w:numPr>
          <w:ilvl w:val="0"/>
          <w:numId w:val="2"/>
        </w:numPr>
        <w:spacing w:before="40" w:after="40"/>
      </w:pPr>
      <w:r>
        <w:rPr>
          <w:rFonts w:ascii="Arial" w:cs="Arial" w:eastAsia="Arial" w:hAnsi="Arial"/>
          <w:b w:val="false"/>
          <w:bCs w:val="false"/>
          <w:color w:val="2D2D2D"/>
          <w:sz w:val="22"/>
          <w:szCs w:val="22"/>
        </w:rPr>
        <w:t xml:space="preserve">Are milestones (e.g. 'secured funding', 'launched product') linked to individual participants with ethnicity data? This is needed for the Tāmaki Ora Whai Rawa Ora metrics.</w:t>
      </w:r>
    </w:p>
    <w:p>
      <w:pPr>
        <w:pStyle w:val="ListParagraph"/>
        <w:numPr>
          <w:ilvl w:val="0"/>
          <w:numId w:val="2"/>
        </w:numPr>
        <w:spacing w:before="40" w:after="40"/>
      </w:pPr>
      <w:r>
        <w:rPr>
          <w:rFonts w:ascii="Arial" w:cs="Arial" w:eastAsia="Arial" w:hAnsi="Arial"/>
          <w:b w:val="false"/>
          <w:bCs w:val="false"/>
          <w:color w:val="2D2D2D"/>
          <w:sz w:val="22"/>
          <w:szCs w:val="22"/>
        </w:rPr>
        <w:t xml:space="preserve">Is there a funder tagging system on activities/events already? The funder profile filter depends on this.</w:t>
      </w:r>
    </w:p>
    <w:p>
      <w:pPr>
        <w:pStyle w:val="ListParagraph"/>
        <w:numPr>
          <w:ilvl w:val="0"/>
          <w:numId w:val="2"/>
        </w:numPr>
        <w:spacing w:before="40" w:after="40"/>
      </w:pPr>
      <w:r>
        <w:rPr>
          <w:rFonts w:ascii="Arial" w:cs="Arial" w:eastAsia="Arial" w:hAnsi="Arial"/>
          <w:b w:val="false"/>
          <w:bCs w:val="false"/>
          <w:color w:val="2D2D2D"/>
          <w:sz w:val="22"/>
          <w:szCs w:val="22"/>
        </w:rPr>
        <w:t xml:space="preserve">What is the current AI narrative generation stack? (Prompt template, model, trigger point) — needed to add funder-specific prompt logic.</w:t>
      </w:r>
    </w:p>
    <w:p>
      <w:pPr>
        <w:pStyle w:val="ListParagraph"/>
        <w:numPr>
          <w:ilvl w:val="0"/>
          <w:numId w:val="2"/>
        </w:numPr>
        <w:spacing w:before="40" w:after="40"/>
      </w:pPr>
      <w:r>
        <w:rPr>
          <w:rFonts w:ascii="Arial" w:cs="Arial" w:eastAsia="Arial" w:hAnsi="Arial"/>
          <w:b w:val="false"/>
          <w:bCs w:val="false"/>
          <w:color w:val="2D2D2D"/>
          <w:sz w:val="22"/>
          <w:szCs w:val="22"/>
        </w:rPr>
        <w:t xml:space="preserve">Estimated time to build Community Lens Filter and Funder Profiles as a priority pair?</w:t>
      </w:r>
    </w:p>
    <w:p>
      <w:pPr>
        <w:spacing w:before="120" w:after="120"/>
      </w:pPr>
      <w:r>
        <w:t xml:space="preserve"/>
      </w:r>
    </w:p>
    <w:p>
      <w:pPr>
        <w:spacing w:before="120" w:after="120"/>
      </w:pPr>
      <w:r>
        <w:t xml:space="preserve"/>
      </w:r>
    </w:p>
    <w:p>
      <w:pPr>
        <w:spacing w:before="400"/>
        <w:jc w:val="center"/>
      </w:pPr>
      <w:r>
        <w:rPr>
          <w:rFonts w:ascii="Arial" w:cs="Arial" w:eastAsia="Arial" w:hAnsi="Arial"/>
          <w:i/>
          <w:iCs/>
          <w:color w:val="666666"/>
          <w:sz w:val="20"/>
          <w:szCs w:val="20"/>
        </w:rPr>
        <w:t xml:space="preserve">— End of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6B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2026-02-26T22:34:32.698Z</dcterms:created>
  <dcterms:modified xsi:type="dcterms:W3CDTF">2026-02-26T22:34:32.699Z</dcterms:modified>
</cp:coreProperties>
</file>

<file path=docProps/custom.xml><?xml version="1.0" encoding="utf-8"?>
<Properties xmlns="http://schemas.openxmlformats.org/officeDocument/2006/custom-properties" xmlns:vt="http://schemas.openxmlformats.org/officeDocument/2006/docPropsVTypes"/>
</file>