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20"/>
      </w:pPr>
      <w:r>
        <w:rPr>
          <w:rFonts w:ascii="Arial" w:cs="Arial" w:eastAsia="Arial" w:hAnsi="Arial"/>
          <w:b/>
          <w:bCs/>
          <w:color w:val="006B6B"/>
          <w:sz w:val="56"/>
          <w:szCs w:val="56"/>
        </w:rPr>
        <w:t xml:space="preserve">RESERVE TĀMAKI</w:t>
      </w:r>
    </w:p>
    <w:p>
      <w:pPr>
        <w:spacing w:before="0" w:after="80"/>
      </w:pPr>
      <w:r>
        <w:rPr>
          <w:rFonts w:ascii="Arial" w:cs="Arial" w:eastAsia="Arial" w:hAnsi="Arial"/>
          <w:color w:val="666666"/>
          <w:sz w:val="30"/>
          <w:szCs w:val="30"/>
        </w:rPr>
        <w:t xml:space="preserve">Reporting System — Developer Enhancement Brief</w:t>
      </w:r>
    </w:p>
    <w:p>
      <w:pPr>
        <w:spacing w:before="0" w:after="600"/>
      </w:pPr>
      <w:r>
        <w:rPr>
          <w:rFonts w:ascii="Arial" w:cs="Arial" w:eastAsia="Arial" w:hAnsi="Arial"/>
          <w:i/>
          <w:iCs/>
          <w:color w:val="666666"/>
          <w:sz w:val="20"/>
          <w:szCs w:val="20"/>
        </w:rPr>
        <w:t xml:space="preserve">Version 2.1  |  March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6B6B" w:sz="1"/>
              <w:left w:val="single" w:color="006B6B" w:sz="12"/>
              <w:bottom w:val="single" w:color="006B6B" w:sz="1"/>
              <w:right w:val="single" w:color="006B6B" w:sz="1"/>
            </w:tcBorders>
            <w:shd w:fill="E0F2F2" w:val="clear"/>
            <w:tcMar>
              <w:top w:type="dxa" w:w="120"/>
              <w:left w:type="dxa" w:w="200"/>
              <w:bottom w:type="dxa" w:w="120"/>
              <w:right w:type="dxa" w:w="200"/>
            </w:tcMar>
          </w:tcPr>
          <w:p>
            <w:r>
              <w:rPr>
                <w:rFonts w:ascii="Arial" w:cs="Arial" w:eastAsia="Arial" w:hAnsi="Arial"/>
                <w:color w:val="2D2D2D"/>
                <w:sz w:val="20"/>
                <w:szCs w:val="20"/>
              </w:rPr>
              <w:t xml:space="preserve">PURPOSE: Reserve Tāmaki serves a Māori and Pasifika urban community in East Auckland (Tāmaki). We have two active Auckland Council funders with different frameworks and are building a third relationship focused on Pasifika capacity and capability. Each funder needs a different lens on the same data. The current system cannot do this. These enhancements fix that without replacing what already works.</w:t>
            </w:r>
          </w:p>
        </w:tc>
      </w:tr>
    </w:tbl>
    <w:p>
      <w:pPr>
        <w:spacing w:before="100" w:after="100"/>
      </w:pPr>
      <w:r>
        <w:t xml:space="preserve"/>
      </w:r>
    </w:p>
    <w:p>
      <w:pPr>
        <w:spacing w:before="100" w:after="100"/>
      </w:pPr>
      <w:r>
        <w:t xml:space="preserve"/>
      </w:r>
    </w:p>
    <w:p>
      <w:pPr>
        <w:pStyle w:val="Heading1"/>
        <w:pBdr>
          <w:bottom w:val="single" w:color="006B6B" w:sz="4" w:space="4"/>
        </w:pBdr>
        <w:spacing w:before="400" w:after="200"/>
      </w:pPr>
      <w:r>
        <w:rPr>
          <w:rFonts w:ascii="Arial" w:cs="Arial" w:eastAsia="Arial" w:hAnsi="Arial"/>
          <w:b/>
          <w:bCs/>
          <w:color w:val="006B6B"/>
          <w:sz w:val="36"/>
          <w:szCs w:val="36"/>
        </w:rPr>
        <w:t xml:space="preserve">1. Our Community — The Context You Need to Understand</w:t>
      </w:r>
    </w:p>
    <w:p>
      <w:pPr>
        <w:spacing w:before="60" w:after="60"/>
      </w:pPr>
      <w:r>
        <w:rPr>
          <w:rFonts w:ascii="Arial" w:cs="Arial" w:eastAsia="Arial" w:hAnsi="Arial"/>
          <w:color w:val="2D2D2D"/>
          <w:sz w:val="22"/>
          <w:szCs w:val="22"/>
        </w:rPr>
        <w:t xml:space="preserve">Reserve Tāmaki is based in Glen Innes, East Auckland. Our community is an urban blend of Māori and Pasifika whānau — not two separate groups but one interconnected community. They are neighbours, family, business partners. In Tāmaki, these communities live and work as one.</w:t>
      </w:r>
    </w:p>
    <w:p>
      <w:pPr>
        <w:spacing w:before="100" w:after="100"/>
      </w:pPr>
      <w:r>
        <w:t xml:space="preserve"/>
      </w:r>
    </w:p>
    <w:p>
      <w:pPr>
        <w:spacing w:before="60" w:after="60"/>
      </w:pPr>
      <w:r>
        <w:rPr>
          <w:rFonts w:ascii="Arial" w:cs="Arial" w:eastAsia="Arial" w:hAnsi="Arial"/>
          <w:color w:val="2D2D2D"/>
          <w:sz w:val="22"/>
          <w:szCs w:val="22"/>
        </w:rPr>
        <w:t xml:space="preserve">Importantly: our Pasifika entrepreneurs are currently more numerous and further along in their business development than our Māori cohort. This is not a gap — it is the reality of where this community is at. The reporting system needs to reflect this honestly.</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2A" w:sz="1"/>
              <w:left w:val="single" w:color="C8972A" w:sz="12"/>
              <w:bottom w:val="single" w:color="C8972A" w:sz="1"/>
              <w:right w:val="single" w:color="C8972A" w:sz="1"/>
            </w:tcBorders>
            <w:shd w:fill="FDF5E0" w:val="clear"/>
            <w:tcMar>
              <w:top w:type="dxa" w:w="120"/>
              <w:left w:type="dxa" w:w="200"/>
              <w:bottom w:type="dxa" w:w="120"/>
              <w:right w:type="dxa" w:w="200"/>
            </w:tcMar>
          </w:tcPr>
          <w:p>
            <w:r>
              <w:rPr>
                <w:rFonts w:ascii="Arial" w:cs="Arial" w:eastAsia="Arial" w:hAnsi="Arial"/>
                <w:color w:val="2D2D2D"/>
                <w:sz w:val="20"/>
                <w:szCs w:val="20"/>
              </w:rPr>
              <w:t xml:space="preserve">KEY TENSION: Our Māori outcomes funder (Ngā Mātārae) is pushing for a Māori-only focus. Our community does not work that way. We are pursuing separate Pasifika-focused funding to ensure we can continue serving our full community without having to split people apart. The reporting system must support both lenses independently.</w:t>
            </w:r>
          </w:p>
        </w:tc>
      </w:tr>
    </w:tbl>
    <w:p>
      <w:pPr>
        <w:spacing w:before="100" w:after="100"/>
      </w:pPr>
      <w:r>
        <w:t xml:space="preserve"/>
      </w:r>
    </w:p>
    <w:p>
      <w:pPr>
        <w:spacing w:before="100" w:after="100"/>
      </w:pPr>
      <w:r>
        <w:t xml:space="preserve"/>
      </w:r>
    </w:p>
    <w:p>
      <w:pPr>
        <w:pStyle w:val="Heading1"/>
        <w:pBdr>
          <w:bottom w:val="single" w:color="006B6B" w:sz="4" w:space="4"/>
        </w:pBdr>
        <w:spacing w:before="400" w:after="200"/>
      </w:pPr>
      <w:r>
        <w:rPr>
          <w:rFonts w:ascii="Arial" w:cs="Arial" w:eastAsia="Arial" w:hAnsi="Arial"/>
          <w:b/>
          <w:bCs/>
          <w:color w:val="006B6B"/>
          <w:sz w:val="36"/>
          <w:szCs w:val="36"/>
        </w:rPr>
        <w:t xml:space="preserve">2. The Three Funding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160"/>
        <w:gridCol w:w="2600"/>
      </w:tblGrid>
      <w:tr>
        <w:trPr>
          <w:tblHeader/>
        </w:trPr>
        <w:tc>
          <w:tcPr>
            <w:tcW w:type="dxa" w:w="24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Funder</w:t>
            </w:r>
          </w:p>
        </w:tc>
        <w:tc>
          <w:tcPr>
            <w:tcW w:type="dxa" w:w="22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Framework</w:t>
            </w:r>
          </w:p>
        </w:tc>
        <w:tc>
          <w:tcPr>
            <w:tcW w:type="dxa" w:w="216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Community Focus</w:t>
            </w:r>
          </w:p>
        </w:tc>
        <w:tc>
          <w:tcPr>
            <w:tcW w:type="dxa" w:w="26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Type of Relationship</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Ngā Mātārae — Māori Outcomes Fund</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Tāmaki Ora 2025–2027 (7 Ora pou)</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Māori mātāwaka in East Auckland</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Active funder — EOI process underway. Formal monthly reporting required.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Auckland Council Economic Development Office (EDO)</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Tāmaki Employment Precinct Strategy</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Local entrepreneurs — Māori and Pasifika</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Active funder — established 2 years. Understands our model. Formal monthly reporting required.</w:t>
            </w:r>
          </w:p>
        </w:tc>
      </w:tr>
      <w:tr>
        <w:tc>
          <w:tcPr>
            <w:tcW w:type="dxa" w:w="2400"/>
            <w:tcBorders>
              <w:top w:val="single" w:color="DDDDDD" w:sz="1"/>
              <w:left w:val="single" w:color="DDDDDD" w:sz="1"/>
              <w:bottom w:val="single" w:color="DDDDDD" w:sz="1"/>
              <w:right w:val="single" w:color="DDDDDD" w:sz="1"/>
            </w:tcBorders>
            <w:shd w:fill="EDE4F7" w:val="clear"/>
            <w:tcMar>
              <w:top w:type="dxa" w:w="80"/>
              <w:left w:type="dxa" w:w="120"/>
              <w:bottom w:type="dxa" w:w="80"/>
              <w:right w:type="dxa" w:w="120"/>
            </w:tcMar>
          </w:tcPr>
          <w:p>
            <w:r>
              <w:rPr>
                <w:rFonts w:ascii="Arial" w:cs="Arial" w:eastAsia="Arial" w:hAnsi="Arial"/>
                <w:b/>
                <w:bCs/>
                <w:color w:val="2D2D2D"/>
                <w:sz w:val="20"/>
                <w:szCs w:val="20"/>
              </w:rPr>
              <w:t xml:space="preserve">Foundation North — Capacity &amp; Capability (Rochelle)</w:t>
            </w:r>
          </w:p>
        </w:tc>
        <w:tc>
          <w:tcPr>
            <w:tcW w:type="dxa" w:w="2200"/>
            <w:tcBorders>
              <w:top w:val="single" w:color="DDDDDD" w:sz="1"/>
              <w:left w:val="single" w:color="DDDDDD" w:sz="1"/>
              <w:bottom w:val="single" w:color="DDDDDD" w:sz="1"/>
              <w:right w:val="single" w:color="DDDDDD" w:sz="1"/>
            </w:tcBorders>
            <w:shd w:fill="EDE4F7" w:val="clear"/>
            <w:tcMar>
              <w:top w:type="dxa" w:w="80"/>
              <w:left w:type="dxa" w:w="120"/>
              <w:bottom w:type="dxa" w:w="80"/>
              <w:right w:type="dxa" w:w="120"/>
            </w:tcMar>
          </w:tcPr>
          <w:p>
            <w:r>
              <w:rPr>
                <w:rFonts w:ascii="Arial" w:cs="Arial" w:eastAsia="Arial" w:hAnsi="Arial"/>
                <w:b w:val="false"/>
                <w:bCs w:val="false"/>
                <w:color w:val="2D2D2D"/>
                <w:sz w:val="20"/>
                <w:szCs w:val="20"/>
              </w:rPr>
              <w:t xml:space="preserve">Pasifika community development and organisational capacity</w:t>
            </w:r>
          </w:p>
        </w:tc>
        <w:tc>
          <w:tcPr>
            <w:tcW w:type="dxa" w:w="2160"/>
            <w:tcBorders>
              <w:top w:val="single" w:color="DDDDDD" w:sz="1"/>
              <w:left w:val="single" w:color="DDDDDD" w:sz="1"/>
              <w:bottom w:val="single" w:color="DDDDDD" w:sz="1"/>
              <w:right w:val="single" w:color="DDDDDD" w:sz="1"/>
            </w:tcBorders>
            <w:shd w:fill="EDE4F7" w:val="clear"/>
            <w:tcMar>
              <w:top w:type="dxa" w:w="80"/>
              <w:left w:type="dxa" w:w="120"/>
              <w:bottom w:type="dxa" w:w="80"/>
              <w:right w:type="dxa" w:w="120"/>
            </w:tcMar>
          </w:tcPr>
          <w:p>
            <w:r>
              <w:rPr>
                <w:rFonts w:ascii="Arial" w:cs="Arial" w:eastAsia="Arial" w:hAnsi="Arial"/>
                <w:b w:val="false"/>
                <w:bCs w:val="false"/>
                <w:color w:val="2D2D2D"/>
                <w:sz w:val="20"/>
                <w:szCs w:val="20"/>
              </w:rPr>
              <w:t xml:space="preserve">Pasifika whānau and entrepreneurs in East Auckland</w:t>
            </w:r>
          </w:p>
        </w:tc>
        <w:tc>
          <w:tcPr>
            <w:tcW w:type="dxa" w:w="2600"/>
            <w:tcBorders>
              <w:top w:val="single" w:color="DDDDDD" w:sz="1"/>
              <w:left w:val="single" w:color="DDDDDD" w:sz="1"/>
              <w:bottom w:val="single" w:color="DDDDDD" w:sz="1"/>
              <w:right w:val="single" w:color="DDDDDD" w:sz="1"/>
            </w:tcBorders>
            <w:shd w:fill="EDE4F7" w:val="clear"/>
            <w:tcMar>
              <w:top w:type="dxa" w:w="80"/>
              <w:left w:type="dxa" w:w="120"/>
              <w:bottom w:type="dxa" w:w="80"/>
              <w:right w:type="dxa" w:w="120"/>
            </w:tcMar>
          </w:tcPr>
          <w:p>
            <w:r>
              <w:rPr>
                <w:rFonts w:ascii="Arial" w:cs="Arial" w:eastAsia="Arial" w:hAnsi="Arial"/>
                <w:b w:val="false"/>
                <w:bCs w:val="false"/>
                <w:color w:val="2D2D2D"/>
                <w:sz w:val="20"/>
                <w:szCs w:val="20"/>
              </w:rPr>
              <w:t xml:space="preserve">Relationship being built via warm intro. Sits outside normal funding channels. No formal reporting yet — focus is on demonstrating Pasifika impact.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F6F" w:sz="1"/>
              <w:left w:val="single" w:color="4A1F6F" w:sz="12"/>
              <w:bottom w:val="single" w:color="4A1F6F" w:sz="1"/>
              <w:right w:val="single" w:color="4A1F6F" w:sz="1"/>
            </w:tcBorders>
            <w:shd w:fill="EDE4F7" w:val="clear"/>
            <w:tcMar>
              <w:top w:type="dxa" w:w="120"/>
              <w:left w:type="dxa" w:w="200"/>
              <w:bottom w:type="dxa" w:w="120"/>
              <w:right w:type="dxa" w:w="200"/>
            </w:tcMar>
          </w:tcPr>
          <w:p>
            <w:r>
              <w:rPr>
                <w:rFonts w:ascii="Arial" w:cs="Arial" w:eastAsia="Arial" w:hAnsi="Arial"/>
                <w:color w:val="2D2D2D"/>
                <w:sz w:val="20"/>
                <w:szCs w:val="20"/>
              </w:rPr>
              <w:t xml:space="preserve">NOTE ON FOUNDATION NORTH: This is not yet a formal funding agreement. It is a relationship conversation with an advisor (Rochelle) who has discretion over capacity and capability support and is passionate about Pasifika community development. The reporting system should be able to generate a clean Pasifika-focused view that we can share informally as evidence of our work — not a formal compliance report. Think of it as a story document, not an accountability document.</w:t>
            </w:r>
          </w:p>
        </w:tc>
      </w:tr>
    </w:tbl>
    <w:p>
      <w:pPr>
        <w:spacing w:before="100" w:after="100"/>
      </w:pPr>
      <w:r>
        <w:t xml:space="preserve"/>
      </w:r>
    </w:p>
    <w:p>
      <w:pPr>
        <w:spacing w:before="100" w:after="100"/>
      </w:pPr>
      <w:r>
        <w:t xml:space="preserve"/>
      </w:r>
    </w:p>
    <w:p>
      <w:pPr>
        <w:pStyle w:val="Heading1"/>
        <w:pBdr>
          <w:bottom w:val="single" w:color="006B6B" w:sz="4" w:space="4"/>
        </w:pBdr>
        <w:spacing w:before="400" w:after="200"/>
      </w:pPr>
      <w:r>
        <w:rPr>
          <w:rFonts w:ascii="Arial" w:cs="Arial" w:eastAsia="Arial" w:hAnsi="Arial"/>
          <w:b/>
          <w:bCs/>
          <w:color w:val="006B6B"/>
          <w:sz w:val="36"/>
          <w:szCs w:val="36"/>
        </w:rPr>
        <w:t xml:space="preserve">3. What Exists — Do Not Change Any of This</w:t>
      </w:r>
    </w:p>
    <w:p>
      <w:pPr>
        <w:spacing w:before="60" w:after="60"/>
      </w:pPr>
      <w:r>
        <w:rPr>
          <w:rFonts w:ascii="Arial" w:cs="Arial" w:eastAsia="Arial" w:hAnsi="Arial"/>
          <w:color w:val="2D2D2D"/>
          <w:sz w:val="22"/>
          <w:szCs w:val="22"/>
        </w:rPr>
        <w:t xml:space="preserve">All six existing report sections stay exactly as they are. This brief adds new filters and views on top of them.</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rPr>
          <w:tblHeader/>
        </w:trPr>
        <w:tc>
          <w:tcPr>
            <w:tcW w:type="dxa" w:w="26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456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What It Shows</w:t>
            </w:r>
          </w:p>
        </w:tc>
        <w:tc>
          <w:tcPr>
            <w:tcW w:type="dxa" w:w="22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1. Engagement</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Unique contacts, total interactions, demographics incl. ethnicity breakdown</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E7D32"/>
                <w:sz w:val="20"/>
                <w:szCs w:val="20"/>
              </w:rPr>
              <w:t xml:space="preserve">✅ Keep as-is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2. Delivery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Events by type, bookings, community hours, programmes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 Keep as-is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3. Impact by Taxonomy</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Impact scores, debrief counts, quotes per category</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E7D32"/>
                <w:sz w:val="20"/>
                <w:szCs w:val="20"/>
              </w:rPr>
              <w:t xml:space="preserve">✅ Keep as-is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4. Outcome Movement</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Mindset / Skill / Confidence change scores, milestones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 Keep as-is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5. Value &amp; Contribution</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Revenue, in-kind, memberships, programme costs</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E7D32"/>
                <w:sz w:val="20"/>
                <w:szCs w:val="20"/>
              </w:rPr>
              <w:t xml:space="preserve">✅ Keep as-is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6. Narrative Summary</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Generated prose summary of the period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8972A"/>
                <w:sz w:val="20"/>
                <w:szCs w:val="20"/>
              </w:rPr>
              <w:t xml:space="preserve">⚡ Enhance — see Section 6</w:t>
            </w:r>
          </w:p>
        </w:tc>
      </w:tr>
    </w:tbl>
    <w:p>
      <w:pPr>
        <w:spacing w:before="100" w:after="100"/>
      </w:pPr>
      <w:r>
        <w:t xml:space="preserve"/>
      </w:r>
    </w:p>
    <w:p>
      <w:pPr>
        <w:spacing w:before="100" w:after="100"/>
      </w:pPr>
      <w:r>
        <w:t xml:space="preserve"/>
      </w:r>
    </w:p>
    <w:p>
      <w:pPr>
        <w:pStyle w:val="Heading1"/>
        <w:pBdr>
          <w:bottom w:val="single" w:color="006B6B" w:sz="4" w:space="4"/>
        </w:pBdr>
        <w:spacing w:before="400" w:after="200"/>
      </w:pPr>
      <w:r>
        <w:rPr>
          <w:rFonts w:ascii="Arial" w:cs="Arial" w:eastAsia="Arial" w:hAnsi="Arial"/>
          <w:b/>
          <w:bCs/>
          <w:color w:val="006B6B"/>
          <w:sz w:val="36"/>
          <w:szCs w:val="36"/>
        </w:rPr>
        <w:t xml:space="preserve">4. New Feature 1 — Community Lens Filter</w:t>
      </w:r>
    </w:p>
    <w:p>
      <w:pPr>
        <w:spacing w:before="240" w:after="80"/>
      </w:pPr>
      <w:r>
        <w:rPr>
          <w:rFonts w:ascii="Arial" w:cs="Arial" w:eastAsia="Arial" w:hAnsi="Arial"/>
          <w:b/>
          <w:bCs/>
          <w:color w:val="006B6B"/>
          <w:sz w:val="24"/>
          <w:szCs w:val="24"/>
        </w:rPr>
        <w:t xml:space="preserve">What It Does</w:t>
      </w:r>
    </w:p>
    <w:p>
      <w:pPr>
        <w:spacing w:before="60" w:after="60"/>
      </w:pPr>
      <w:r>
        <w:rPr>
          <w:rFonts w:ascii="Arial" w:cs="Arial" w:eastAsia="Arial" w:hAnsi="Arial"/>
          <w:color w:val="2D2D2D"/>
          <w:sz w:val="22"/>
          <w:szCs w:val="22"/>
        </w:rPr>
        <w:t xml:space="preserve">A top-level filter that recalculates every section of the report for a specific community. When a lens is active, all counts, percentages, quotes and narratives reflect only that community's data.</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Lens</w:t>
            </w:r>
          </w:p>
        </w:tc>
        <w:tc>
          <w:tcPr>
            <w:tcW w:type="dxa" w:w="30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Filters To</w:t>
            </w:r>
          </w:p>
        </w:tc>
        <w:tc>
          <w:tcPr>
            <w:tcW w:type="dxa" w:w="436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Primary Use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All Communities</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No filter — full dataset</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Internal use. EDO reporting which covers both communities.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Māori (mātāwaka)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Participants with Māori ethnicity tag</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Ngā Mātārae / Māori Outcomes Fund reporting. Use label 'Māori (mātāwaka)' — this is the correct term for our community and the language Ngā Mātārae will recognise.</w:t>
            </w:r>
          </w:p>
        </w:tc>
      </w:tr>
      <w:tr>
        <w:tc>
          <w:tcPr>
            <w:tcW w:type="dxa" w:w="2000"/>
            <w:tcBorders>
              <w:top w:val="single" w:color="DDDDDD" w:sz="1"/>
              <w:left w:val="single" w:color="DDDDDD" w:sz="1"/>
              <w:bottom w:val="single" w:color="DDDDDD" w:sz="1"/>
              <w:right w:val="single" w:color="DDDDDD" w:sz="1"/>
            </w:tcBorders>
            <w:shd w:fill="EDE4F7" w:val="clear"/>
            <w:tcMar>
              <w:top w:type="dxa" w:w="80"/>
              <w:left w:type="dxa" w:w="120"/>
              <w:bottom w:type="dxa" w:w="80"/>
              <w:right w:type="dxa" w:w="120"/>
            </w:tcMar>
          </w:tcPr>
          <w:p>
            <w:r>
              <w:rPr>
                <w:rFonts w:ascii="Arial" w:cs="Arial" w:eastAsia="Arial" w:hAnsi="Arial"/>
                <w:b/>
                <w:bCs/>
                <w:color w:val="2D2D2D"/>
                <w:sz w:val="20"/>
                <w:szCs w:val="20"/>
              </w:rPr>
              <w:t xml:space="preserve">Pasifika</w:t>
            </w:r>
          </w:p>
        </w:tc>
        <w:tc>
          <w:tcPr>
            <w:tcW w:type="dxa" w:w="3000"/>
            <w:tcBorders>
              <w:top w:val="single" w:color="DDDDDD" w:sz="1"/>
              <w:left w:val="single" w:color="DDDDDD" w:sz="1"/>
              <w:bottom w:val="single" w:color="DDDDDD" w:sz="1"/>
              <w:right w:val="single" w:color="DDDDDD" w:sz="1"/>
            </w:tcBorders>
            <w:shd w:fill="EDE4F7" w:val="clear"/>
            <w:tcMar>
              <w:top w:type="dxa" w:w="80"/>
              <w:left w:type="dxa" w:w="120"/>
              <w:bottom w:type="dxa" w:w="80"/>
              <w:right w:type="dxa" w:w="120"/>
            </w:tcMar>
          </w:tcPr>
          <w:p>
            <w:r>
              <w:rPr>
                <w:rFonts w:ascii="Arial" w:cs="Arial" w:eastAsia="Arial" w:hAnsi="Arial"/>
                <w:b w:val="false"/>
                <w:bCs w:val="false"/>
                <w:color w:val="2D2D2D"/>
                <w:sz w:val="20"/>
                <w:szCs w:val="20"/>
              </w:rPr>
              <w:t xml:space="preserve">Participants with Pasifika ethnicity tag</w:t>
            </w:r>
          </w:p>
        </w:tc>
        <w:tc>
          <w:tcPr>
            <w:tcW w:type="dxa" w:w="4360"/>
            <w:tcBorders>
              <w:top w:val="single" w:color="DDDDDD" w:sz="1"/>
              <w:left w:val="single" w:color="DDDDDD" w:sz="1"/>
              <w:bottom w:val="single" w:color="DDDDDD" w:sz="1"/>
              <w:right w:val="single" w:color="DDDDDD" w:sz="1"/>
            </w:tcBorders>
            <w:shd w:fill="EDE4F7" w:val="clear"/>
            <w:tcMar>
              <w:top w:type="dxa" w:w="80"/>
              <w:left w:type="dxa" w:w="120"/>
              <w:bottom w:type="dxa" w:w="80"/>
              <w:right w:type="dxa" w:w="120"/>
            </w:tcMar>
          </w:tcPr>
          <w:p>
            <w:r>
              <w:rPr>
                <w:rFonts w:ascii="Arial" w:cs="Arial" w:eastAsia="Arial" w:hAnsi="Arial"/>
                <w:b w:val="false"/>
                <w:bCs w:val="false"/>
                <w:color w:val="2D2D2D"/>
                <w:sz w:val="20"/>
                <w:szCs w:val="20"/>
              </w:rPr>
              <w:t xml:space="preserve">Foundation North relationship reporting. Note: Pasifika is currently our largest and most economically active cohort. This lens will often show stronger business metrics than the Māori lens.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Māori + Pasifika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Either ethnicity (union)</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Full community picture. Reflects the reality that these communities overlap and work together in Tāmaki.</w:t>
            </w:r>
          </w:p>
        </w:tc>
      </w:tr>
    </w:tbl>
    <w:p>
      <w:pPr>
        <w:spacing w:before="100" w:after="100"/>
      </w:pPr>
      <w:r>
        <w:t xml:space="preserve"/>
      </w:r>
    </w:p>
    <w:p>
      <w:pPr>
        <w:spacing w:before="240" w:after="80"/>
      </w:pPr>
      <w:r>
        <w:rPr>
          <w:rFonts w:ascii="Arial" w:cs="Arial" w:eastAsia="Arial" w:hAnsi="Arial"/>
          <w:b/>
          <w:bCs/>
          <w:color w:val="006B6B"/>
          <w:sz w:val="24"/>
          <w:szCs w:val="24"/>
        </w:rPr>
        <w:t xml:space="preserve">Implementation Notes</w:t>
      </w:r>
    </w:p>
    <w:p>
      <w:pPr>
        <w:pStyle w:val="ListParagraph"/>
        <w:numPr>
          <w:ilvl w:val="0"/>
          <w:numId w:val="2"/>
        </w:numPr>
        <w:spacing w:before="40" w:after="40"/>
      </w:pPr>
      <w:r>
        <w:rPr>
          <w:rFonts w:ascii="Arial" w:cs="Arial" w:eastAsia="Arial" w:hAnsi="Arial"/>
          <w:b w:val="false"/>
          <w:bCs w:val="false"/>
          <w:color w:val="2D2D2D"/>
          <w:sz w:val="22"/>
          <w:szCs w:val="22"/>
        </w:rPr>
        <w:t xml:space="preserve">Ethnicity data already exists in Section 1 (Engagement demographics) — use that as the data source</w:t>
      </w:r>
    </w:p>
    <w:p>
      <w:pPr>
        <w:pStyle w:val="ListParagraph"/>
        <w:numPr>
          <w:ilvl w:val="0"/>
          <w:numId w:val="2"/>
        </w:numPr>
        <w:spacing w:before="40" w:after="40"/>
      </w:pPr>
      <w:r>
        <w:rPr>
          <w:rFonts w:ascii="Arial" w:cs="Arial" w:eastAsia="Arial" w:hAnsi="Arial"/>
          <w:b w:val="false"/>
          <w:bCs w:val="false"/>
          <w:color w:val="2D2D2D"/>
          <w:sz w:val="22"/>
          <w:szCs w:val="22"/>
        </w:rPr>
        <w:t xml:space="preserve">The lens filter sits at the top of the report page, above the period tabs, visually prominent</w:t>
      </w:r>
    </w:p>
    <w:p>
      <w:pPr>
        <w:pStyle w:val="ListParagraph"/>
        <w:numPr>
          <w:ilvl w:val="0"/>
          <w:numId w:val="2"/>
        </w:numPr>
        <w:spacing w:before="40" w:after="40"/>
      </w:pPr>
      <w:r>
        <w:rPr>
          <w:rFonts w:ascii="Arial" w:cs="Arial" w:eastAsia="Arial" w:hAnsi="Arial"/>
          <w:b w:val="false"/>
          <w:bCs w:val="false"/>
          <w:color w:val="2D2D2D"/>
          <w:sz w:val="22"/>
          <w:szCs w:val="22"/>
        </w:rPr>
        <w:t xml:space="preserve">When a lens is active show a clear banner: e.g. 'Viewing: Māori (mātāwaka) community data only'</w:t>
      </w:r>
    </w:p>
    <w:p>
      <w:pPr>
        <w:pStyle w:val="ListParagraph"/>
        <w:numPr>
          <w:ilvl w:val="0"/>
          <w:numId w:val="2"/>
        </w:numPr>
        <w:spacing w:before="40" w:after="40"/>
      </w:pPr>
      <w:r>
        <w:rPr>
          <w:rFonts w:ascii="Arial" w:cs="Arial" w:eastAsia="Arial" w:hAnsi="Arial"/>
          <w:b w:val="false"/>
          <w:bCs w:val="false"/>
          <w:color w:val="2D2D2D"/>
          <w:sz w:val="22"/>
          <w:szCs w:val="22"/>
        </w:rPr>
        <w:t xml:space="preserve">All six existing sections recalculate when the lens changes — no new sections, just filtered data</w:t>
      </w:r>
    </w:p>
    <w:p>
      <w:pPr>
        <w:pStyle w:val="ListParagraph"/>
        <w:numPr>
          <w:ilvl w:val="0"/>
          <w:numId w:val="2"/>
        </w:numPr>
        <w:spacing w:before="40" w:after="40"/>
      </w:pPr>
      <w:r>
        <w:rPr>
          <w:rFonts w:ascii="Arial" w:cs="Arial" w:eastAsia="Arial" w:hAnsi="Arial"/>
          <w:b w:val="false"/>
          <w:bCs w:val="false"/>
          <w:color w:val="2D2D2D"/>
          <w:sz w:val="22"/>
          <w:szCs w:val="22"/>
        </w:rPr>
        <w:t xml:space="preserve">Percentage figures reflect the filtered group only — e.g. '42% showed confidence growth' means 42% of Māori participants</w:t>
      </w:r>
    </w:p>
    <w:p>
      <w:pPr>
        <w:pStyle w:val="ListParagraph"/>
        <w:numPr>
          <w:ilvl w:val="0"/>
          <w:numId w:val="2"/>
        </w:numPr>
        <w:spacing w:before="40" w:after="40"/>
      </w:pPr>
      <w:r>
        <w:rPr>
          <w:rFonts w:ascii="Arial" w:cs="Arial" w:eastAsia="Arial" w:hAnsi="Arial"/>
          <w:b w:val="false"/>
          <w:bCs w:val="false"/>
          <w:color w:val="2D2D2D"/>
          <w:sz w:val="22"/>
          <w:szCs w:val="22"/>
        </w:rPr>
        <w:t xml:space="preserve">Quotes in Section 3 only surface from participants matching the active lens</w:t>
      </w:r>
    </w:p>
    <w:p>
      <w:pPr>
        <w:pStyle w:val="ListParagraph"/>
        <w:numPr>
          <w:ilvl w:val="0"/>
          <w:numId w:val="2"/>
        </w:numPr>
        <w:spacing w:before="40" w:after="40"/>
      </w:pPr>
      <w:r>
        <w:rPr>
          <w:rFonts w:ascii="Arial" w:cs="Arial" w:eastAsia="Arial" w:hAnsi="Arial"/>
          <w:b w:val="false"/>
          <w:bCs w:val="false"/>
          <w:color w:val="2D2D2D"/>
          <w:sz w:val="22"/>
          <w:szCs w:val="22"/>
        </w:rPr>
        <w:t xml:space="preserve">IMPORTANT: Allow a participant to carry both Māori and Pasifika tags if they identify as both. Do not force a single ethnicity selection.</w:t>
      </w:r>
    </w:p>
    <w:p>
      <w:pPr>
        <w:spacing w:before="100" w:after="100"/>
      </w:pPr>
      <w:r>
        <w:t xml:space="preserve"/>
      </w:r>
    </w:p>
    <w:p>
      <w:pPr>
        <w:spacing w:before="100" w:after="100"/>
      </w:pPr>
      <w:r>
        <w:t xml:space="preserve"/>
      </w:r>
    </w:p>
    <w:p>
      <w:pPr>
        <w:pStyle w:val="Heading1"/>
        <w:pBdr>
          <w:bottom w:val="single" w:color="006B6B" w:sz="4" w:space="4"/>
        </w:pBdr>
        <w:spacing w:before="400" w:after="200"/>
      </w:pPr>
      <w:r>
        <w:rPr>
          <w:rFonts w:ascii="Arial" w:cs="Arial" w:eastAsia="Arial" w:hAnsi="Arial"/>
          <w:b/>
          <w:bCs/>
          <w:color w:val="006B6B"/>
          <w:sz w:val="36"/>
          <w:szCs w:val="36"/>
        </w:rPr>
        <w:t xml:space="preserve">5. New Feature 2 — Funder Profiles</w:t>
      </w:r>
    </w:p>
    <w:p>
      <w:pPr>
        <w:spacing w:before="240" w:after="80"/>
      </w:pPr>
      <w:r>
        <w:rPr>
          <w:rFonts w:ascii="Arial" w:cs="Arial" w:eastAsia="Arial" w:hAnsi="Arial"/>
          <w:b/>
          <w:bCs/>
          <w:color w:val="006B6B"/>
          <w:sz w:val="24"/>
          <w:szCs w:val="24"/>
        </w:rPr>
        <w:t xml:space="preserve">What It Does</w:t>
      </w:r>
    </w:p>
    <w:p>
      <w:pPr>
        <w:spacing w:before="60" w:after="60"/>
      </w:pPr>
      <w:r>
        <w:rPr>
          <w:rFonts w:ascii="Arial" w:cs="Arial" w:eastAsia="Arial" w:hAnsi="Arial"/>
          <w:color w:val="2D2D2D"/>
          <w:sz w:val="22"/>
          <w:szCs w:val="22"/>
        </w:rPr>
        <w:t xml:space="preserve">Saved filter configurations that pre-set the Community Lens, period, programme filters and visible sections for a specific funder. One click loads the right view.</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760"/>
        <w:gridCol w:w="2000"/>
      </w:tblGrid>
      <w:tr>
        <w:trPr>
          <w:tblHeader/>
        </w:trPr>
        <w:tc>
          <w:tcPr>
            <w:tcW w:type="dxa" w:w="24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Profile Name</w:t>
            </w:r>
          </w:p>
        </w:tc>
        <w:tc>
          <w:tcPr>
            <w:tcW w:type="dxa" w:w="16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Community Lens</w:t>
            </w:r>
          </w:p>
        </w:tc>
        <w:tc>
          <w:tcPr>
            <w:tcW w:type="dxa" w:w="16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Default Period</w:t>
            </w:r>
          </w:p>
        </w:tc>
        <w:tc>
          <w:tcPr>
            <w:tcW w:type="dxa" w:w="176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Funder Tag</w:t>
            </w:r>
          </w:p>
        </w:tc>
        <w:tc>
          <w:tcPr>
            <w:tcW w:type="dxa" w:w="20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Priority Sections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Ngā Mātārae — Māori Outcomes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Māori (mātāwaka)</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Monthly</w:t>
            </w:r>
          </w:p>
        </w:tc>
        <w:tc>
          <w:tcPr>
            <w:tcW w:type="dxa" w:w="1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Māori Outcomes Fund</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Engagement, Outcome Movement, Tāmaki Ora panel, Narrative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Economic Development Office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All Communities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Monthly</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EDO / AC Economic Dev</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Delivery, Engagement, Value, Narrative</w:t>
            </w:r>
          </w:p>
        </w:tc>
      </w:tr>
      <w:tr>
        <w:tc>
          <w:tcPr>
            <w:tcW w:type="dxa" w:w="2400"/>
            <w:tcBorders>
              <w:top w:val="single" w:color="DDDDDD" w:sz="1"/>
              <w:left w:val="single" w:color="DDDDDD" w:sz="1"/>
              <w:bottom w:val="single" w:color="DDDDDD" w:sz="1"/>
              <w:right w:val="single" w:color="DDDDDD" w:sz="1"/>
            </w:tcBorders>
            <w:shd w:fill="EDE4F7" w:val="clear"/>
            <w:tcMar>
              <w:top w:type="dxa" w:w="80"/>
              <w:left w:type="dxa" w:w="120"/>
              <w:bottom w:type="dxa" w:w="80"/>
              <w:right w:type="dxa" w:w="120"/>
            </w:tcMar>
          </w:tcPr>
          <w:p>
            <w:r>
              <w:rPr>
                <w:rFonts w:ascii="Arial" w:cs="Arial" w:eastAsia="Arial" w:hAnsi="Arial"/>
                <w:b/>
                <w:bCs/>
                <w:color w:val="2D2D2D"/>
                <w:sz w:val="20"/>
                <w:szCs w:val="20"/>
              </w:rPr>
              <w:t xml:space="preserve">Foundation North — Pasifika</w:t>
            </w:r>
          </w:p>
        </w:tc>
        <w:tc>
          <w:tcPr>
            <w:tcW w:type="dxa" w:w="1600"/>
            <w:tcBorders>
              <w:top w:val="single" w:color="DDDDDD" w:sz="1"/>
              <w:left w:val="single" w:color="DDDDDD" w:sz="1"/>
              <w:bottom w:val="single" w:color="DDDDDD" w:sz="1"/>
              <w:right w:val="single" w:color="DDDDDD" w:sz="1"/>
            </w:tcBorders>
            <w:shd w:fill="EDE4F7" w:val="clear"/>
            <w:tcMar>
              <w:top w:type="dxa" w:w="80"/>
              <w:left w:type="dxa" w:w="120"/>
              <w:bottom w:type="dxa" w:w="80"/>
              <w:right w:type="dxa" w:w="120"/>
            </w:tcMar>
          </w:tcPr>
          <w:p>
            <w:r>
              <w:rPr>
                <w:rFonts w:ascii="Arial" w:cs="Arial" w:eastAsia="Arial" w:hAnsi="Arial"/>
                <w:b w:val="false"/>
                <w:bCs w:val="false"/>
                <w:color w:val="2D2D2D"/>
                <w:sz w:val="20"/>
                <w:szCs w:val="20"/>
              </w:rPr>
              <w:t xml:space="preserve">Pasifika</w:t>
            </w:r>
          </w:p>
        </w:tc>
        <w:tc>
          <w:tcPr>
            <w:tcW w:type="dxa" w:w="1600"/>
            <w:tcBorders>
              <w:top w:val="single" w:color="DDDDDD" w:sz="1"/>
              <w:left w:val="single" w:color="DDDDDD" w:sz="1"/>
              <w:bottom w:val="single" w:color="DDDDDD" w:sz="1"/>
              <w:right w:val="single" w:color="DDDDDD" w:sz="1"/>
            </w:tcBorders>
            <w:shd w:fill="EDE4F7" w:val="clear"/>
            <w:tcMar>
              <w:top w:type="dxa" w:w="80"/>
              <w:left w:type="dxa" w:w="120"/>
              <w:bottom w:type="dxa" w:w="80"/>
              <w:right w:type="dxa" w:w="120"/>
            </w:tcMar>
          </w:tcPr>
          <w:p>
            <w:r>
              <w:rPr>
                <w:rFonts w:ascii="Arial" w:cs="Arial" w:eastAsia="Arial" w:hAnsi="Arial"/>
                <w:b w:val="false"/>
                <w:bCs w:val="false"/>
                <w:color w:val="2D2D2D"/>
                <w:sz w:val="20"/>
                <w:szCs w:val="20"/>
              </w:rPr>
              <w:t xml:space="preserve">Custom / Ad hoc</w:t>
            </w:r>
          </w:p>
        </w:tc>
        <w:tc>
          <w:tcPr>
            <w:tcW w:type="dxa" w:w="1760"/>
            <w:tcBorders>
              <w:top w:val="single" w:color="DDDDDD" w:sz="1"/>
              <w:left w:val="single" w:color="DDDDDD" w:sz="1"/>
              <w:bottom w:val="single" w:color="DDDDDD" w:sz="1"/>
              <w:right w:val="single" w:color="DDDDDD" w:sz="1"/>
            </w:tcBorders>
            <w:shd w:fill="EDE4F7" w:val="clear"/>
            <w:tcMar>
              <w:top w:type="dxa" w:w="80"/>
              <w:left w:type="dxa" w:w="120"/>
              <w:bottom w:type="dxa" w:w="80"/>
              <w:right w:type="dxa" w:w="120"/>
            </w:tcMar>
          </w:tcPr>
          <w:p>
            <w:r>
              <w:rPr>
                <w:rFonts w:ascii="Arial" w:cs="Arial" w:eastAsia="Arial" w:hAnsi="Arial"/>
                <w:b w:val="false"/>
                <w:bCs w:val="false"/>
                <w:color w:val="2D2D2D"/>
                <w:sz w:val="20"/>
                <w:szCs w:val="20"/>
              </w:rPr>
              <w:t xml:space="preserve">Foundation North</w:t>
            </w:r>
          </w:p>
        </w:tc>
        <w:tc>
          <w:tcPr>
            <w:tcW w:type="dxa" w:w="2000"/>
            <w:tcBorders>
              <w:top w:val="single" w:color="DDDDDD" w:sz="1"/>
              <w:left w:val="single" w:color="DDDDDD" w:sz="1"/>
              <w:bottom w:val="single" w:color="DDDDDD" w:sz="1"/>
              <w:right w:val="single" w:color="DDDDDD" w:sz="1"/>
            </w:tcBorders>
            <w:shd w:fill="EDE4F7" w:val="clear"/>
            <w:tcMar>
              <w:top w:type="dxa" w:w="80"/>
              <w:left w:type="dxa" w:w="120"/>
              <w:bottom w:type="dxa" w:w="80"/>
              <w:right w:type="dxa" w:w="120"/>
            </w:tcMar>
          </w:tcPr>
          <w:p>
            <w:r>
              <w:rPr>
                <w:rFonts w:ascii="Arial" w:cs="Arial" w:eastAsia="Arial" w:hAnsi="Arial"/>
                <w:b w:val="false"/>
                <w:bCs w:val="false"/>
                <w:color w:val="2D2D2D"/>
                <w:sz w:val="20"/>
                <w:szCs w:val="20"/>
              </w:rPr>
              <w:t xml:space="preserve">Engagement, Outcome Movement, Narrative story format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1F6F" w:sz="1"/>
              <w:left w:val="single" w:color="4A1F6F" w:sz="12"/>
              <w:bottom w:val="single" w:color="4A1F6F" w:sz="1"/>
              <w:right w:val="single" w:color="4A1F6F" w:sz="1"/>
            </w:tcBorders>
            <w:shd w:fill="EDE4F7" w:val="clear"/>
            <w:tcMar>
              <w:top w:type="dxa" w:w="120"/>
              <w:left w:type="dxa" w:w="200"/>
              <w:bottom w:type="dxa" w:w="120"/>
              <w:right w:type="dxa" w:w="200"/>
            </w:tcMar>
          </w:tcPr>
          <w:p>
            <w:r>
              <w:rPr>
                <w:rFonts w:ascii="Arial" w:cs="Arial" w:eastAsia="Arial" w:hAnsi="Arial"/>
                <w:color w:val="2D2D2D"/>
                <w:sz w:val="20"/>
                <w:szCs w:val="20"/>
              </w:rPr>
              <w:t xml:space="preserve">FOUNDATION NORTH PROFILE NOTE: The output for this profile should NOT look like a compliance report. It should read like a story of Pasifika economic development in East Auckland. Prioritise the narrative section, participant milestones and quotes over numbers and tables. This is relationship evidence, not funder accountability.</w:t>
            </w:r>
          </w:p>
        </w:tc>
      </w:tr>
    </w:tbl>
    <w:p>
      <w:pPr>
        <w:spacing w:before="100" w:after="100"/>
      </w:pPr>
      <w:r>
        <w:t xml:space="preserve"/>
      </w:r>
    </w:p>
    <w:p>
      <w:pPr>
        <w:spacing w:before="240" w:after="80"/>
      </w:pPr>
      <w:r>
        <w:rPr>
          <w:rFonts w:ascii="Arial" w:cs="Arial" w:eastAsia="Arial" w:hAnsi="Arial"/>
          <w:b/>
          <w:bCs/>
          <w:color w:val="006B6B"/>
          <w:sz w:val="24"/>
          <w:szCs w:val="24"/>
        </w:rPr>
        <w:t xml:space="preserve">Implementation Notes</w:t>
      </w:r>
    </w:p>
    <w:p>
      <w:pPr>
        <w:pStyle w:val="ListParagraph"/>
        <w:numPr>
          <w:ilvl w:val="0"/>
          <w:numId w:val="2"/>
        </w:numPr>
        <w:spacing w:before="40" w:after="40"/>
      </w:pPr>
      <w:r>
        <w:rPr>
          <w:rFonts w:ascii="Arial" w:cs="Arial" w:eastAsia="Arial" w:hAnsi="Arial"/>
          <w:b w:val="false"/>
          <w:bCs w:val="false"/>
          <w:color w:val="2D2D2D"/>
          <w:sz w:val="22"/>
          <w:szCs w:val="22"/>
        </w:rPr>
        <w:t xml:space="preserve">Store profiles as saved JSON: { lens, period, funderTag, visibleSections, narrativeStyle, name }</w:t>
      </w:r>
    </w:p>
    <w:p>
      <w:pPr>
        <w:pStyle w:val="ListParagraph"/>
        <w:numPr>
          <w:ilvl w:val="0"/>
          <w:numId w:val="2"/>
        </w:numPr>
        <w:spacing w:before="40" w:after="40"/>
      </w:pPr>
      <w:r>
        <w:rPr>
          <w:rFonts w:ascii="Arial" w:cs="Arial" w:eastAsia="Arial" w:hAnsi="Arial"/>
          <w:b w:val="false"/>
          <w:bCs w:val="false"/>
          <w:color w:val="2D2D2D"/>
          <w:sz w:val="22"/>
          <w:szCs w:val="22"/>
        </w:rPr>
        <w:t xml:space="preserve">Add a narrativeStyle field — options: 'compliance' (current) or 'story' (Foundation North)</w:t>
      </w:r>
    </w:p>
    <w:p>
      <w:pPr>
        <w:pStyle w:val="ListParagraph"/>
        <w:numPr>
          <w:ilvl w:val="0"/>
          <w:numId w:val="2"/>
        </w:numPr>
        <w:spacing w:before="40" w:after="40"/>
      </w:pPr>
      <w:r>
        <w:rPr>
          <w:rFonts w:ascii="Arial" w:cs="Arial" w:eastAsia="Arial" w:hAnsi="Arial"/>
          <w:b w:val="false"/>
          <w:bCs w:val="false"/>
          <w:color w:val="2D2D2D"/>
          <w:sz w:val="22"/>
          <w:szCs w:val="22"/>
        </w:rPr>
        <w:t xml:space="preserve">Show profiles as quick-select buttons at the top of the Reports page</w:t>
      </w:r>
    </w:p>
    <w:p>
      <w:pPr>
        <w:pStyle w:val="ListParagraph"/>
        <w:numPr>
          <w:ilvl w:val="0"/>
          <w:numId w:val="2"/>
        </w:numPr>
        <w:spacing w:before="40" w:after="40"/>
      </w:pPr>
      <w:r>
        <w:rPr>
          <w:rFonts w:ascii="Arial" w:cs="Arial" w:eastAsia="Arial" w:hAnsi="Arial"/>
          <w:b w:val="false"/>
          <w:bCs w:val="false"/>
          <w:color w:val="2D2D2D"/>
          <w:sz w:val="22"/>
          <w:szCs w:val="22"/>
        </w:rPr>
        <w:t xml:space="preserve">When a profile is active, its name appears clearly in the report header so exports are labelled correctly</w:t>
      </w:r>
    </w:p>
    <w:p>
      <w:pPr>
        <w:spacing w:before="100" w:after="100"/>
      </w:pPr>
      <w:r>
        <w:t xml:space="preserve"/>
      </w:r>
    </w:p>
    <w:p>
      <w:pPr>
        <w:spacing w:before="100" w:after="100"/>
      </w:pPr>
      <w:r>
        <w:t xml:space="preserve"/>
      </w:r>
    </w:p>
    <w:p>
      <w:pPr>
        <w:pStyle w:val="Heading1"/>
        <w:pBdr>
          <w:bottom w:val="single" w:color="006B6B" w:sz="4" w:space="4"/>
        </w:pBdr>
        <w:spacing w:before="400" w:after="200"/>
      </w:pPr>
      <w:r>
        <w:rPr>
          <w:rFonts w:ascii="Arial" w:cs="Arial" w:eastAsia="Arial" w:hAnsi="Arial"/>
          <w:b/>
          <w:bCs/>
          <w:color w:val="006B6B"/>
          <w:sz w:val="36"/>
          <w:szCs w:val="36"/>
        </w:rPr>
        <w:t xml:space="preserve">6. New Feature 3 — Structured Narrative (Two Styles)</w:t>
      </w:r>
    </w:p>
    <w:p>
      <w:pPr>
        <w:spacing w:before="240" w:after="80"/>
      </w:pPr>
      <w:r>
        <w:rPr>
          <w:rFonts w:ascii="Arial" w:cs="Arial" w:eastAsia="Arial" w:hAnsi="Arial"/>
          <w:b/>
          <w:bCs/>
          <w:color w:val="006B6B"/>
          <w:sz w:val="24"/>
          <w:szCs w:val="24"/>
        </w:rPr>
        <w:t xml:space="preserve">Why Two Styles</w:t>
      </w:r>
    </w:p>
    <w:p>
      <w:pPr>
        <w:spacing w:before="60" w:after="60"/>
      </w:pPr>
      <w:r>
        <w:rPr>
          <w:rFonts w:ascii="Arial" w:cs="Arial" w:eastAsia="Arial" w:hAnsi="Arial"/>
          <w:color w:val="2D2D2D"/>
          <w:sz w:val="22"/>
          <w:szCs w:val="22"/>
        </w:rPr>
        <w:t xml:space="preserve">Auckland Council funders need compliance-style reporting: metrics, progress against objectives, evidence of delivery. Foundation North needs something different: a human story that shows Pasifika community impact in a way that feels real. The narrative generator needs to support both.</w:t>
      </w:r>
    </w:p>
    <w:p>
      <w:pPr>
        <w:spacing w:before="100" w:after="100"/>
      </w:pPr>
      <w:r>
        <w:t xml:space="preserve"/>
      </w:r>
    </w:p>
    <w:p>
      <w:pPr>
        <w:spacing w:before="240" w:after="80"/>
      </w:pPr>
      <w:r>
        <w:rPr>
          <w:rFonts w:ascii="Arial" w:cs="Arial" w:eastAsia="Arial" w:hAnsi="Arial"/>
          <w:b/>
          <w:bCs/>
          <w:color w:val="006B6B"/>
          <w:sz w:val="24"/>
          <w:szCs w:val="24"/>
        </w:rPr>
        <w:t xml:space="preserve">Style A — Compliance Narrative (Auckland Council funders)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160"/>
        <w:gridCol w:w="2400"/>
      </w:tblGrid>
      <w:tr>
        <w:trPr>
          <w:tblHeader/>
        </w:trPr>
        <w:tc>
          <w:tcPr>
            <w:tcW w:type="dxa" w:w="4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4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416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Content</w:t>
            </w:r>
          </w:p>
        </w:tc>
        <w:tc>
          <w:tcPr>
            <w:tcW w:type="dxa" w:w="24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Source</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Who we reached</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Count, community, period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Engagement — filtered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What we delivered</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Events, programmes, hours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Delivery section</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3</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What shifted</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Confidence, mindset, skills — % showing movement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Outcome Movement — filtered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A participant story</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One real journey — manual input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Manual text field</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5</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What's next</w:t>
            </w:r>
          </w:p>
        </w:tc>
        <w:tc>
          <w:tcPr>
            <w:tcW w:type="dxa" w:w="4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Coming next period — manual input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Manual text field</w:t>
            </w:r>
          </w:p>
        </w:tc>
      </w:tr>
    </w:tbl>
    <w:p>
      <w:pPr>
        <w:spacing w:before="100" w:after="100"/>
      </w:pPr>
      <w:r>
        <w:t xml:space="preserve"/>
      </w:r>
    </w:p>
    <w:p>
      <w:pPr>
        <w:spacing w:before="240" w:after="80"/>
      </w:pPr>
      <w:r>
        <w:rPr>
          <w:rFonts w:ascii="Arial" w:cs="Arial" w:eastAsia="Arial" w:hAnsi="Arial"/>
          <w:b/>
          <w:bCs/>
          <w:color w:val="006B6B"/>
          <w:sz w:val="24"/>
          <w:szCs w:val="24"/>
        </w:rPr>
        <w:t xml:space="preserve">Style B — Story Narrative (Foundation North / Pasifika)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rPr>
          <w:tblHeader/>
        </w:trPr>
        <w:tc>
          <w:tcPr>
            <w:tcW w:type="dxa" w:w="4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4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656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Content and Tone</w:t>
            </w:r>
          </w:p>
        </w:tc>
      </w:tr>
      <w:tr>
        <w:tc>
          <w:tcPr>
            <w:tcW w:type="dxa" w:w="400"/>
            <w:tcBorders>
              <w:top w:val="single" w:color="DDDDDD" w:sz="1"/>
              <w:left w:val="single" w:color="DDDDDD" w:sz="1"/>
              <w:bottom w:val="single" w:color="DDDDDD" w:sz="1"/>
              <w:right w:val="single" w:color="DDDDDD" w:sz="1"/>
            </w:tcBorders>
            <w:shd w:fill="EDE4F7" w:val="clear"/>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2400"/>
            <w:tcBorders>
              <w:top w:val="single" w:color="DDDDDD" w:sz="1"/>
              <w:left w:val="single" w:color="DDDDDD" w:sz="1"/>
              <w:bottom w:val="single" w:color="DDDDDD" w:sz="1"/>
              <w:right w:val="single" w:color="DDDDDD" w:sz="1"/>
            </w:tcBorders>
            <w:shd w:fill="EDE4F7" w:val="clear"/>
            <w:tcMar>
              <w:top w:type="dxa" w:w="80"/>
              <w:left w:type="dxa" w:w="120"/>
              <w:bottom w:type="dxa" w:w="80"/>
              <w:right w:type="dxa" w:w="120"/>
            </w:tcMar>
          </w:tcPr>
          <w:p>
            <w:r>
              <w:rPr>
                <w:rFonts w:ascii="Arial" w:cs="Arial" w:eastAsia="Arial" w:hAnsi="Arial"/>
                <w:b/>
                <w:bCs/>
                <w:color w:val="2D2D2D"/>
                <w:sz w:val="20"/>
                <w:szCs w:val="20"/>
              </w:rPr>
              <w:t xml:space="preserve">Who our community is</w:t>
            </w:r>
          </w:p>
        </w:tc>
        <w:tc>
          <w:tcPr>
            <w:tcW w:type="dxa" w:w="6560"/>
            <w:tcBorders>
              <w:top w:val="single" w:color="DDDDDD" w:sz="1"/>
              <w:left w:val="single" w:color="DDDDDD" w:sz="1"/>
              <w:bottom w:val="single" w:color="DDDDDD" w:sz="1"/>
              <w:right w:val="single" w:color="DDDDDD" w:sz="1"/>
            </w:tcBorders>
            <w:shd w:fill="EDE4F7" w:val="clear"/>
            <w:tcMar>
              <w:top w:type="dxa" w:w="80"/>
              <w:left w:type="dxa" w:w="120"/>
              <w:bottom w:type="dxa" w:w="80"/>
              <w:right w:type="dxa" w:w="120"/>
            </w:tcMar>
          </w:tcPr>
          <w:p>
            <w:r>
              <w:rPr>
                <w:rFonts w:ascii="Arial" w:cs="Arial" w:eastAsia="Arial" w:hAnsi="Arial"/>
                <w:b w:val="false"/>
                <w:bCs w:val="false"/>
                <w:color w:val="2D2D2D"/>
                <w:sz w:val="20"/>
                <w:szCs w:val="20"/>
              </w:rPr>
              <w:t xml:space="preserve">A short paragraph describing the Pasifika community in East Auckland / Tāmaki. Who they are, where they're at, what they're building. Human, not statistical.</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What's happening in the community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What's active, what's growing, what conversations are happening. Draw from delivery and engagement data but write it as observation not metrics.</w:t>
            </w:r>
          </w:p>
        </w:tc>
      </w:tr>
      <w:tr>
        <w:tc>
          <w:tcPr>
            <w:tcW w:type="dxa" w:w="400"/>
            <w:tcBorders>
              <w:top w:val="single" w:color="DDDDDD" w:sz="1"/>
              <w:left w:val="single" w:color="DDDDDD" w:sz="1"/>
              <w:bottom w:val="single" w:color="DDDDDD" w:sz="1"/>
              <w:right w:val="single" w:color="DDDDDD" w:sz="1"/>
            </w:tcBorders>
            <w:shd w:fill="EDE4F7" w:val="clear"/>
            <w:tcMar>
              <w:top w:type="dxa" w:w="80"/>
              <w:left w:type="dxa" w:w="120"/>
              <w:bottom w:type="dxa" w:w="80"/>
              <w:right w:type="dxa" w:w="120"/>
            </w:tcMar>
          </w:tcPr>
          <w:p>
            <w:r>
              <w:rPr>
                <w:rFonts w:ascii="Arial" w:cs="Arial" w:eastAsia="Arial" w:hAnsi="Arial"/>
                <w:b w:val="false"/>
                <w:bCs w:val="false"/>
                <w:color w:val="2D2D2D"/>
                <w:sz w:val="20"/>
                <w:szCs w:val="20"/>
              </w:rPr>
              <w:t xml:space="preserve">3</w:t>
            </w:r>
          </w:p>
        </w:tc>
        <w:tc>
          <w:tcPr>
            <w:tcW w:type="dxa" w:w="2400"/>
            <w:tcBorders>
              <w:top w:val="single" w:color="DDDDDD" w:sz="1"/>
              <w:left w:val="single" w:color="DDDDDD" w:sz="1"/>
              <w:bottom w:val="single" w:color="DDDDDD" w:sz="1"/>
              <w:right w:val="single" w:color="DDDDDD" w:sz="1"/>
            </w:tcBorders>
            <w:shd w:fill="EDE4F7" w:val="clear"/>
            <w:tcMar>
              <w:top w:type="dxa" w:w="80"/>
              <w:left w:type="dxa" w:w="120"/>
              <w:bottom w:type="dxa" w:w="80"/>
              <w:right w:type="dxa" w:w="120"/>
            </w:tcMar>
          </w:tcPr>
          <w:p>
            <w:r>
              <w:rPr>
                <w:rFonts w:ascii="Arial" w:cs="Arial" w:eastAsia="Arial" w:hAnsi="Arial"/>
                <w:b/>
                <w:bCs/>
                <w:color w:val="2D2D2D"/>
                <w:sz w:val="20"/>
                <w:szCs w:val="20"/>
              </w:rPr>
              <w:t xml:space="preserve">A person's story</w:t>
            </w:r>
          </w:p>
        </w:tc>
        <w:tc>
          <w:tcPr>
            <w:tcW w:type="dxa" w:w="6560"/>
            <w:tcBorders>
              <w:top w:val="single" w:color="DDDDDD" w:sz="1"/>
              <w:left w:val="single" w:color="DDDDDD" w:sz="1"/>
              <w:bottom w:val="single" w:color="DDDDDD" w:sz="1"/>
              <w:right w:val="single" w:color="DDDDDD" w:sz="1"/>
            </w:tcBorders>
            <w:shd w:fill="EDE4F7" w:val="clear"/>
            <w:tcMar>
              <w:top w:type="dxa" w:w="80"/>
              <w:left w:type="dxa" w:w="120"/>
              <w:bottom w:type="dxa" w:w="80"/>
              <w:right w:type="dxa" w:w="120"/>
            </w:tcMar>
          </w:tcPr>
          <w:p>
            <w:r>
              <w:rPr>
                <w:rFonts w:ascii="Arial" w:cs="Arial" w:eastAsia="Arial" w:hAnsi="Arial"/>
                <w:b w:val="false"/>
                <w:bCs w:val="false"/>
                <w:color w:val="2D2D2D"/>
                <w:sz w:val="20"/>
                <w:szCs w:val="20"/>
              </w:rPr>
              <w:t xml:space="preserve">One Pasifika person's journey told with honesty. Include the slow parts, not just the wins. This is the most important section. Manual input required.</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What we're seeing change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Confidence, connections, economic momentum. Draw from outcome movement data but frame as community observation not KPI tracking.</w:t>
            </w:r>
          </w:p>
        </w:tc>
      </w:tr>
      <w:tr>
        <w:tc>
          <w:tcPr>
            <w:tcW w:type="dxa" w:w="400"/>
            <w:tcBorders>
              <w:top w:val="single" w:color="DDDDDD" w:sz="1"/>
              <w:left w:val="single" w:color="DDDDDD" w:sz="1"/>
              <w:bottom w:val="single" w:color="DDDDDD" w:sz="1"/>
              <w:right w:val="single" w:color="DDDDDD" w:sz="1"/>
            </w:tcBorders>
            <w:shd w:fill="EDE4F7" w:val="clear"/>
            <w:tcMar>
              <w:top w:type="dxa" w:w="80"/>
              <w:left w:type="dxa" w:w="120"/>
              <w:bottom w:type="dxa" w:w="80"/>
              <w:right w:type="dxa" w:w="120"/>
            </w:tcMar>
          </w:tcPr>
          <w:p>
            <w:r>
              <w:rPr>
                <w:rFonts w:ascii="Arial" w:cs="Arial" w:eastAsia="Arial" w:hAnsi="Arial"/>
                <w:b w:val="false"/>
                <w:bCs w:val="false"/>
                <w:color w:val="2D2D2D"/>
                <w:sz w:val="20"/>
                <w:szCs w:val="20"/>
              </w:rPr>
              <w:t xml:space="preserve">5</w:t>
            </w:r>
          </w:p>
        </w:tc>
        <w:tc>
          <w:tcPr>
            <w:tcW w:type="dxa" w:w="2400"/>
            <w:tcBorders>
              <w:top w:val="single" w:color="DDDDDD" w:sz="1"/>
              <w:left w:val="single" w:color="DDDDDD" w:sz="1"/>
              <w:bottom w:val="single" w:color="DDDDDD" w:sz="1"/>
              <w:right w:val="single" w:color="DDDDDD" w:sz="1"/>
            </w:tcBorders>
            <w:shd w:fill="EDE4F7" w:val="clear"/>
            <w:tcMar>
              <w:top w:type="dxa" w:w="80"/>
              <w:left w:type="dxa" w:w="120"/>
              <w:bottom w:type="dxa" w:w="80"/>
              <w:right w:type="dxa" w:w="120"/>
            </w:tcMar>
          </w:tcPr>
          <w:p>
            <w:r>
              <w:rPr>
                <w:rFonts w:ascii="Arial" w:cs="Arial" w:eastAsia="Arial" w:hAnsi="Arial"/>
                <w:b/>
                <w:bCs/>
                <w:color w:val="2D2D2D"/>
                <w:sz w:val="20"/>
                <w:szCs w:val="20"/>
              </w:rPr>
              <w:t xml:space="preserve">What this community needs next</w:t>
            </w:r>
          </w:p>
        </w:tc>
        <w:tc>
          <w:tcPr>
            <w:tcW w:type="dxa" w:w="6560"/>
            <w:tcBorders>
              <w:top w:val="single" w:color="DDDDDD" w:sz="1"/>
              <w:left w:val="single" w:color="DDDDDD" w:sz="1"/>
              <w:bottom w:val="single" w:color="DDDDDD" w:sz="1"/>
              <w:right w:val="single" w:color="DDDDDD" w:sz="1"/>
            </w:tcBorders>
            <w:shd w:fill="EDE4F7" w:val="clear"/>
            <w:tcMar>
              <w:top w:type="dxa" w:w="80"/>
              <w:left w:type="dxa" w:w="120"/>
              <w:bottom w:type="dxa" w:w="80"/>
              <w:right w:type="dxa" w:w="120"/>
            </w:tcMar>
          </w:tcPr>
          <w:p>
            <w:r>
              <w:rPr>
                <w:rFonts w:ascii="Arial" w:cs="Arial" w:eastAsia="Arial" w:hAnsi="Arial"/>
                <w:b w:val="false"/>
                <w:bCs w:val="false"/>
                <w:color w:val="2D2D2D"/>
                <w:sz w:val="20"/>
                <w:szCs w:val="20"/>
              </w:rPr>
              <w:t xml:space="preserve">Honest reflection on where support is needed. This is the implicit ask without being a pitch. Manual input.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2A" w:sz="1"/>
              <w:left w:val="single" w:color="C8972A" w:sz="12"/>
              <w:bottom w:val="single" w:color="C8972A" w:sz="1"/>
              <w:right w:val="single" w:color="C8972A" w:sz="1"/>
            </w:tcBorders>
            <w:shd w:fill="FDF5E0" w:val="clear"/>
            <w:tcMar>
              <w:top w:type="dxa" w:w="120"/>
              <w:left w:type="dxa" w:w="200"/>
              <w:bottom w:type="dxa" w:w="120"/>
              <w:right w:type="dxa" w:w="200"/>
            </w:tcMar>
          </w:tcPr>
          <w:p>
            <w:r>
              <w:rPr>
                <w:rFonts w:ascii="Arial" w:cs="Arial" w:eastAsia="Arial" w:hAnsi="Arial"/>
                <w:color w:val="2D2D2D"/>
                <w:sz w:val="20"/>
                <w:szCs w:val="20"/>
              </w:rPr>
              <w:t xml:space="preserve">DEVELOPER NOTE: Section 3 in both styles — the participant story — must always be a manual input field. Never auto-generate this. Real stories told in the organisation's own voice are what build funder relationships. An AI-generated story will undermine trust if it ever reads as generic.</w:t>
            </w:r>
          </w:p>
        </w:tc>
      </w:tr>
    </w:tbl>
    <w:p>
      <w:pPr>
        <w:spacing w:before="100" w:after="100"/>
      </w:pPr>
      <w:r>
        <w:t xml:space="preserve"/>
      </w:r>
    </w:p>
    <w:p>
      <w:pPr>
        <w:spacing w:before="100" w:after="100"/>
      </w:pPr>
      <w:r>
        <w:t xml:space="preserve"/>
      </w:r>
    </w:p>
    <w:p>
      <w:pPr>
        <w:pStyle w:val="Heading1"/>
        <w:pBdr>
          <w:bottom w:val="single" w:color="006B6B" w:sz="4" w:space="4"/>
        </w:pBdr>
        <w:spacing w:before="400" w:after="200"/>
      </w:pPr>
      <w:r>
        <w:rPr>
          <w:rFonts w:ascii="Arial" w:cs="Arial" w:eastAsia="Arial" w:hAnsi="Arial"/>
          <w:b/>
          <w:bCs/>
          <w:color w:val="006B6B"/>
          <w:sz w:val="36"/>
          <w:szCs w:val="36"/>
        </w:rPr>
        <w:t xml:space="preserve">7. New Feature 4 — Tāmaki Ora Alignment Panel</w:t>
      </w:r>
    </w:p>
    <w:p>
      <w:pPr>
        <w:spacing w:before="240" w:after="80"/>
      </w:pPr>
      <w:r>
        <w:rPr>
          <w:rFonts w:ascii="Arial" w:cs="Arial" w:eastAsia="Arial" w:hAnsi="Arial"/>
          <w:b/>
          <w:bCs/>
          <w:color w:val="006B6B"/>
          <w:sz w:val="24"/>
          <w:szCs w:val="24"/>
        </w:rPr>
        <w:t xml:space="preserve">What It Does</w:t>
      </w:r>
    </w:p>
    <w:p>
      <w:pPr>
        <w:spacing w:before="60" w:after="60"/>
      </w:pPr>
      <w:r>
        <w:rPr>
          <w:rFonts w:ascii="Arial" w:cs="Arial" w:eastAsia="Arial" w:hAnsi="Arial"/>
          <w:color w:val="2D2D2D"/>
          <w:sz w:val="22"/>
          <w:szCs w:val="22"/>
        </w:rPr>
        <w:t xml:space="preserve">When the Ngā Mātārae funder profile is active, an additional panel appears mapping Reserve Tāmaki's Māori activity to the three Tāmaki Ora pou our work sits under. This is the policy language the committee uses to evaluate funded organisations.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Tāmaki Ora Pou</w:t>
            </w:r>
          </w:p>
        </w:tc>
        <w:tc>
          <w:tcPr>
            <w:tcW w:type="dxa" w:w="356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What We Count (Māori lens only)</w:t>
            </w:r>
          </w:p>
        </w:tc>
        <w:tc>
          <w:tcPr>
            <w:tcW w:type="dxa" w:w="34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Data Source</w:t>
            </w:r>
          </w:p>
        </w:tc>
      </w:tr>
      <w:tr>
        <w:tc>
          <w:tcPr>
            <w:tcW w:type="dxa" w:w="2400"/>
            <w:tcBorders>
              <w:top w:val="single" w:color="DDDDDD" w:sz="1"/>
              <w:left w:val="single" w:color="DDDDDD" w:sz="1"/>
              <w:bottom w:val="single" w:color="DDDDDD" w:sz="1"/>
              <w:right w:val="single" w:color="DDDDDD" w:sz="1"/>
            </w:tcBorders>
            <w:shd w:fill="E0F2F2" w:val="clear"/>
            <w:tcMar>
              <w:top w:type="dxa" w:w="80"/>
              <w:left w:type="dxa" w:w="120"/>
              <w:bottom w:type="dxa" w:w="80"/>
              <w:right w:type="dxa" w:w="120"/>
            </w:tcMar>
          </w:tcPr>
          <w:p>
            <w:r>
              <w:rPr>
                <w:rFonts w:ascii="Arial" w:cs="Arial" w:eastAsia="Arial" w:hAnsi="Arial"/>
                <w:b/>
                <w:bCs/>
                <w:color w:val="2D2D2D"/>
                <w:sz w:val="20"/>
                <w:szCs w:val="20"/>
              </w:rPr>
              <w:t xml:space="preserve">Whai Rawa Ora — Māori economic wellbeing</w:t>
            </w:r>
          </w:p>
        </w:tc>
        <w:tc>
          <w:tcPr>
            <w:tcW w:type="dxa" w:w="3560"/>
            <w:tcBorders>
              <w:top w:val="single" w:color="DDDDDD" w:sz="1"/>
              <w:left w:val="single" w:color="DDDDDD" w:sz="1"/>
              <w:bottom w:val="single" w:color="DDDDDD" w:sz="1"/>
              <w:right w:val="single" w:color="DDDDDD" w:sz="1"/>
            </w:tcBorders>
            <w:shd w:fill="E0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Māori participants in business programmes, funding secured by Māori participants, businesses progressed across stages</w:t>
            </w:r>
          </w:p>
        </w:tc>
        <w:tc>
          <w:tcPr>
            <w:tcW w:type="dxa" w:w="3400"/>
            <w:tcBorders>
              <w:top w:val="single" w:color="DDDDDD" w:sz="1"/>
              <w:left w:val="single" w:color="DDDDDD" w:sz="1"/>
              <w:bottom w:val="single" w:color="DDDDDD" w:sz="1"/>
              <w:right w:val="single" w:color="DDDDDD" w:sz="1"/>
            </w:tcBorders>
            <w:shd w:fill="E0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Outcome Movement milestones + programme filter (Māori lens)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Te Hapori Ora — thriving communities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Māori participants in community events, rangatahi engaged, repeat engagement, connections made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Engagement section (Māori lens) + Delivery section</w:t>
            </w:r>
          </w:p>
        </w:tc>
      </w:tr>
      <w:tr>
        <w:tc>
          <w:tcPr>
            <w:tcW w:type="dxa" w:w="2400"/>
            <w:tcBorders>
              <w:top w:val="single" w:color="DDDDDD" w:sz="1"/>
              <w:left w:val="single" w:color="DDDDDD" w:sz="1"/>
              <w:bottom w:val="single" w:color="DDDDDD" w:sz="1"/>
              <w:right w:val="single" w:color="DDDDDD" w:sz="1"/>
            </w:tcBorders>
            <w:shd w:fill="E0F2F2" w:val="clear"/>
            <w:tcMar>
              <w:top w:type="dxa" w:w="80"/>
              <w:left w:type="dxa" w:w="120"/>
              <w:bottom w:type="dxa" w:w="80"/>
              <w:right w:type="dxa" w:w="120"/>
            </w:tcMar>
          </w:tcPr>
          <w:p>
            <w:r>
              <w:rPr>
                <w:rFonts w:ascii="Arial" w:cs="Arial" w:eastAsia="Arial" w:hAnsi="Arial"/>
                <w:b/>
                <w:bCs/>
                <w:color w:val="2D2D2D"/>
                <w:sz w:val="20"/>
                <w:szCs w:val="20"/>
              </w:rPr>
              <w:t xml:space="preserve">Huatau Ora — innovation and futures</w:t>
            </w:r>
          </w:p>
        </w:tc>
        <w:tc>
          <w:tcPr>
            <w:tcW w:type="dxa" w:w="3560"/>
            <w:tcBorders>
              <w:top w:val="single" w:color="DDDDDD" w:sz="1"/>
              <w:left w:val="single" w:color="DDDDDD" w:sz="1"/>
              <w:bottom w:val="single" w:color="DDDDDD" w:sz="1"/>
              <w:right w:val="single" w:color="DDDDDD" w:sz="1"/>
            </w:tcBorders>
            <w:shd w:fill="E0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Māori rangatahi in innovation programmes, new ventures started, mindset shift scores</w:t>
            </w:r>
          </w:p>
        </w:tc>
        <w:tc>
          <w:tcPr>
            <w:tcW w:type="dxa" w:w="3400"/>
            <w:tcBorders>
              <w:top w:val="single" w:color="DDDDDD" w:sz="1"/>
              <w:left w:val="single" w:color="DDDDDD" w:sz="1"/>
              <w:bottom w:val="single" w:color="DDDDDD" w:sz="1"/>
              <w:right w:val="single" w:color="DDDDDD" w:sz="1"/>
            </w:tcBorders>
            <w:shd w:fill="E0F2F2" w:val="clear"/>
            <w:tcMar>
              <w:top w:type="dxa" w:w="80"/>
              <w:left w:type="dxa" w:w="120"/>
              <w:bottom w:type="dxa" w:w="80"/>
              <w:right w:type="dxa" w:w="120"/>
            </w:tcMar>
          </w:tcPr>
          <w:p>
            <w:r>
              <w:rPr>
                <w:rFonts w:ascii="Arial" w:cs="Arial" w:eastAsia="Arial" w:hAnsi="Arial"/>
                <w:b w:val="false"/>
                <w:bCs w:val="false"/>
                <w:color w:val="2D2D2D"/>
                <w:sz w:val="20"/>
                <w:szCs w:val="20"/>
              </w:rPr>
              <w:t xml:space="preserve">Programme filter (Youth/Innovation) + Outcome Movement (Māori lens)</w:t>
            </w:r>
          </w:p>
        </w:tc>
      </w:tr>
    </w:tbl>
    <w:p>
      <w:pPr>
        <w:spacing w:before="100" w:after="100"/>
      </w:pPr>
      <w:r>
        <w:t xml:space="preserve"/>
      </w:r>
    </w:p>
    <w:p>
      <w:pPr>
        <w:spacing w:before="240" w:after="80"/>
      </w:pPr>
      <w:r>
        <w:rPr>
          <w:rFonts w:ascii="Arial" w:cs="Arial" w:eastAsia="Arial" w:hAnsi="Arial"/>
          <w:b/>
          <w:bCs/>
          <w:color w:val="006B6B"/>
          <w:sz w:val="24"/>
          <w:szCs w:val="24"/>
        </w:rPr>
        <w:t xml:space="preserve">Implementation Notes</w:t>
      </w:r>
    </w:p>
    <w:p>
      <w:pPr>
        <w:pStyle w:val="ListParagraph"/>
        <w:numPr>
          <w:ilvl w:val="0"/>
          <w:numId w:val="2"/>
        </w:numPr>
        <w:spacing w:before="40" w:after="40"/>
      </w:pPr>
      <w:r>
        <w:rPr>
          <w:rFonts w:ascii="Arial" w:cs="Arial" w:eastAsia="Arial" w:hAnsi="Arial"/>
          <w:b w:val="false"/>
          <w:bCs w:val="false"/>
          <w:color w:val="2D2D2D"/>
          <w:sz w:val="22"/>
          <w:szCs w:val="22"/>
        </w:rPr>
        <w:t xml:space="preserve">Panel only appears when Ngā Mātārae profile is active</w:t>
      </w:r>
    </w:p>
    <w:p>
      <w:pPr>
        <w:pStyle w:val="ListParagraph"/>
        <w:numPr>
          <w:ilvl w:val="0"/>
          <w:numId w:val="2"/>
        </w:numPr>
        <w:spacing w:before="40" w:after="40"/>
      </w:pPr>
      <w:r>
        <w:rPr>
          <w:rFonts w:ascii="Arial" w:cs="Arial" w:eastAsia="Arial" w:hAnsi="Arial"/>
          <w:b w:val="false"/>
          <w:bCs w:val="false"/>
          <w:color w:val="2D2D2D"/>
          <w:sz w:val="22"/>
          <w:szCs w:val="22"/>
        </w:rPr>
        <w:t xml:space="preserve">Pou labels and descriptions are hardcoded — fixed framework language from Tāmaki Ora 2025–2027</w:t>
      </w:r>
    </w:p>
    <w:p>
      <w:pPr>
        <w:pStyle w:val="ListParagraph"/>
        <w:numPr>
          <w:ilvl w:val="0"/>
          <w:numId w:val="2"/>
        </w:numPr>
        <w:spacing w:before="40" w:after="40"/>
      </w:pPr>
      <w:r>
        <w:rPr>
          <w:rFonts w:ascii="Arial" w:cs="Arial" w:eastAsia="Arial" w:hAnsi="Arial"/>
          <w:b w:val="false"/>
          <w:bCs w:val="false"/>
          <w:color w:val="2D2D2D"/>
          <w:sz w:val="22"/>
          <w:szCs w:val="22"/>
        </w:rPr>
        <w:t xml:space="preserve">This is a display layer only — all data comes from existing sections filtered by Māori lens</w:t>
      </w:r>
    </w:p>
    <w:p>
      <w:pPr>
        <w:pStyle w:val="ListParagraph"/>
        <w:numPr>
          <w:ilvl w:val="0"/>
          <w:numId w:val="2"/>
        </w:numPr>
        <w:spacing w:before="40" w:after="40"/>
      </w:pPr>
      <w:r>
        <w:rPr>
          <w:rFonts w:ascii="Arial" w:cs="Arial" w:eastAsia="Arial" w:hAnsi="Arial"/>
          <w:b w:val="false"/>
          <w:bCs w:val="false"/>
          <w:color w:val="2D2D2D"/>
          <w:sz w:val="22"/>
          <w:szCs w:val="22"/>
        </w:rPr>
        <w:t xml:space="preserve">Label this panel 'Tāmaki Ora Alignment' in the UI</w:t>
      </w:r>
    </w:p>
    <w:p>
      <w:pPr>
        <w:pStyle w:val="ListParagraph"/>
        <w:numPr>
          <w:ilvl w:val="0"/>
          <w:numId w:val="2"/>
        </w:numPr>
        <w:spacing w:before="40" w:after="40"/>
      </w:pPr>
      <w:r>
        <w:rPr>
          <w:rFonts w:ascii="Arial" w:cs="Arial" w:eastAsia="Arial" w:hAnsi="Arial"/>
          <w:b w:val="false"/>
          <w:bCs w:val="false"/>
          <w:color w:val="2D2D2D"/>
          <w:sz w:val="22"/>
          <w:szCs w:val="22"/>
        </w:rPr>
        <w:t xml:space="preserve">Add a plain English tooltip on each pou name for internal team reference</w:t>
      </w:r>
    </w:p>
    <w:p>
      <w:pPr>
        <w:spacing w:before="100" w:after="100"/>
      </w:pPr>
      <w:r>
        <w:t xml:space="preserve"/>
      </w:r>
    </w:p>
    <w:p>
      <w:pPr>
        <w:spacing w:before="100" w:after="100"/>
      </w:pPr>
      <w:r>
        <w:t xml:space="preserve"/>
      </w:r>
    </w:p>
    <w:p>
      <w:pPr>
        <w:pStyle w:val="Heading1"/>
        <w:pBdr>
          <w:bottom w:val="single" w:color="006B6B" w:sz="4" w:space="4"/>
        </w:pBdr>
        <w:spacing w:before="400" w:after="200"/>
      </w:pPr>
      <w:r>
        <w:rPr>
          <w:rFonts w:ascii="Arial" w:cs="Arial" w:eastAsia="Arial" w:hAnsi="Arial"/>
          <w:b/>
          <w:bCs/>
          <w:color w:val="006B6B"/>
          <w:sz w:val="36"/>
          <w:szCs w:val="36"/>
        </w:rPr>
        <w:t xml:space="preserve">8. New Feature 5 — Community Comparison Panel</w:t>
      </w:r>
    </w:p>
    <w:p>
      <w:pPr>
        <w:spacing w:before="240" w:after="80"/>
      </w:pPr>
      <w:r>
        <w:rPr>
          <w:rFonts w:ascii="Arial" w:cs="Arial" w:eastAsia="Arial" w:hAnsi="Arial"/>
          <w:b/>
          <w:bCs/>
          <w:color w:val="006B6B"/>
          <w:sz w:val="24"/>
          <w:szCs w:val="24"/>
        </w:rPr>
        <w:t xml:space="preserve">What It Does</w:t>
      </w:r>
    </w:p>
    <w:p>
      <w:pPr>
        <w:spacing w:before="60" w:after="60"/>
      </w:pPr>
      <w:r>
        <w:rPr>
          <w:rFonts w:ascii="Arial" w:cs="Arial" w:eastAsia="Arial" w:hAnsi="Arial"/>
          <w:color w:val="2D2D2D"/>
          <w:sz w:val="22"/>
          <w:szCs w:val="22"/>
        </w:rPr>
        <w:t xml:space="preserve">A side by side view of Māori and Pasifika data in the same panel. Critical for internal understanding and for showing the full community picture to EDO who fund both.</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312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Māori (mātāwaka)</w:t>
            </w:r>
          </w:p>
        </w:tc>
        <w:tc>
          <w:tcPr>
            <w:tcW w:type="dxa" w:w="312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Pasifika</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Unique participants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[count]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[count]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Rangatahi (under 25)</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[count]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[count]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Active in business programmes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[count]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[count]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Showing confidence growth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Milestones achieved this period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[count]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[count]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Businesses trading or launched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[count]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[count]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2A" w:sz="1"/>
              <w:left w:val="single" w:color="C8972A" w:sz="12"/>
              <w:bottom w:val="single" w:color="C8972A" w:sz="1"/>
              <w:right w:val="single" w:color="C8972A" w:sz="1"/>
            </w:tcBorders>
            <w:shd w:fill="FDF5E0" w:val="clear"/>
            <w:tcMar>
              <w:top w:type="dxa" w:w="120"/>
              <w:left w:type="dxa" w:w="200"/>
              <w:bottom w:type="dxa" w:w="120"/>
              <w:right w:type="dxa" w:w="200"/>
            </w:tcMar>
          </w:tcPr>
          <w:p>
            <w:r>
              <w:rPr>
                <w:rFonts w:ascii="Arial" w:cs="Arial" w:eastAsia="Arial" w:hAnsi="Arial"/>
                <w:color w:val="2D2D2D"/>
                <w:sz w:val="20"/>
                <w:szCs w:val="20"/>
              </w:rPr>
              <w:t xml:space="preserve">WHY THIS MATTERS: Our Pasifika community currently has more businesses trading and more entrepreneurs further along than our Māori cohort. This is the honest reality of where East Auckland is at. The comparison panel makes this visible internally so we can plan support appropriately, and externally so funders understand what each community actually needs.</w:t>
            </w:r>
          </w:p>
        </w:tc>
      </w:tr>
    </w:tbl>
    <w:p>
      <w:pPr>
        <w:spacing w:before="100" w:after="100"/>
      </w:pPr>
      <w:r>
        <w:t xml:space="preserve"/>
      </w:r>
    </w:p>
    <w:p>
      <w:pPr>
        <w:spacing w:before="240" w:after="80"/>
      </w:pPr>
      <w:r>
        <w:rPr>
          <w:rFonts w:ascii="Arial" w:cs="Arial" w:eastAsia="Arial" w:hAnsi="Arial"/>
          <w:b/>
          <w:bCs/>
          <w:color w:val="006B6B"/>
          <w:sz w:val="24"/>
          <w:szCs w:val="24"/>
        </w:rPr>
        <w:t xml:space="preserve">Implementation Notes</w:t>
      </w:r>
    </w:p>
    <w:p>
      <w:pPr>
        <w:pStyle w:val="ListParagraph"/>
        <w:numPr>
          <w:ilvl w:val="0"/>
          <w:numId w:val="2"/>
        </w:numPr>
        <w:spacing w:before="40" w:after="40"/>
      </w:pPr>
      <w:r>
        <w:rPr>
          <w:rFonts w:ascii="Arial" w:cs="Arial" w:eastAsia="Arial" w:hAnsi="Arial"/>
          <w:b w:val="false"/>
          <w:bCs w:val="false"/>
          <w:color w:val="2D2D2D"/>
          <w:sz w:val="22"/>
          <w:szCs w:val="22"/>
        </w:rPr>
        <w:t xml:space="preserve">Add as a 7th collapsible section called 'Community Comparison'</w:t>
      </w:r>
    </w:p>
    <w:p>
      <w:pPr>
        <w:pStyle w:val="ListParagraph"/>
        <w:numPr>
          <w:ilvl w:val="0"/>
          <w:numId w:val="2"/>
        </w:numPr>
        <w:spacing w:before="40" w:after="40"/>
      </w:pPr>
      <w:r>
        <w:rPr>
          <w:rFonts w:ascii="Arial" w:cs="Arial" w:eastAsia="Arial" w:hAnsi="Arial"/>
          <w:b w:val="false"/>
          <w:bCs w:val="false"/>
          <w:color w:val="2D2D2D"/>
          <w:sz w:val="22"/>
          <w:szCs w:val="22"/>
        </w:rPr>
        <w:t xml:space="preserve">Only show when no community lens is active (All Communities view)</w:t>
      </w:r>
    </w:p>
    <w:p>
      <w:pPr>
        <w:pStyle w:val="ListParagraph"/>
        <w:numPr>
          <w:ilvl w:val="0"/>
          <w:numId w:val="2"/>
        </w:numPr>
        <w:spacing w:before="40" w:after="40"/>
      </w:pPr>
      <w:r>
        <w:rPr>
          <w:rFonts w:ascii="Arial" w:cs="Arial" w:eastAsia="Arial" w:hAnsi="Arial"/>
          <w:b w:val="false"/>
          <w:bCs w:val="false"/>
          <w:color w:val="2D2D2D"/>
          <w:sz w:val="22"/>
          <w:szCs w:val="22"/>
        </w:rPr>
        <w:t xml:space="preserve">Pull from existing ethnicity breakdown data in Section 1 — no new data collection needed</w:t>
      </w:r>
    </w:p>
    <w:p>
      <w:pPr>
        <w:pStyle w:val="ListParagraph"/>
        <w:numPr>
          <w:ilvl w:val="0"/>
          <w:numId w:val="2"/>
        </w:numPr>
        <w:spacing w:before="40" w:after="40"/>
      </w:pPr>
      <w:r>
        <w:rPr>
          <w:rFonts w:ascii="Arial" w:cs="Arial" w:eastAsia="Arial" w:hAnsi="Arial"/>
          <w:b w:val="false"/>
          <w:bCs w:val="false"/>
          <w:color w:val="2D2D2D"/>
          <w:sz w:val="22"/>
          <w:szCs w:val="22"/>
        </w:rPr>
        <w:t xml:space="preserve">Include a simple visual indicator showing the relative community split across total participants</w:t>
      </w:r>
    </w:p>
    <w:p>
      <w:pPr>
        <w:spacing w:before="100" w:after="100"/>
      </w:pPr>
      <w:r>
        <w:t xml:space="preserve"/>
      </w:r>
    </w:p>
    <w:p>
      <w:pPr>
        <w:spacing w:before="100" w:after="100"/>
      </w:pPr>
      <w:r>
        <w:t xml:space="preserve"/>
      </w:r>
    </w:p>
    <w:p>
      <w:pPr>
        <w:pStyle w:val="Heading1"/>
        <w:pBdr>
          <w:bottom w:val="single" w:color="006B6B" w:sz="4" w:space="4"/>
        </w:pBdr>
        <w:spacing w:before="400" w:after="200"/>
      </w:pPr>
      <w:r>
        <w:rPr>
          <w:rFonts w:ascii="Arial" w:cs="Arial" w:eastAsia="Arial" w:hAnsi="Arial"/>
          <w:b/>
          <w:bCs/>
          <w:color w:val="006B6B"/>
          <w:sz w:val="36"/>
          <w:szCs w:val="36"/>
        </w:rPr>
        <w:t xml:space="preserve">9. Build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000"/>
        <w:gridCol w:w="3760"/>
      </w:tblGrid>
      <w:tr>
        <w:trPr>
          <w:tblHeader/>
        </w:trPr>
        <w:tc>
          <w:tcPr>
            <w:tcW w:type="dxa" w:w="4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2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200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3760"/>
            <w:tcBorders>
              <w:top w:val="single" w:color="006B6B" w:sz="1"/>
              <w:left w:val="single" w:color="006B6B" w:sz="1"/>
              <w:bottom w:val="single" w:color="006B6B" w:sz="1"/>
              <w:right w:val="single" w:color="006B6B" w:sz="1"/>
            </w:tcBorders>
            <w:shd w:fill="006B6B" w:val="clear"/>
            <w:tcMar>
              <w:top w:type="dxa" w:w="100"/>
              <w:left w:type="dxa" w:w="120"/>
              <w:bottom w:type="dxa" w:w="100"/>
              <w:right w:type="dxa" w:w="120"/>
            </w:tcMar>
          </w:tcPr>
          <w:p>
            <w:r>
              <w:rPr>
                <w:rFonts w:ascii="Arial" w:cs="Arial" w:eastAsia="Arial" w:hAnsi="Arial"/>
                <w:b/>
                <w:bCs/>
                <w:color w:val="FFFFFF"/>
                <w:sz w:val="20"/>
                <w:szCs w:val="20"/>
              </w:rPr>
              <w:t xml:space="preserve">Reason</w:t>
            </w:r>
          </w:p>
        </w:tc>
      </w:tr>
      <w:tr>
        <w:tc>
          <w:tcPr>
            <w:tcW w:type="dxa" w:w="400"/>
            <w:tcBorders>
              <w:top w:val="single" w:color="DDDDDD" w:sz="1"/>
              <w:left w:val="single" w:color="DDDDDD" w:sz="1"/>
              <w:bottom w:val="single" w:color="DDDDDD" w:sz="1"/>
              <w:right w:val="single" w:color="DDDDDD" w:sz="1"/>
            </w:tcBorders>
            <w:shd w:fill="E6F5EC" w:val="clear"/>
            <w:tcMar>
              <w:top w:type="dxa" w:w="80"/>
              <w:left w:type="dxa" w:w="120"/>
              <w:bottom w:type="dxa" w:w="80"/>
              <w:right w:type="dxa" w:w="120"/>
            </w:tcMar>
          </w:tcPr>
          <w:p>
            <w:r>
              <w:rPr>
                <w:rFonts w:ascii="Arial" w:cs="Arial" w:eastAsia="Arial" w:hAnsi="Arial"/>
                <w:b w:val="false"/>
                <w:bCs w:val="false"/>
                <w:color w:val="2D2D2D"/>
                <w:sz w:val="20"/>
                <w:szCs w:val="20"/>
              </w:rPr>
              <w:t xml:space="preserve">1</w:t>
            </w:r>
          </w:p>
        </w:tc>
        <w:tc>
          <w:tcPr>
            <w:tcW w:type="dxa" w:w="3200"/>
            <w:tcBorders>
              <w:top w:val="single" w:color="DDDDDD" w:sz="1"/>
              <w:left w:val="single" w:color="DDDDDD" w:sz="1"/>
              <w:bottom w:val="single" w:color="DDDDDD" w:sz="1"/>
              <w:right w:val="single" w:color="DDDDDD" w:sz="1"/>
            </w:tcBorders>
            <w:shd w:fill="E6F5EC" w:val="clear"/>
            <w:tcMar>
              <w:top w:type="dxa" w:w="80"/>
              <w:left w:type="dxa" w:w="120"/>
              <w:bottom w:type="dxa" w:w="80"/>
              <w:right w:type="dxa" w:w="120"/>
            </w:tcMar>
          </w:tcPr>
          <w:p>
            <w:r>
              <w:rPr>
                <w:rFonts w:ascii="Arial" w:cs="Arial" w:eastAsia="Arial" w:hAnsi="Arial"/>
                <w:b/>
                <w:bCs/>
                <w:color w:val="2D2D2D"/>
                <w:sz w:val="20"/>
                <w:szCs w:val="20"/>
              </w:rPr>
              <w:t xml:space="preserve">Community Lens Filter</w:t>
            </w:r>
          </w:p>
        </w:tc>
        <w:tc>
          <w:tcPr>
            <w:tcW w:type="dxa" w:w="2000"/>
            <w:tcBorders>
              <w:top w:val="single" w:color="DDDDDD" w:sz="1"/>
              <w:left w:val="single" w:color="DDDDDD" w:sz="1"/>
              <w:bottom w:val="single" w:color="DDDDDD" w:sz="1"/>
              <w:right w:val="single" w:color="DDDDDD" w:sz="1"/>
            </w:tcBorders>
            <w:shd w:fill="E6F5EC" w:val="clear"/>
            <w:tcMar>
              <w:top w:type="dxa" w:w="80"/>
              <w:left w:type="dxa" w:w="120"/>
              <w:bottom w:type="dxa" w:w="80"/>
              <w:right w:type="dxa" w:w="120"/>
            </w:tcMar>
          </w:tcPr>
          <w:p>
            <w:r>
              <w:rPr>
                <w:rFonts w:ascii="Arial" w:cs="Arial" w:eastAsia="Arial" w:hAnsi="Arial"/>
                <w:b w:val="false"/>
                <w:bCs w:val="false"/>
                <w:color w:val="C62828"/>
                <w:sz w:val="20"/>
                <w:szCs w:val="20"/>
              </w:rPr>
              <w:t xml:space="preserve">🔴 Build first</w:t>
            </w:r>
          </w:p>
        </w:tc>
        <w:tc>
          <w:tcPr>
            <w:tcW w:type="dxa" w:w="3760"/>
            <w:tcBorders>
              <w:top w:val="single" w:color="DDDDDD" w:sz="1"/>
              <w:left w:val="single" w:color="DDDDDD" w:sz="1"/>
              <w:bottom w:val="single" w:color="DDDDDD" w:sz="1"/>
              <w:right w:val="single" w:color="DDDDDD" w:sz="1"/>
            </w:tcBorders>
            <w:shd w:fill="E6F5EC" w:val="clear"/>
            <w:tcMar>
              <w:top w:type="dxa" w:w="80"/>
              <w:left w:type="dxa" w:w="120"/>
              <w:bottom w:type="dxa" w:w="80"/>
              <w:right w:type="dxa" w:w="120"/>
            </w:tcMar>
          </w:tcPr>
          <w:p>
            <w:r>
              <w:rPr>
                <w:rFonts w:ascii="Arial" w:cs="Arial" w:eastAsia="Arial" w:hAnsi="Arial"/>
                <w:b w:val="false"/>
                <w:bCs w:val="false"/>
                <w:color w:val="2D2D2D"/>
                <w:sz w:val="20"/>
                <w:szCs w:val="20"/>
              </w:rPr>
              <w:t xml:space="preserve">Everything else depends on this. Needed for every funder report.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Funder Profiles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C62828"/>
                <w:sz w:val="20"/>
                <w:szCs w:val="20"/>
              </w:rPr>
              <w:t xml:space="preserve">🔴 Critical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Saves time every reporting cycle. Include narrativeStyle field.</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3</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Tāmaki Ora Alignment Panel</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E65100"/>
                <w:sz w:val="20"/>
                <w:szCs w:val="20"/>
              </w:rPr>
              <w:t xml:space="preserve">🟠 High — before April EOI</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Required for Ngā Mātārae EOI and ongoing reporting.</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Structured Narrative (both styles)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E65100"/>
                <w:sz w:val="20"/>
                <w:szCs w:val="20"/>
              </w:rPr>
              <w:t xml:space="preserve">🟠 High</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Style A for Auckland Council. Style B for Foundation North relationship.</w:t>
            </w:r>
          </w:p>
        </w:tc>
      </w:tr>
      <w:tr>
        <w:tc>
          <w:tcPr>
            <w:tcW w:type="dxa" w:w="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5</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Community Comparison Panel</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C8972A"/>
                <w:sz w:val="20"/>
                <w:szCs w:val="20"/>
              </w:rPr>
              <w:t xml:space="preserve">🟡 Medium</w:t>
            </w:r>
          </w:p>
        </w:tc>
        <w:tc>
          <w:tcPr>
            <w:tcW w:type="dxa" w:w="37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2D2D2D"/>
                <w:sz w:val="20"/>
                <w:szCs w:val="20"/>
              </w:rPr>
              <w:t xml:space="preserve">Important for internal clarity and EDO reporting.</w:t>
            </w:r>
          </w:p>
        </w:tc>
      </w:tr>
    </w:tbl>
    <w:p>
      <w:pPr>
        <w:spacing w:before="100" w:after="100"/>
      </w:pPr>
      <w:r>
        <w:t xml:space="preserve"/>
      </w:r>
    </w:p>
    <w:p>
      <w:pPr>
        <w:spacing w:before="100" w:after="100"/>
      </w:pPr>
      <w:r>
        <w:t xml:space="preserve"/>
      </w:r>
    </w:p>
    <w:p>
      <w:pPr>
        <w:pStyle w:val="Heading1"/>
        <w:pBdr>
          <w:bottom w:val="single" w:color="006B6B" w:sz="4" w:space="4"/>
        </w:pBdr>
        <w:spacing w:before="400" w:after="200"/>
      </w:pPr>
      <w:r>
        <w:rPr>
          <w:rFonts w:ascii="Arial" w:cs="Arial" w:eastAsia="Arial" w:hAnsi="Arial"/>
          <w:b/>
          <w:bCs/>
          <w:color w:val="006B6B"/>
          <w:sz w:val="36"/>
          <w:szCs w:val="36"/>
        </w:rPr>
        <w:t xml:space="preserve">10. What Not to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62828" w:sz="1"/>
              <w:left w:val="single" w:color="C62828" w:sz="12"/>
              <w:bottom w:val="single" w:color="C62828" w:sz="1"/>
              <w:right w:val="single" w:color="C62828" w:sz="1"/>
            </w:tcBorders>
            <w:shd w:fill="FDE8E8" w:val="clear"/>
            <w:tcMar>
              <w:top w:type="dxa" w:w="120"/>
              <w:left w:type="dxa" w:w="200"/>
              <w:bottom w:type="dxa" w:w="120"/>
              <w:right w:type="dxa" w:w="200"/>
            </w:tcMar>
          </w:tcPr>
          <w:p>
            <w:r>
              <w:rPr>
                <w:rFonts w:ascii="Arial" w:cs="Arial" w:eastAsia="Arial" w:hAnsi="Arial"/>
                <w:color w:val="2D2D2D"/>
                <w:sz w:val="20"/>
                <w:szCs w:val="20"/>
              </w:rPr>
              <w:t xml:space="preserve">All six existing report sections remain intact and unchanged. Period tabs (Monthly, Quarterly, YTD, All Time, Custom) stay as-is. Legacy metrics layer and blended data display stays as-is. CSV export and snapshot saving stays as-is. Benchmark insight cards stay as-is. Every enhancement in this brief is additive only.</w:t>
            </w:r>
          </w:p>
        </w:tc>
      </w:tr>
    </w:tbl>
    <w:p>
      <w:pPr>
        <w:spacing w:before="100" w:after="100"/>
      </w:pPr>
      <w:r>
        <w:t xml:space="preserve"/>
      </w:r>
    </w:p>
    <w:p>
      <w:pPr>
        <w:spacing w:before="100" w:after="100"/>
      </w:pPr>
      <w:r>
        <w:t xml:space="preserve"/>
      </w:r>
    </w:p>
    <w:p>
      <w:pPr>
        <w:pStyle w:val="Heading1"/>
        <w:pBdr>
          <w:bottom w:val="single" w:color="006B6B" w:sz="4" w:space="4"/>
        </w:pBdr>
        <w:spacing w:before="400" w:after="200"/>
      </w:pPr>
      <w:r>
        <w:rPr>
          <w:rFonts w:ascii="Arial" w:cs="Arial" w:eastAsia="Arial" w:hAnsi="Arial"/>
          <w:b/>
          <w:bCs/>
          <w:color w:val="006B6B"/>
          <w:sz w:val="36"/>
          <w:szCs w:val="36"/>
        </w:rPr>
        <w:t xml:space="preserve">11. Questions for the Developer</w:t>
      </w:r>
    </w:p>
    <w:p>
      <w:pPr>
        <w:pStyle w:val="ListParagraph"/>
        <w:numPr>
          <w:ilvl w:val="0"/>
          <w:numId w:val="2"/>
        </w:numPr>
        <w:spacing w:before="40" w:after="40"/>
      </w:pPr>
      <w:r>
        <w:rPr>
          <w:rFonts w:ascii="Arial" w:cs="Arial" w:eastAsia="Arial" w:hAnsi="Arial"/>
          <w:b w:val="false"/>
          <w:bCs w:val="false"/>
          <w:color w:val="2D2D2D"/>
          <w:sz w:val="22"/>
          <w:szCs w:val="22"/>
        </w:rPr>
        <w:t xml:space="preserve">Is ethnicity stored at the individual participant level or only aggregated in Section 1? The Community Lens filter requires participant-level ethnicity data.</w:t>
      </w:r>
    </w:p>
    <w:p>
      <w:pPr>
        <w:pStyle w:val="ListParagraph"/>
        <w:numPr>
          <w:ilvl w:val="0"/>
          <w:numId w:val="2"/>
        </w:numPr>
        <w:spacing w:before="40" w:after="40"/>
      </w:pPr>
      <w:r>
        <w:rPr>
          <w:rFonts w:ascii="Arial" w:cs="Arial" w:eastAsia="Arial" w:hAnsi="Arial"/>
          <w:b w:val="false"/>
          <w:bCs w:val="false"/>
          <w:color w:val="2D2D2D"/>
          <w:sz w:val="22"/>
          <w:szCs w:val="22"/>
        </w:rPr>
        <w:t xml:space="preserve">Can a participant carry more than one ethnicity tag? This is important for our community where many people identify as both Māori and Pasifika.</w:t>
      </w:r>
    </w:p>
    <w:p>
      <w:pPr>
        <w:pStyle w:val="ListParagraph"/>
        <w:numPr>
          <w:ilvl w:val="0"/>
          <w:numId w:val="2"/>
        </w:numPr>
        <w:spacing w:before="40" w:after="40"/>
      </w:pPr>
      <w:r>
        <w:rPr>
          <w:rFonts w:ascii="Arial" w:cs="Arial" w:eastAsia="Arial" w:hAnsi="Arial"/>
          <w:b w:val="false"/>
          <w:bCs w:val="false"/>
          <w:color w:val="2D2D2D"/>
          <w:sz w:val="22"/>
          <w:szCs w:val="22"/>
        </w:rPr>
        <w:t xml:space="preserve">Are milestones (e.g. 'secured funding', 'launched product') linked to individual participants with ethnicity? Needed for Tāmaki Ora Whai Rawa Ora metrics.</w:t>
      </w:r>
    </w:p>
    <w:p>
      <w:pPr>
        <w:pStyle w:val="ListParagraph"/>
        <w:numPr>
          <w:ilvl w:val="0"/>
          <w:numId w:val="2"/>
        </w:numPr>
        <w:spacing w:before="40" w:after="40"/>
      </w:pPr>
      <w:r>
        <w:rPr>
          <w:rFonts w:ascii="Arial" w:cs="Arial" w:eastAsia="Arial" w:hAnsi="Arial"/>
          <w:b w:val="false"/>
          <w:bCs w:val="false"/>
          <w:color w:val="2D2D2D"/>
          <w:sz w:val="22"/>
          <w:szCs w:val="22"/>
        </w:rPr>
        <w:t xml:space="preserve">Is there an existing funder tagging system on activities and events? The funder profile filter depends on this.</w:t>
      </w:r>
    </w:p>
    <w:p>
      <w:pPr>
        <w:pStyle w:val="ListParagraph"/>
        <w:numPr>
          <w:ilvl w:val="0"/>
          <w:numId w:val="2"/>
        </w:numPr>
        <w:spacing w:before="40" w:after="40"/>
      </w:pPr>
      <w:r>
        <w:rPr>
          <w:rFonts w:ascii="Arial" w:cs="Arial" w:eastAsia="Arial" w:hAnsi="Arial"/>
          <w:b w:val="false"/>
          <w:bCs w:val="false"/>
          <w:color w:val="2D2D2D"/>
          <w:sz w:val="22"/>
          <w:szCs w:val="22"/>
        </w:rPr>
        <w:t xml:space="preserve">What is the current AI narrative generation stack? Prompt template, model, trigger point — needed to add funder-specific prompt logic and the two narrative styles.</w:t>
      </w:r>
    </w:p>
    <w:p>
      <w:pPr>
        <w:pStyle w:val="ListParagraph"/>
        <w:numPr>
          <w:ilvl w:val="0"/>
          <w:numId w:val="2"/>
        </w:numPr>
        <w:spacing w:before="40" w:after="40"/>
      </w:pPr>
      <w:r>
        <w:rPr>
          <w:rFonts w:ascii="Arial" w:cs="Arial" w:eastAsia="Arial" w:hAnsi="Arial"/>
          <w:b w:val="false"/>
          <w:bCs w:val="false"/>
          <w:color w:val="2D2D2D"/>
          <w:sz w:val="22"/>
          <w:szCs w:val="22"/>
        </w:rPr>
        <w:t xml:space="preserve">Estimated time to build Community Lens Filter and Funder Profiles as a priority pair?</w:t>
      </w:r>
    </w:p>
    <w:p>
      <w:pPr>
        <w:spacing w:before="100" w:after="100"/>
      </w:pPr>
      <w:r>
        <w:t xml:space="preserve"/>
      </w:r>
    </w:p>
    <w:p>
      <w:pPr>
        <w:spacing w:before="100" w:after="100"/>
      </w:pPr>
      <w:r>
        <w:t xml:space="preserve"/>
      </w:r>
    </w:p>
    <w:p>
      <w:pPr>
        <w:spacing w:before="400"/>
        <w:jc w:val="center"/>
      </w:pPr>
      <w:r>
        <w:rPr>
          <w:rFonts w:ascii="Arial" w:cs="Arial" w:eastAsia="Arial" w:hAnsi="Arial"/>
          <w:i/>
          <w:iCs/>
          <w:color w:val="666666"/>
          <w:sz w:val="20"/>
          <w:szCs w:val="20"/>
        </w:rPr>
        <w:t xml:space="preserve">— End of Brief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6B6B"/>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2026-02-26T22:51:51.211Z</dcterms:created>
  <dcterms:modified xsi:type="dcterms:W3CDTF">2026-02-26T22:51:51.212Z</dcterms:modified>
</cp:coreProperties>
</file>

<file path=docProps/custom.xml><?xml version="1.0" encoding="utf-8"?>
<Properties xmlns="http://schemas.openxmlformats.org/officeDocument/2006/custom-properties" xmlns:vt="http://schemas.openxmlformats.org/officeDocument/2006/docPropsVTypes"/>
</file>