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6B6B" w:sz="12" w:space="6"/>
        </w:pBdr>
        <w:spacing w:before="0" w:after="0"/>
      </w:pPr>
      <w:r>
        <w:rPr>
          <w:rFonts w:ascii="Arial" w:cs="Arial" w:eastAsia="Arial" w:hAnsi="Arial"/>
          <w:b/>
          <w:bCs/>
          <w:color w:val="006B6B"/>
          <w:sz w:val="56"/>
          <w:szCs w:val="56"/>
        </w:rPr>
        <w:t xml:space="preserve">ReserveTMK</w:t>
      </w:r>
      <w:r>
        <w:rPr>
          <w:rFonts w:ascii="Arial" w:cs="Arial" w:eastAsia="Arial" w:hAnsi="Arial"/>
          <w:color w:val="4A4A4A"/>
          <w:sz w:val="28"/>
          <w:szCs w:val="28"/>
        </w:rPr>
        <w:t xml:space="preserve">   |   Reserve Tāmaki</w:t>
      </w:r>
    </w:p>
    <w:p>
      <w:pPr>
        <w:spacing w:before="80" w:after="0"/>
      </w:pPr>
      <w:r>
        <w:rPr>
          <w:rFonts w:ascii="Arial" w:cs="Arial" w:eastAsia="Arial" w:hAnsi="Arial"/>
          <w:i/>
          <w:iCs/>
          <w:color w:val="4A4A4A"/>
          <w:sz w:val="20"/>
          <w:szCs w:val="20"/>
        </w:rPr>
        <w:t xml:space="preserve">Community innovation and coworking hub  ·  Glen Innes, Tāmaki Makaurau</w:t>
      </w:r>
    </w:p>
    <w:p>
      <w:pPr>
        <w:spacing w:before="160" w:after="80"/>
      </w:pPr>
      <w:r>
        <w:rPr>
          <w:rFonts w:ascii="Arial" w:cs="Arial" w:eastAsia="Arial" w:hAnsi="Arial"/>
          <w:color w:val="4A4A4A"/>
          <w:sz w:val="22"/>
          <w:szCs w:val="22"/>
        </w:rPr>
        <w:t xml:space="preserve"/>
      </w:r>
    </w:p>
    <w:p>
      <w:pPr>
        <w:spacing w:before="0" w:after="100"/>
      </w:pPr>
      <w:r>
        <w:rPr>
          <w:rFonts w:ascii="Arial" w:cs="Arial" w:eastAsia="Arial" w:hAnsi="Arial"/>
          <w:color w:val="4A4A4A"/>
          <w:sz w:val="24"/>
          <w:szCs w:val="24"/>
        </w:rPr>
        <w:t xml:space="preserve">ReserveTMK is a </w:t>
      </w:r>
      <w:r>
        <w:rPr>
          <w:rFonts w:ascii="Arial" w:cs="Arial" w:eastAsia="Arial" w:hAnsi="Arial"/>
          <w:b/>
          <w:bCs/>
          <w:color w:val="1A1A1A"/>
          <w:sz w:val="24"/>
          <w:szCs w:val="24"/>
        </w:rPr>
        <w:t xml:space="preserve">Māori-centred innovation and coworking hub</w:t>
      </w:r>
      <w:r>
        <w:rPr>
          <w:rFonts w:ascii="Arial" w:cs="Arial" w:eastAsia="Arial" w:hAnsi="Arial"/>
          <w:color w:val="4A4A4A"/>
          <w:sz w:val="24"/>
          <w:szCs w:val="24"/>
        </w:rPr>
        <w:t xml:space="preserve"> in Glen Innes, serving the people of the Tāmaki rohe. We exist as infrastructure for Māori and Pacific economic and community self-determination — not a programme delivered to people, but a </w:t>
      </w:r>
      <w:r>
        <w:rPr>
          <w:rFonts w:ascii="Arial" w:cs="Arial" w:eastAsia="Arial" w:hAnsi="Arial"/>
          <w:b/>
          <w:bCs/>
          <w:color w:val="1A1A1A"/>
          <w:sz w:val="24"/>
          <w:szCs w:val="24"/>
        </w:rPr>
        <w:t xml:space="preserve">place people use to build their own futures.</w:t>
      </w:r>
    </w:p>
    <w:p>
      <w:pPr>
        <w:spacing w:before="0" w:after="0"/>
      </w:pPr>
      <w:r>
        <w:rPr>
          <w:rFonts w:ascii="Arial" w:cs="Arial" w:eastAsia="Arial" w:hAnsi="Arial"/>
          <w:color w:val="4A4A4A"/>
          <w:sz w:val="24"/>
          <w:szCs w:val="24"/>
        </w:rPr>
        <w:t xml:space="preserve">We are part of the </w:t>
      </w:r>
      <w:r>
        <w:rPr>
          <w:rFonts w:ascii="Arial" w:cs="Arial" w:eastAsia="Arial" w:hAnsi="Arial"/>
          <w:b/>
          <w:bCs/>
          <w:color w:val="1A1A1A"/>
          <w:sz w:val="24"/>
          <w:szCs w:val="24"/>
        </w:rPr>
        <w:t xml:space="preserve">GridAKL innovation network</w:t>
      </w:r>
      <w:r>
        <w:rPr>
          <w:rFonts w:ascii="Arial" w:cs="Arial" w:eastAsia="Arial" w:hAnsi="Arial"/>
          <w:color w:val="4A4A4A"/>
          <w:sz w:val="24"/>
          <w:szCs w:val="24"/>
        </w:rPr>
        <w:t xml:space="preserve"> — the eastern anchor serving Māori and Pacific peoples' led startups and enterprises in East Auckland. We hold recognised investment from the Auckland Council Māori Outcomes Fund and operate as named infrastructure within Auckland's economic development ecosystem.</w:t>
      </w:r>
    </w:p>
    <w:p>
      <w:pPr>
        <w:spacing w:before="180" w:after="60"/>
      </w:pPr>
      <w:r>
        <w:rPr>
          <w:rFonts w:ascii="Arial" w:cs="Arial" w:eastAsia="Arial" w:hAnsi="Arial"/>
          <w:color w:val="4A4A4A"/>
          <w:sz w:val="22"/>
          <w:szCs w:val="22"/>
        </w:rPr>
        <w:t xml:space="preserve"/>
      </w:r>
    </w:p>
    <w:p>
      <w:pPr>
        <w:pBdr>
          <w:bottom w:val="single" w:color="B8860B" w:sz="6" w:space="3"/>
        </w:pBdr>
        <w:spacing w:before="240" w:after="80"/>
      </w:pPr>
      <w:r>
        <w:rPr>
          <w:rFonts w:ascii="Arial" w:cs="Arial" w:eastAsia="Arial" w:hAnsi="Arial"/>
          <w:b/>
          <w:bCs/>
          <w:color w:val="006B6B"/>
          <w:spacing w:val="40"/>
          <w:sz w:val="18"/>
          <w:szCs w:val="18"/>
        </w:rPr>
        <w:t xml:space="preserve">WHO WE SERVE</w:t>
      </w:r>
    </w:p>
    <w:p>
      <w:pPr>
        <w:spacing w:before="40" w:after="2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E6F4F4" w:val="clear"/>
            <w:tcMar>
              <w:top w:type="dxa" w:w="120"/>
              <w:left w:type="dxa" w:w="160"/>
              <w:bottom w:type="dxa" w:w="120"/>
              <w:right w:type="dxa" w:w="160"/>
            </w:tcMar>
          </w:tcPr>
          <w:p>
            <w:pPr>
              <w:spacing w:before="0" w:after="60"/>
            </w:pPr>
            <w:r>
              <w:rPr>
                <w:rFonts w:ascii="Arial" w:cs="Arial" w:eastAsia="Arial" w:hAnsi="Arial"/>
                <w:b/>
                <w:bCs/>
                <w:color w:val="006B6B"/>
                <w:spacing w:val="20"/>
                <w:sz w:val="18"/>
                <w:szCs w:val="18"/>
              </w:rPr>
              <w:t xml:space="preserve">Māori entrepreneurs</w:t>
            </w:r>
          </w:p>
          <w:p>
            <w:pPr>
              <w:spacing w:before="0" w:after="0"/>
            </w:pPr>
            <w:r>
              <w:rPr>
                <w:rFonts w:ascii="Arial" w:cs="Arial" w:eastAsia="Arial" w:hAnsi="Arial"/>
                <w:color w:val="4A4A4A"/>
                <w:sz w:val="20"/>
                <w:szCs w:val="20"/>
              </w:rPr>
              <w:t xml:space="preserve">Founders and sole traders in the Tāmaki rohe who need space, networks and support to build.</w:t>
            </w:r>
          </w:p>
        </w:tc>
        <w:tc>
          <w:tcPr>
            <w:tcW w:type="dxa" w:w="3000"/>
            <w:tcBorders>
              <w:top w:val="single" w:color="CCCCCC" w:sz="1"/>
              <w:left w:val="single" w:color="CCCCCC" w:sz="1"/>
              <w:bottom w:val="single" w:color="CCCCCC" w:sz="1"/>
              <w:right w:val="single" w:color="CCCCCC" w:sz="1"/>
            </w:tcBorders>
            <w:shd w:fill="E6F4F4" w:val="clear"/>
            <w:tcMar>
              <w:top w:type="dxa" w:w="120"/>
              <w:left w:type="dxa" w:w="160"/>
              <w:bottom w:type="dxa" w:w="120"/>
              <w:right w:type="dxa" w:w="160"/>
            </w:tcMar>
          </w:tcPr>
          <w:p>
            <w:pPr>
              <w:spacing w:before="0" w:after="60"/>
            </w:pPr>
            <w:r>
              <w:rPr>
                <w:rFonts w:ascii="Arial" w:cs="Arial" w:eastAsia="Arial" w:hAnsi="Arial"/>
                <w:b/>
                <w:bCs/>
                <w:color w:val="006B6B"/>
                <w:spacing w:val="20"/>
                <w:sz w:val="18"/>
                <w:szCs w:val="18"/>
              </w:rPr>
              <w:t xml:space="preserve">Community enterprises</w:t>
            </w:r>
          </w:p>
          <w:p>
            <w:pPr>
              <w:spacing w:before="0" w:after="0"/>
            </w:pPr>
            <w:r>
              <w:rPr>
                <w:rFonts w:ascii="Arial" w:cs="Arial" w:eastAsia="Arial" w:hAnsi="Arial"/>
                <w:color w:val="4A4A4A"/>
                <w:sz w:val="20"/>
                <w:szCs w:val="20"/>
              </w:rPr>
              <w:t xml:space="preserve">Organisations and not-for-profits doing local work — hui space, meeting rooms, programming.</w:t>
            </w:r>
          </w:p>
        </w:tc>
        <w:tc>
          <w:tcPr>
            <w:tcW w:type="dxa" w:w="3000"/>
            <w:tcBorders>
              <w:top w:val="single" w:color="CCCCCC" w:sz="1"/>
              <w:left w:val="single" w:color="CCCCCC" w:sz="1"/>
              <w:bottom w:val="single" w:color="CCCCCC" w:sz="1"/>
              <w:right w:val="single" w:color="CCCCCC" w:sz="1"/>
            </w:tcBorders>
            <w:shd w:fill="E6F4F4" w:val="clear"/>
            <w:tcMar>
              <w:top w:type="dxa" w:w="120"/>
              <w:left w:type="dxa" w:w="160"/>
              <w:bottom w:type="dxa" w:w="120"/>
              <w:right w:type="dxa" w:w="160"/>
            </w:tcMar>
          </w:tcPr>
          <w:p>
            <w:pPr>
              <w:spacing w:before="0" w:after="60"/>
            </w:pPr>
            <w:r>
              <w:rPr>
                <w:rFonts w:ascii="Arial" w:cs="Arial" w:eastAsia="Arial" w:hAnsi="Arial"/>
                <w:b/>
                <w:bCs/>
                <w:color w:val="006B6B"/>
                <w:spacing w:val="20"/>
                <w:sz w:val="18"/>
                <w:szCs w:val="18"/>
              </w:rPr>
              <w:t xml:space="preserve">Rangatahi and emerging founders</w:t>
            </w:r>
          </w:p>
          <w:p>
            <w:pPr>
              <w:spacing w:before="0" w:after="0"/>
            </w:pPr>
            <w:r>
              <w:rPr>
                <w:rFonts w:ascii="Arial" w:cs="Arial" w:eastAsia="Arial" w:hAnsi="Arial"/>
                <w:color w:val="4A4A4A"/>
                <w:sz w:val="20"/>
                <w:szCs w:val="20"/>
              </w:rPr>
              <w:t xml:space="preserve">Young people and new starters in Glen Innes and East Auckland stepping into enterprise.</w:t>
            </w:r>
          </w:p>
        </w:tc>
      </w:tr>
    </w:tbl>
    <w:p>
      <w:pPr>
        <w:spacing w:before="100" w:after="4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000"/>
            <w:tcBorders>
              <w:top w:val="single" w:color="CCCCCC" w:sz="1"/>
              <w:left w:val="single" w:color="CCCCCC" w:sz="1"/>
              <w:bottom w:val="single" w:color="CCCCCC" w:sz="1"/>
              <w:right w:val="single" w:color="CCCCCC" w:sz="1"/>
            </w:tcBorders>
            <w:shd w:fill="E6F4F4" w:val="clear"/>
            <w:tcMar>
              <w:top w:type="dxa" w:w="120"/>
              <w:left w:type="dxa" w:w="160"/>
              <w:bottom w:type="dxa" w:w="120"/>
              <w:right w:type="dxa" w:w="160"/>
            </w:tcMar>
          </w:tcPr>
          <w:p>
            <w:pPr>
              <w:spacing w:before="0" w:after="60"/>
            </w:pPr>
            <w:r>
              <w:rPr>
                <w:rFonts w:ascii="Arial" w:cs="Arial" w:eastAsia="Arial" w:hAnsi="Arial"/>
                <w:b/>
                <w:bCs/>
                <w:color w:val="006B6B"/>
                <w:spacing w:val="20"/>
                <w:sz w:val="18"/>
                <w:szCs w:val="18"/>
              </w:rPr>
              <w:t xml:space="preserve">Pacific peoples' led startups</w:t>
            </w:r>
          </w:p>
          <w:p>
            <w:pPr>
              <w:spacing w:before="0" w:after="0"/>
            </w:pPr>
            <w:r>
              <w:rPr>
                <w:rFonts w:ascii="Arial" w:cs="Arial" w:eastAsia="Arial" w:hAnsi="Arial"/>
                <w:color w:val="4A4A4A"/>
                <w:sz w:val="20"/>
                <w:szCs w:val="20"/>
              </w:rPr>
              <w:t xml:space="preserve">Entrepreneurs and enterprises from Pacific communities in East Auckland and the wider region.</w:t>
            </w:r>
          </w:p>
        </w:tc>
        <w:tc>
          <w:tcPr>
            <w:tcW w:type="dxa" w:w="3000"/>
            <w:tcBorders>
              <w:top w:val="single" w:color="CCCCCC" w:sz="1"/>
              <w:left w:val="single" w:color="CCCCCC" w:sz="1"/>
              <w:bottom w:val="single" w:color="CCCCCC" w:sz="1"/>
              <w:right w:val="single" w:color="CCCCCC" w:sz="1"/>
            </w:tcBorders>
            <w:shd w:fill="E6F4F4" w:val="clear"/>
            <w:tcMar>
              <w:top w:type="dxa" w:w="120"/>
              <w:left w:type="dxa" w:w="160"/>
              <w:bottom w:type="dxa" w:w="120"/>
              <w:right w:type="dxa" w:w="160"/>
            </w:tcMar>
          </w:tcPr>
          <w:p>
            <w:pPr>
              <w:spacing w:before="0" w:after="60"/>
            </w:pPr>
            <w:r>
              <w:rPr>
                <w:rFonts w:ascii="Arial" w:cs="Arial" w:eastAsia="Arial" w:hAnsi="Arial"/>
                <w:b/>
                <w:bCs/>
                <w:color w:val="006B6B"/>
                <w:spacing w:val="20"/>
                <w:sz w:val="18"/>
                <w:szCs w:val="18"/>
              </w:rPr>
              <w:t xml:space="preserve">Mana whenua and mātaawaka</w:t>
            </w:r>
          </w:p>
          <w:p>
            <w:pPr>
              <w:spacing w:before="0" w:after="0"/>
            </w:pPr>
            <w:r>
              <w:rPr>
                <w:rFonts w:ascii="Arial" w:cs="Arial" w:eastAsia="Arial" w:hAnsi="Arial"/>
                <w:color w:val="4A4A4A"/>
                <w:sz w:val="20"/>
                <w:szCs w:val="20"/>
              </w:rPr>
              <w:t xml:space="preserve">Those with whakapapa and community ties to this rohe, for whom the hub is a familiar and trusted space.</w:t>
            </w:r>
          </w:p>
        </w:tc>
      </w:tr>
    </w:tbl>
    <w:p>
      <w:pPr>
        <w:spacing w:before="180" w:after="60"/>
      </w:pPr>
      <w:r>
        <w:rPr>
          <w:rFonts w:ascii="Arial" w:cs="Arial" w:eastAsia="Arial" w:hAnsi="Arial"/>
          <w:color w:val="4A4A4A"/>
          <w:sz w:val="22"/>
          <w:szCs w:val="22"/>
        </w:rPr>
        <w:t xml:space="preserve"/>
      </w:r>
    </w:p>
    <w:p>
      <w:pPr>
        <w:pBdr>
          <w:bottom w:val="single" w:color="B8860B" w:sz="6" w:space="3"/>
        </w:pBdr>
        <w:spacing w:before="240" w:after="80"/>
      </w:pPr>
      <w:r>
        <w:rPr>
          <w:rFonts w:ascii="Arial" w:cs="Arial" w:eastAsia="Arial" w:hAnsi="Arial"/>
          <w:b/>
          <w:bCs/>
          <w:color w:val="006B6B"/>
          <w:spacing w:val="40"/>
          <w:sz w:val="18"/>
          <w:szCs w:val="18"/>
        </w:rPr>
        <w:t xml:space="preserve">OUR KAUPAPA</w:t>
      </w:r>
    </w:p>
    <w:p>
      <w:pPr>
        <w:spacing w:before="40" w:after="20"/>
      </w:pPr>
      <w:r>
        <w:rPr>
          <w:rFonts w:ascii="Arial" w:cs="Arial" w:eastAsia="Arial" w:hAnsi="Arial"/>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0" w:after="80"/>
            </w:pPr>
            <w:r>
              <w:rPr>
                <w:rFonts w:ascii="Arial" w:cs="Arial" w:eastAsia="Arial" w:hAnsi="Arial"/>
                <w:b/>
                <w:bCs/>
                <w:color w:val="006B6B"/>
                <w:sz w:val="22"/>
                <w:szCs w:val="22"/>
              </w:rPr>
              <w:t xml:space="preserve">Tino Rangatiratanga</w:t>
            </w:r>
          </w:p>
          <w:p>
            <w:pPr>
              <w:spacing w:before="0" w:after="120"/>
            </w:pPr>
            <w:r>
              <w:rPr>
                <w:rFonts w:ascii="Arial" w:cs="Arial" w:eastAsia="Arial" w:hAnsi="Arial"/>
                <w:color w:val="4A4A4A"/>
                <w:sz w:val="21"/>
                <w:szCs w:val="21"/>
              </w:rPr>
              <w:t xml:space="preserve">Māori self-determination is at the centre of everything we do. The hub is designed to amplify the agency of the people who use it — not to create dependency on the hub itself.</w:t>
            </w:r>
          </w:p>
          <w:p>
            <w:pPr>
              <w:spacing w:before="0" w:after="80"/>
            </w:pPr>
            <w:r>
              <w:rPr>
                <w:rFonts w:ascii="Arial" w:cs="Arial" w:eastAsia="Arial" w:hAnsi="Arial"/>
                <w:b/>
                <w:bCs/>
                <w:color w:val="006B6B"/>
                <w:sz w:val="22"/>
                <w:szCs w:val="22"/>
              </w:rPr>
              <w:t xml:space="preserve">Whanaungatanga</w:t>
            </w:r>
          </w:p>
          <w:p>
            <w:pPr>
              <w:spacing w:before="0" w:after="120"/>
            </w:pPr>
            <w:r>
              <w:rPr>
                <w:rFonts w:ascii="Arial" w:cs="Arial" w:eastAsia="Arial" w:hAnsi="Arial"/>
                <w:color w:val="4A4A4A"/>
                <w:sz w:val="21"/>
                <w:szCs w:val="21"/>
              </w:rPr>
              <w:t xml:space="preserve">Connection is the core product. People come for the space and stay for the relationships. The hub works when people feel part of something, not just occupying a desk.</w:t>
            </w:r>
          </w:p>
          <w:p>
            <w:pPr>
              <w:spacing w:before="0" w:after="80"/>
            </w:pPr>
            <w:r>
              <w:rPr>
                <w:rFonts w:ascii="Arial" w:cs="Arial" w:eastAsia="Arial" w:hAnsi="Arial"/>
                <w:b/>
                <w:bCs/>
                <w:color w:val="006B6B"/>
                <w:sz w:val="22"/>
                <w:szCs w:val="22"/>
              </w:rPr>
              <w:t xml:space="preserve">Manaakitanga</w:t>
            </w:r>
          </w:p>
          <w:p>
            <w:pPr>
              <w:spacing w:before="0" w:after="0"/>
            </w:pPr>
            <w:r>
              <w:rPr>
                <w:rFonts w:ascii="Arial" w:cs="Arial" w:eastAsia="Arial" w:hAnsi="Arial"/>
                <w:color w:val="4A4A4A"/>
                <w:sz w:val="21"/>
                <w:szCs w:val="21"/>
              </w:rPr>
              <w:t xml:space="preserve">How people are welcomed matters as much as what they do here. The hub holds a standard of care and hospitality that reflects Māori values — everyone who comes in should feel seen.</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0" w:after="80"/>
            </w:pPr>
            <w:r>
              <w:rPr>
                <w:rFonts w:ascii="Arial" w:cs="Arial" w:eastAsia="Arial" w:hAnsi="Arial"/>
                <w:b/>
                <w:bCs/>
                <w:color w:val="006B6B"/>
                <w:sz w:val="22"/>
                <w:szCs w:val="22"/>
              </w:rPr>
              <w:t xml:space="preserve">Kaitiakitanga</w:t>
            </w:r>
          </w:p>
          <w:p>
            <w:pPr>
              <w:spacing w:before="0" w:after="120"/>
            </w:pPr>
            <w:r>
              <w:rPr>
                <w:rFonts w:ascii="Arial" w:cs="Arial" w:eastAsia="Arial" w:hAnsi="Arial"/>
                <w:color w:val="4A4A4A"/>
                <w:sz w:val="21"/>
                <w:szCs w:val="21"/>
              </w:rPr>
              <w:t xml:space="preserve">We hold this space in trust for the community. Our role is to keep it useful, keep it rooted in the rohe, and keep it accessible — not to optimise it for revenue at the expense of the people it was built for.</w:t>
            </w:r>
          </w:p>
          <w:p>
            <w:pPr>
              <w:spacing w:before="0" w:after="80"/>
            </w:pPr>
            <w:r>
              <w:rPr>
                <w:rFonts w:ascii="Arial" w:cs="Arial" w:eastAsia="Arial" w:hAnsi="Arial"/>
                <w:b/>
                <w:bCs/>
                <w:color w:val="006B6B"/>
                <w:sz w:val="22"/>
                <w:szCs w:val="22"/>
              </w:rPr>
              <w:t xml:space="preserve">Ōhanga Māori</w:t>
            </w:r>
          </w:p>
          <w:p>
            <w:pPr>
              <w:spacing w:before="0" w:after="120"/>
            </w:pPr>
            <w:r>
              <w:rPr>
                <w:rFonts w:ascii="Arial" w:cs="Arial" w:eastAsia="Arial" w:hAnsi="Arial"/>
                <w:color w:val="4A4A4A"/>
                <w:sz w:val="21"/>
                <w:szCs w:val="21"/>
              </w:rPr>
              <w:t xml:space="preserve">We believe Māori economic participation is built from the inside out — through local enterprise, local networks and local infrastructure. ReserveTMK is that infrastructure for Tāmaki.</w:t>
            </w:r>
          </w:p>
          <w:p>
            <w:pPr>
              <w:spacing w:before="0" w:after="80"/>
            </w:pPr>
            <w:r>
              <w:rPr>
                <w:rFonts w:ascii="Arial" w:cs="Arial" w:eastAsia="Arial" w:hAnsi="Arial"/>
                <w:b/>
                <w:bCs/>
                <w:color w:val="006B6B"/>
                <w:sz w:val="22"/>
                <w:szCs w:val="22"/>
              </w:rPr>
              <w:t xml:space="preserve">Kotahitanga</w:t>
            </w:r>
          </w:p>
          <w:p>
            <w:pPr>
              <w:spacing w:before="0" w:after="0"/>
            </w:pPr>
            <w:r>
              <w:rPr>
                <w:rFonts w:ascii="Arial" w:cs="Arial" w:eastAsia="Arial" w:hAnsi="Arial"/>
                <w:color w:val="4A4A4A"/>
                <w:sz w:val="21"/>
                <w:szCs w:val="21"/>
              </w:rPr>
              <w:t xml:space="preserve">We are stronger as a network. ReserveTMK sits within a wider ecosystem — GridAKL, MOF hubs, local boards, partner organisations. We act with one shared purpose across that network.</w:t>
            </w:r>
          </w:p>
        </w:tc>
      </w:tr>
    </w:tbl>
    <w:p>
      <w:pPr>
        <w:spacing w:before="180" w:after="60"/>
      </w:pPr>
      <w:r>
        <w:rPr>
          <w:rFonts w:ascii="Arial" w:cs="Arial" w:eastAsia="Arial" w:hAnsi="Arial"/>
          <w:color w:val="4A4A4A"/>
          <w:sz w:val="22"/>
          <w:szCs w:val="22"/>
        </w:rPr>
        <w:t xml:space="preserve"/>
      </w:r>
    </w:p>
    <w:p>
      <w:pPr>
        <w:pBdr>
          <w:bottom w:val="single" w:color="B8860B" w:sz="6" w:space="3"/>
        </w:pBdr>
        <w:spacing w:before="240" w:after="80"/>
      </w:pPr>
      <w:r>
        <w:rPr>
          <w:rFonts w:ascii="Arial" w:cs="Arial" w:eastAsia="Arial" w:hAnsi="Arial"/>
          <w:b/>
          <w:bCs/>
          <w:color w:val="006B6B"/>
          <w:spacing w:val="40"/>
          <w:sz w:val="18"/>
          <w:szCs w:val="18"/>
        </w:rPr>
        <w:t xml:space="preserve">HOW OUR KAUPAPA MAPS TO FUNDERS</w:t>
      </w:r>
    </w:p>
    <w:p>
      <w:pPr>
        <w:spacing w:before="40" w:after="20"/>
      </w:pPr>
      <w:r>
        <w:rPr>
          <w:rFonts w:ascii="Arial" w:cs="Arial" w:eastAsia="Arial" w:hAnsi="Arial"/>
          <w:color w:val="4A4A4A"/>
          <w:sz w:val="22"/>
          <w:szCs w:val="22"/>
        </w:rPr>
        <w:t xml:space="preserve"/>
      </w:r>
    </w:p>
    <w:p>
      <w:pPr>
        <w:spacing w:before="0" w:after="80"/>
      </w:pPr>
      <w:r>
        <w:rPr>
          <w:rFonts w:ascii="Arial" w:cs="Arial" w:eastAsia="Arial" w:hAnsi="Arial"/>
          <w:i/>
          <w:iCs/>
          <w:color w:val="4A4A4A"/>
          <w:sz w:val="20"/>
          <w:szCs w:val="20"/>
        </w:rPr>
        <w:t xml:space="preserve">Use these frames when reporting to specific funders. Pull the language that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Funder</w:t>
            </w:r>
          </w:p>
        </w:tc>
        <w:tc>
          <w:tcPr>
            <w:tcW w:type="dxa" w:w="368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Frame to use</w:t>
            </w:r>
          </w:p>
        </w:tc>
        <w:tc>
          <w:tcPr>
            <w:tcW w:type="dxa" w:w="368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Values to lead with</w:t>
            </w:r>
          </w:p>
        </w:tc>
      </w:tr>
      <w:tr>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006B6B"/>
                <w:sz w:val="19"/>
                <w:szCs w:val="19"/>
              </w:rPr>
              <w:t xml:space="preserve">Ngā Mātārae / MOF</w:t>
            </w:r>
          </w:p>
        </w:tc>
        <w:tc>
          <w:tcPr>
            <w:tcW w:type="dxa" w:w="368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color w:val="4A4A4A"/>
                <w:sz w:val="19"/>
                <w:szCs w:val="19"/>
              </w:rPr>
              <w:t xml:space="preserve">Infrastructure for Māori self-determination in Tāmaki. Delivering against Tāmaki Ora pou: Whai Rawa Ora, Te Hapori Ora, Tuakiri Ora.</w:t>
            </w:r>
          </w:p>
        </w:tc>
        <w:tc>
          <w:tcPr>
            <w:tcW w:type="dxa" w:w="368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i/>
                <w:iCs/>
                <w:color w:val="4A4A4A"/>
                <w:sz w:val="19"/>
                <w:szCs w:val="19"/>
              </w:rPr>
              <w:t xml:space="preserve">Tino Rangatiratanga · Whanaungatanga · Manaakitanga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B6B"/>
                <w:sz w:val="19"/>
                <w:szCs w:val="19"/>
              </w:rPr>
              <w:t xml:space="preserve">Foundation North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9"/>
                <w:szCs w:val="19"/>
              </w:rPr>
              <w:t xml:space="preserve">Community-led space reducing barriers for Māori entrepreneurs in South Auckland. For, by and with tangata whenua.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A4A4A"/>
                <w:sz w:val="19"/>
                <w:szCs w:val="19"/>
              </w:rPr>
              <w:t xml:space="preserve">Whanaungatanga · Manaakitanga · Kaitiakitanga</w:t>
            </w:r>
          </w:p>
        </w:tc>
      </w:tr>
      <w:tr>
        <w:tc>
          <w:tcPr>
            <w:tcW w:type="dxa" w:w="2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006B6B"/>
                <w:sz w:val="19"/>
                <w:szCs w:val="19"/>
              </w:rPr>
              <w:t xml:space="preserve">EDO / Auckland Council</w:t>
            </w:r>
          </w:p>
        </w:tc>
        <w:tc>
          <w:tcPr>
            <w:tcW w:type="dxa" w:w="368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color w:val="4A4A4A"/>
                <w:sz w:val="19"/>
                <w:szCs w:val="19"/>
              </w:rPr>
              <w:t xml:space="preserve">Eastern anchor of the GridAKL innovation network. Inclusive economic infrastructure for Māori and Pacific peoples' led startups in the Tāmaki rohe.</w:t>
            </w:r>
          </w:p>
        </w:tc>
        <w:tc>
          <w:tcPr>
            <w:tcW w:type="dxa" w:w="368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i/>
                <w:iCs/>
                <w:color w:val="4A4A4A"/>
                <w:sz w:val="19"/>
                <w:szCs w:val="19"/>
              </w:rPr>
              <w:t xml:space="preserve">Ōhanga Māori · Kotahitanga · Tino Rangatiratanga</w:t>
            </w:r>
          </w:p>
        </w:tc>
      </w:tr>
    </w:tbl>
    <w:p>
      <w:pPr>
        <w:spacing w:before="160" w:after="60"/>
      </w:pPr>
      <w:r>
        <w:rPr>
          <w:rFonts w:ascii="Arial" w:cs="Arial" w:eastAsia="Arial" w:hAnsi="Arial"/>
          <w:color w:val="4A4A4A"/>
          <w:sz w:val="22"/>
          <w:szCs w:val="22"/>
        </w:rPr>
        <w:t xml:space="preserve"/>
      </w:r>
    </w:p>
    <w:p>
      <w:pPr>
        <w:pBdr>
          <w:top w:val="single" w:color="006B6B" w:sz="6" w:space="4"/>
        </w:pBdr>
        <w:spacing w:before="0" w:after="0"/>
      </w:pPr>
      <w:r>
        <w:rPr>
          <w:rFonts w:ascii="Arial" w:cs="Arial" w:eastAsia="Arial" w:hAnsi="Arial"/>
          <w:i/>
          <w:iCs/>
          <w:color w:val="4A4A4A"/>
          <w:sz w:val="17"/>
          <w:szCs w:val="17"/>
        </w:rPr>
        <w:t xml:space="preserve">ReserveTMK  ·  Glen Innes, Tāmaki Makaurau  ·  Part of the GridAKL innovation network  ·  Auckland Council Māori Outcomes Fund recipient</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2026-03-16T07:11:21.257Z</dcterms:created>
  <dcterms:modified xsi:type="dcterms:W3CDTF">2026-03-16T07:11:21.259Z</dcterms:modified>
</cp:coreProperties>
</file>

<file path=docProps/custom.xml><?xml version="1.0" encoding="utf-8"?>
<Properties xmlns="http://schemas.openxmlformats.org/officeDocument/2006/custom-properties" xmlns:vt="http://schemas.openxmlformats.org/officeDocument/2006/docPropsVTypes"/>
</file>