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A5C3A"/>
          <w:sz w:val="52"/>
          <w:szCs w:val="52"/>
        </w:rPr>
        <w:t xml:space="preserve">ReserveTMK</w:t>
      </w:r>
    </w:p>
    <w:p>
      <w:pPr>
        <w:spacing w:before="0" w:after="60"/>
      </w:pPr>
      <w:r>
        <w:rPr>
          <w:rFonts w:ascii="Arial" w:cs="Arial" w:eastAsia="Arial" w:hAnsi="Arial"/>
          <w:color w:val="1A1A1A"/>
          <w:sz w:val="32"/>
          <w:szCs w:val="32"/>
        </w:rPr>
        <w:t xml:space="preserve">Economic Development Office — Funder Profile</w:t>
      </w:r>
    </w:p>
    <w:p>
      <w:pPr>
        <w:spacing w:before="0" w:after="60"/>
      </w:pPr>
      <w:r>
        <w:rPr>
          <w:rFonts w:ascii="Arial" w:cs="Arial" w:eastAsia="Arial" w:hAnsi="Arial"/>
          <w:i/>
          <w:iCs/>
          <w:color w:val="555555"/>
          <w:sz w:val="20"/>
          <w:szCs w:val="20"/>
        </w:rPr>
        <w:t xml:space="preserve">Auckland Council EDO | Inclusive &amp; Sustainable Economic Growth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bCs/>
                <w:color w:val="1A5C3A"/>
                <w:sz w:val="20"/>
                <w:szCs w:val="20"/>
              </w:rPr>
              <w:t xml:space="preserve">Organisation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ReserveTMK (Reserve Tāmaki)</w:t>
            </w:r>
          </w:p>
        </w:tc>
      </w:tr>
      <w:tr>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bCs/>
                <w:color w:val="1A5C3A"/>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Glen Innes, Tāmaki Makaurau</w:t>
            </w:r>
          </w:p>
        </w:tc>
      </w:tr>
      <w:tr>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bCs/>
                <w:color w:val="1A5C3A"/>
                <w:sz w:val="20"/>
                <w:szCs w:val="20"/>
              </w:rPr>
              <w:t xml:space="preserve">Kaupapa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Community innovation and coworking hub — Māori and Pacific peoples' led startups and enterprises</w:t>
            </w:r>
          </w:p>
        </w:tc>
      </w:tr>
      <w:tr>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bCs/>
                <w:color w:val="1A5C3A"/>
                <w:sz w:val="20"/>
                <w:szCs w:val="20"/>
              </w:rPr>
              <w:t xml:space="preserve">Funder / partner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Auckland Council Economic Development Office (EDO)</w:t>
            </w:r>
          </w:p>
        </w:tc>
      </w:tr>
      <w:tr>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bCs/>
                <w:color w:val="1A5C3A"/>
                <w:sz w:val="20"/>
                <w:szCs w:val="20"/>
              </w:rPr>
              <w:t xml:space="preserve">Established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EDO launched 1 July 2025 — absorbing economic development functions from Tātaki Auckland Unlimited</w:t>
            </w:r>
          </w:p>
        </w:tc>
      </w:tr>
      <w:tr>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bCs/>
                <w:color w:val="1A5C3A"/>
                <w:sz w:val="20"/>
                <w:szCs w:val="20"/>
              </w:rPr>
              <w:t xml:space="preserve">EDO mandate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Business attraction, social and sector innovation, economic transformation, industry development support</w:t>
            </w:r>
          </w:p>
        </w:tc>
      </w:tr>
      <w:tr>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bCs/>
                <w:color w:val="1A5C3A"/>
                <w:sz w:val="20"/>
                <w:szCs w:val="20"/>
              </w:rPr>
              <w:t xml:space="preserve">EDO vision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Inclusive, innovative, resilient economic growth for a prosperous Auckland</w:t>
            </w:r>
          </w:p>
        </w:tc>
      </w:tr>
      <w:tr>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bCs/>
                <w:color w:val="1A5C3A"/>
                <w:sz w:val="20"/>
                <w:szCs w:val="20"/>
              </w:rPr>
              <w:t xml:space="preserve">ReserveTMK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Named GridAKL network hub — Māori and Pacific peoples' led startup focus, Glen Innes</w:t>
            </w:r>
          </w:p>
        </w:tc>
      </w:tr>
      <w:tr>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bCs/>
                <w:color w:val="1A5C3A"/>
                <w:sz w:val="20"/>
                <w:szCs w:val="20"/>
              </w:rPr>
              <w:t xml:space="preserve">Profile 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Guide partnership conversations, programme alignment and reporting with the EDO</w:t>
            </w:r>
          </w:p>
        </w:tc>
      </w:tr>
    </w:tbl>
    <w:p>
      <w:pPr>
        <w:spacing w:before="60" w:after="60"/>
      </w:pPr>
      <w:r>
        <w:t xml:space="preserve"/>
      </w:r>
    </w:p>
    <w:p>
      <w:pPr>
        <w:pStyle w:val="Heading1"/>
        <w:pBdr>
          <w:bottom w:val="single" w:color="B8860B" w:sz="8" w:space="4"/>
        </w:pBdr>
        <w:spacing w:before="360" w:after="120"/>
      </w:pPr>
      <w:r>
        <w:rPr>
          <w:rFonts w:ascii="Arial" w:cs="Arial" w:eastAsia="Arial" w:hAnsi="Arial"/>
          <w:b/>
          <w:bCs/>
          <w:color w:val="1A5C3A"/>
          <w:sz w:val="28"/>
          <w:szCs w:val="28"/>
        </w:rPr>
        <w:t xml:space="preserve">1. About the Economic Development Office</w:t>
      </w:r>
    </w:p>
    <w:p>
      <w:pPr>
        <w:spacing w:before="60" w:after="60"/>
      </w:pPr>
      <w:r>
        <w:rPr>
          <w:rFonts w:ascii="Arial" w:cs="Arial" w:eastAsia="Arial" w:hAnsi="Arial"/>
          <w:color w:val="555555"/>
          <w:sz w:val="22"/>
          <w:szCs w:val="22"/>
        </w:rPr>
        <w:t xml:space="preserve">The Economic Development Office is a new directorate within Auckland Council, established 1 July 2025. It brings together the economic development functions of Tātaki Auckland Unlimited with the council's Community and Social Innovation team and Local Economic Brokers into a single, more coordinated unit.</w:t>
      </w:r>
    </w:p>
    <w:p>
      <w:pPr>
        <w:spacing w:before="60" w:after="60"/>
      </w:pPr>
      <w:r>
        <w:t xml:space="preserve"/>
      </w:r>
    </w:p>
    <w:p>
      <w:pPr>
        <w:spacing w:before="60" w:after="60"/>
      </w:pPr>
      <w:r>
        <w:rPr>
          <w:rFonts w:ascii="Arial" w:cs="Arial" w:eastAsia="Arial" w:hAnsi="Arial"/>
          <w:color w:val="555555"/>
          <w:sz w:val="22"/>
          <w:szCs w:val="22"/>
        </w:rPr>
        <w:t xml:space="preserve">The EDO is led by General Manager Pam Ford — formerly Director of Economic Development at Tātaki Auckland Unlimited, with prior roles at New Zealand Trade and Enterprise. The office focuses on four areas: business attraction, social and sector innovation, economic transformation, and industry development support.</w:t>
      </w:r>
    </w:p>
    <w:p>
      <w:pPr>
        <w:spacing w:before="60" w:after="60"/>
      </w:pPr>
      <w:r>
        <w:t xml:space="preserve"/>
      </w:r>
    </w:p>
    <w:p>
      <w:pPr>
        <w:spacing w:before="60" w:after="60"/>
      </w:pPr>
      <w:r>
        <w:rPr>
          <w:rFonts w:ascii="Arial" w:cs="Arial" w:eastAsia="Arial" w:hAnsi="Arial"/>
          <w:color w:val="555555"/>
          <w:sz w:val="22"/>
          <w:szCs w:val="22"/>
        </w:rPr>
        <w:t xml:space="preserve">The EDO's vision is inclusive, innovative and resilient economic growth for a prosperous Auckland — with a specific mandate to ensure that Māori, Pacific and South Auckland communities participate fully in that growth.</w:t>
      </w:r>
    </w:p>
    <w:p>
      <w:pPr>
        <w:spacing w:before="60" w:after="60"/>
      </w:pPr>
      <w:r>
        <w:t xml:space="preserve"/>
      </w:r>
    </w:p>
    <w:p>
      <w:pPr>
        <w:pStyle w:val="Heading1"/>
        <w:pBdr>
          <w:bottom w:val="single" w:color="B8860B" w:sz="8" w:space="4"/>
        </w:pBdr>
        <w:spacing w:before="360" w:after="120"/>
      </w:pPr>
      <w:r>
        <w:rPr>
          <w:rFonts w:ascii="Arial" w:cs="Arial" w:eastAsia="Arial" w:hAnsi="Arial"/>
          <w:b/>
          <w:bCs/>
          <w:color w:val="1A5C3A"/>
          <w:sz w:val="28"/>
          <w:szCs w:val="28"/>
        </w:rPr>
        <w:t xml:space="preserve">2. ReserveTMK Within the EDO Ecosystem</w:t>
      </w:r>
    </w:p>
    <w:p>
      <w:pPr>
        <w:spacing w:before="60" w:after="60"/>
      </w:pPr>
      <w:r>
        <w:rPr>
          <w:rFonts w:ascii="Arial" w:cs="Arial" w:eastAsia="Arial" w:hAnsi="Arial"/>
          <w:color w:val="555555"/>
          <w:sz w:val="22"/>
          <w:szCs w:val="22"/>
        </w:rPr>
        <w:t xml:space="preserve">ReserveTMK is not a newcomer to this relationship. The hub has been publicly named as part of the GridAKL network — Auckland's flagship innovation ecosystem — with a specific focus on Māori and Pacific peoples' led startups in Glen Innes.</w:t>
      </w:r>
    </w:p>
    <w:p>
      <w:pPr>
        <w:spacing w:before="60" w:after="60"/>
      </w:pPr>
      <w:r>
        <w:t xml:space="preserve"/>
      </w:r>
    </w:p>
    <w:p>
      <w:pPr>
        <w:spacing w:before="60" w:after="60"/>
      </w:pPr>
      <w:r>
        <w:rPr>
          <w:rFonts w:ascii="Arial" w:cs="Arial" w:eastAsia="Arial" w:hAnsi="Arial"/>
          <w:color w:val="555555"/>
          <w:sz w:val="22"/>
          <w:szCs w:val="22"/>
        </w:rPr>
        <w:t xml:space="preserve">GridAKL sits within the EDO's portfolio. The network's reach across Tāmaki Makaurau includes multiple hubs serving different rohe and communities. ReserveTMK is the eastern anchor of that network and the only hub positioned specifically in the Tāmaki rohe.</w:t>
      </w:r>
    </w:p>
    <w:p>
      <w:pPr>
        <w:spacing w:before="60" w:after="60"/>
      </w:pPr>
      <w:r>
        <w:t xml:space="preserve"/>
      </w:r>
    </w:p>
    <w:p>
      <w:pPr>
        <w:spacing w:before="60" w:after="60"/>
      </w:pPr>
      <w:r>
        <w:rPr>
          <w:rFonts w:ascii="Arial" w:cs="Arial" w:eastAsia="Arial" w:hAnsi="Arial"/>
          <w:color w:val="555555"/>
          <w:sz w:val="22"/>
          <w:szCs w:val="22"/>
        </w:rPr>
        <w:t xml:space="preserve">This existing recognition is the foundation of the EDO relationship. The profile documents how ReserveTMK operates as EDO-aligned infrastructure, what it contributes to EDO priorities, and how we report on that contribution.</w:t>
      </w:r>
    </w:p>
    <w:p>
      <w:pPr>
        <w:spacing w:before="60" w:after="60"/>
      </w:pPr>
      <w:r>
        <w:t xml:space="preserve"/>
      </w:r>
    </w:p>
    <w:p>
      <w:pPr>
        <w:pStyle w:val="Heading1"/>
        <w:pBdr>
          <w:bottom w:val="single" w:color="B8860B" w:sz="8" w:space="4"/>
        </w:pBdr>
        <w:spacing w:before="360" w:after="120"/>
      </w:pPr>
      <w:r>
        <w:rPr>
          <w:rFonts w:ascii="Arial" w:cs="Arial" w:eastAsia="Arial" w:hAnsi="Arial"/>
          <w:b/>
          <w:bCs/>
          <w:color w:val="1A5C3A"/>
          <w:sz w:val="28"/>
          <w:szCs w:val="28"/>
        </w:rPr>
        <w:t xml:space="preserve">3. Strategic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EDO priority</w:t>
            </w:r>
          </w:p>
        </w:tc>
        <w:tc>
          <w:tcPr>
            <w:tcW w:type="dxa" w:w="30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What the EDO wants to see</w:t>
            </w:r>
          </w:p>
        </w:tc>
        <w:tc>
          <w:tcPr>
            <w:tcW w:type="dxa" w:w="386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How ReserveTMK delivers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Inclusive economic growth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Māori and Pacific communities participating fully in Auckland's economy — not as afterthoughts but as drivers.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We are Māori-focused infrastructure in the Tāmaki rohe. Entrepreneurs and enterprises that use this space are building their own economic futures, not being served by external programmes.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Social and sector innovation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New approaches to economic participation, especially in communities that have historically missed out on growth.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The hub activates community-led innovation — connecting people, ideas and enterprise support in a place that is culturally grounded and locally trusted.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Business attraction and ecosystem building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Growing Auckland's entrepreneurial ecosystem, including through hubs and physical infrastructure that support founders.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ReserveTMK is live startup infrastructure in East Auckland. We reduce cost and isolation barriers for Māori and Pacific founders who otherwise have no local base to work from.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Economic transformation — Tāmaki rohe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Ensuring communities like Glen Innes and the wider Tāmaki area share in Auckland's economic growth.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We sit inside the Tāmaki regeneration footprint. Our role is to hold economic activity in the rohe — keeping local founders local and building the base for long-term prosperity.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Industry development support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Connecting enterprises to networks, programmes, funding and markets beyond their immediate community.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The GridAKL network gives ReserveTMK users access to a wider innovation ecosystem — events, connections, expertise and visibility beyond the hub itself.</w:t>
            </w:r>
          </w:p>
        </w:tc>
      </w:tr>
    </w:tbl>
    <w:p>
      <w:pPr>
        <w:spacing w:before="60" w:after="60"/>
      </w:pPr>
      <w:r>
        <w:t xml:space="preserve"/>
      </w:r>
    </w:p>
    <w:p>
      <w:pPr>
        <w:pStyle w:val="Heading1"/>
        <w:pBdr>
          <w:bottom w:val="single" w:color="B8860B" w:sz="8" w:space="4"/>
        </w:pBdr>
        <w:spacing w:before="360" w:after="120"/>
      </w:pPr>
      <w:r>
        <w:rPr>
          <w:rFonts w:ascii="Arial" w:cs="Arial" w:eastAsia="Arial" w:hAnsi="Arial"/>
          <w:b/>
          <w:bCs/>
          <w:color w:val="1A5C3A"/>
          <w:sz w:val="28"/>
          <w:szCs w:val="28"/>
        </w:rPr>
        <w:t xml:space="preserve">4. The Tāmaki Rohe — Why This Place Matters</w:t>
      </w:r>
    </w:p>
    <w:p>
      <w:pPr>
        <w:spacing w:before="60" w:after="60"/>
      </w:pPr>
      <w:r>
        <w:rPr>
          <w:rFonts w:ascii="Arial" w:cs="Arial" w:eastAsia="Arial" w:hAnsi="Arial"/>
          <w:color w:val="555555"/>
          <w:sz w:val="22"/>
          <w:szCs w:val="22"/>
        </w:rPr>
        <w:t xml:space="preserve">Auckland's economic growth has not been evenly distributed. The EDO's own economic monitoring shows that Māori and Pacific rangatahi will play an increasingly critical role in shaping Auckland's economic future — and that communities in areas like Tāmaki have significant unrealised potential.</w:t>
      </w:r>
    </w:p>
    <w:p>
      <w:pPr>
        <w:spacing w:before="60" w:after="60"/>
      </w:pPr>
      <w:r>
        <w:t xml:space="preserve"/>
      </w:r>
    </w:p>
    <w:p>
      <w:pPr>
        <w:spacing w:before="60" w:after="60"/>
      </w:pPr>
      <w:r>
        <w:rPr>
          <w:rFonts w:ascii="Arial" w:cs="Arial" w:eastAsia="Arial" w:hAnsi="Arial"/>
          <w:color w:val="555555"/>
          <w:sz w:val="22"/>
          <w:szCs w:val="22"/>
        </w:rPr>
        <w:t xml:space="preserve">Glen Innes and the Tāmaki rohe have experienced decades of urban disruption and underinvestment in community economic infrastructure. The area has a young, creative and highly connected population. What it has lacked is a space that belongs to it — that is designed for local founders, reflects local culture and keeps value in the community.</w:t>
      </w:r>
    </w:p>
    <w:p>
      <w:pPr>
        <w:spacing w:before="60" w:after="60"/>
      </w:pPr>
      <w:r>
        <w:t xml:space="preserve"/>
      </w:r>
    </w:p>
    <w:p>
      <w:pPr>
        <w:spacing w:before="60" w:after="60"/>
      </w:pPr>
      <w:r>
        <w:rPr>
          <w:rFonts w:ascii="Arial" w:cs="Arial" w:eastAsia="Arial" w:hAnsi="Arial"/>
          <w:color w:val="555555"/>
          <w:sz w:val="22"/>
          <w:szCs w:val="22"/>
        </w:rPr>
        <w:t xml:space="preserve">ReserveTMK is that space. It is not a programme delivered into the community from outside. It is infrastructure the community uses to build its own future.</w:t>
      </w:r>
    </w:p>
    <w:p>
      <w:pPr>
        <w:spacing w:before="60" w:after="60"/>
      </w:pPr>
      <w:r>
        <w:t xml:space="preserve"/>
      </w:r>
    </w:p>
    <w:p>
      <w:pPr>
        <w:pStyle w:val="Heading1"/>
        <w:pBdr>
          <w:bottom w:val="single" w:color="B8860B" w:sz="8" w:space="4"/>
        </w:pBdr>
        <w:spacing w:before="360" w:after="120"/>
      </w:pPr>
      <w:r>
        <w:rPr>
          <w:rFonts w:ascii="Arial" w:cs="Arial" w:eastAsia="Arial" w:hAnsi="Arial"/>
          <w:b/>
          <w:bCs/>
          <w:color w:val="1A5C3A"/>
          <w:sz w:val="28"/>
          <w:szCs w:val="28"/>
        </w:rPr>
        <w:t xml:space="preserve">5. What We Deliver</w:t>
      </w:r>
    </w:p>
    <w:p>
      <w:pPr>
        <w:spacing w:before="180" w:after="60"/>
      </w:pPr>
      <w:r>
        <w:rPr>
          <w:rFonts w:ascii="Arial" w:cs="Arial" w:eastAsia="Arial" w:hAnsi="Arial"/>
          <w:b/>
          <w:bCs/>
          <w:color w:val="1A5C3A"/>
          <w:sz w:val="22"/>
          <w:szCs w:val="22"/>
        </w:rPr>
        <w:t xml:space="preserve">Core operations</w:t>
      </w:r>
    </w:p>
    <w:p>
      <w:pPr>
        <w:pStyle w:val="ListParagraph"/>
        <w:numPr>
          <w:ilvl w:val="0"/>
          <w:numId w:val="2"/>
        </w:numPr>
        <w:spacing w:before="40" w:after="40"/>
      </w:pPr>
      <w:r>
        <w:rPr>
          <w:rFonts w:ascii="Arial" w:cs="Arial" w:eastAsia="Arial" w:hAnsi="Arial"/>
          <w:color w:val="555555"/>
          <w:sz w:val="22"/>
          <w:szCs w:val="22"/>
        </w:rPr>
        <w:t xml:space="preserve">Coworking and hot desking for Māori and Pacific entrepreneurs and enterprises</w:t>
      </w:r>
    </w:p>
    <w:p>
      <w:pPr>
        <w:pStyle w:val="ListParagraph"/>
        <w:numPr>
          <w:ilvl w:val="0"/>
          <w:numId w:val="2"/>
        </w:numPr>
        <w:spacing w:before="40" w:after="40"/>
      </w:pPr>
      <w:r>
        <w:rPr>
          <w:rFonts w:ascii="Arial" w:cs="Arial" w:eastAsia="Arial" w:hAnsi="Arial"/>
          <w:color w:val="555555"/>
          <w:sz w:val="22"/>
          <w:szCs w:val="22"/>
        </w:rPr>
        <w:t xml:space="preserve">Meeting room and venue hire for community and business use</w:t>
      </w:r>
    </w:p>
    <w:p>
      <w:pPr>
        <w:pStyle w:val="ListParagraph"/>
        <w:numPr>
          <w:ilvl w:val="0"/>
          <w:numId w:val="2"/>
        </w:numPr>
        <w:spacing w:before="40" w:after="40"/>
      </w:pPr>
      <w:r>
        <w:rPr>
          <w:rFonts w:ascii="Arial" w:cs="Arial" w:eastAsia="Arial" w:hAnsi="Arial"/>
          <w:color w:val="555555"/>
          <w:sz w:val="22"/>
          <w:szCs w:val="22"/>
        </w:rPr>
        <w:t xml:space="preserve">Community activations, events and hui</w:t>
      </w:r>
    </w:p>
    <w:p>
      <w:pPr>
        <w:pStyle w:val="ListParagraph"/>
        <w:numPr>
          <w:ilvl w:val="0"/>
          <w:numId w:val="2"/>
        </w:numPr>
        <w:spacing w:before="40" w:after="40"/>
      </w:pPr>
      <w:r>
        <w:rPr>
          <w:rFonts w:ascii="Arial" w:cs="Arial" w:eastAsia="Arial" w:hAnsi="Arial"/>
          <w:color w:val="555555"/>
          <w:sz w:val="22"/>
          <w:szCs w:val="22"/>
        </w:rPr>
        <w:t xml:space="preserve">Business support and enterprise development programming</w:t>
      </w:r>
    </w:p>
    <w:p>
      <w:pPr>
        <w:pStyle w:val="ListParagraph"/>
        <w:numPr>
          <w:ilvl w:val="0"/>
          <w:numId w:val="2"/>
        </w:numPr>
        <w:spacing w:before="40" w:after="40"/>
      </w:pPr>
      <w:r>
        <w:rPr>
          <w:rFonts w:ascii="Arial" w:cs="Arial" w:eastAsia="Arial" w:hAnsi="Arial"/>
          <w:color w:val="555555"/>
          <w:sz w:val="22"/>
          <w:szCs w:val="22"/>
        </w:rPr>
        <w:t xml:space="preserve">Partnership-led kaupapa with local, regional and national organisations</w:t>
      </w:r>
    </w:p>
    <w:p>
      <w:pPr>
        <w:spacing w:before="60" w:after="60"/>
      </w:pPr>
      <w:r>
        <w:t xml:space="preserve"/>
      </w:r>
    </w:p>
    <w:p>
      <w:pPr>
        <w:spacing w:before="180" w:after="60"/>
      </w:pPr>
      <w:r>
        <w:rPr>
          <w:rFonts w:ascii="Arial" w:cs="Arial" w:eastAsia="Arial" w:hAnsi="Arial"/>
          <w:b/>
          <w:bCs/>
          <w:color w:val="1A5C3A"/>
          <w:sz w:val="22"/>
          <w:szCs w:val="22"/>
        </w:rPr>
        <w:t xml:space="preserve">Who uses the hub</w:t>
      </w:r>
    </w:p>
    <w:p>
      <w:pPr>
        <w:pStyle w:val="ListParagraph"/>
        <w:numPr>
          <w:ilvl w:val="0"/>
          <w:numId w:val="2"/>
        </w:numPr>
        <w:spacing w:before="40" w:after="40"/>
      </w:pPr>
      <w:r>
        <w:rPr>
          <w:rFonts w:ascii="Arial" w:cs="Arial" w:eastAsia="Arial" w:hAnsi="Arial"/>
          <w:color w:val="555555"/>
          <w:sz w:val="22"/>
          <w:szCs w:val="22"/>
        </w:rPr>
        <w:t xml:space="preserve">Māori founders and small business owners in the Tāmaki rohe</w:t>
      </w:r>
    </w:p>
    <w:p>
      <w:pPr>
        <w:pStyle w:val="ListParagraph"/>
        <w:numPr>
          <w:ilvl w:val="0"/>
          <w:numId w:val="2"/>
        </w:numPr>
        <w:spacing w:before="40" w:after="40"/>
      </w:pPr>
      <w:r>
        <w:rPr>
          <w:rFonts w:ascii="Arial" w:cs="Arial" w:eastAsia="Arial" w:hAnsi="Arial"/>
          <w:color w:val="555555"/>
          <w:sz w:val="22"/>
          <w:szCs w:val="22"/>
        </w:rPr>
        <w:t xml:space="preserve">Pacific entrepreneurs and enterprises in East Auckland</w:t>
      </w:r>
    </w:p>
    <w:p>
      <w:pPr>
        <w:pStyle w:val="ListParagraph"/>
        <w:numPr>
          <w:ilvl w:val="0"/>
          <w:numId w:val="2"/>
        </w:numPr>
        <w:spacing w:before="40" w:after="40"/>
      </w:pPr>
      <w:r>
        <w:rPr>
          <w:rFonts w:ascii="Arial" w:cs="Arial" w:eastAsia="Arial" w:hAnsi="Arial"/>
          <w:color w:val="555555"/>
          <w:sz w:val="22"/>
          <w:szCs w:val="22"/>
        </w:rPr>
        <w:t xml:space="preserve">Community organisations and not-for-profits operating locally</w:t>
      </w:r>
    </w:p>
    <w:p>
      <w:pPr>
        <w:pStyle w:val="ListParagraph"/>
        <w:numPr>
          <w:ilvl w:val="0"/>
          <w:numId w:val="2"/>
        </w:numPr>
        <w:spacing w:before="40" w:after="40"/>
      </w:pPr>
      <w:r>
        <w:rPr>
          <w:rFonts w:ascii="Arial" w:cs="Arial" w:eastAsia="Arial" w:hAnsi="Arial"/>
          <w:color w:val="555555"/>
          <w:sz w:val="22"/>
          <w:szCs w:val="22"/>
        </w:rPr>
        <w:t xml:space="preserve">Rangatahi and emerging entrepreneurs from Glen Innes and surrounding areas</w:t>
      </w:r>
    </w:p>
    <w:p>
      <w:pPr>
        <w:spacing w:before="60" w:after="60"/>
      </w:pPr>
      <w:r>
        <w:t xml:space="preserve"/>
      </w:r>
    </w:p>
    <w:p>
      <w:pPr>
        <w:spacing w:before="180" w:after="60"/>
      </w:pPr>
      <w:r>
        <w:rPr>
          <w:rFonts w:ascii="Arial" w:cs="Arial" w:eastAsia="Arial" w:hAnsi="Arial"/>
          <w:b/>
          <w:bCs/>
          <w:color w:val="1A5C3A"/>
          <w:sz w:val="22"/>
          <w:szCs w:val="22"/>
        </w:rPr>
        <w:t xml:space="preserve">GridAKL network contribution</w:t>
      </w:r>
    </w:p>
    <w:p>
      <w:pPr>
        <w:pStyle w:val="ListParagraph"/>
        <w:numPr>
          <w:ilvl w:val="0"/>
          <w:numId w:val="2"/>
        </w:numPr>
        <w:spacing w:before="40" w:after="40"/>
      </w:pPr>
      <w:r>
        <w:rPr>
          <w:rFonts w:ascii="Arial" w:cs="Arial" w:eastAsia="Arial" w:hAnsi="Arial"/>
          <w:color w:val="555555"/>
          <w:sz w:val="22"/>
          <w:szCs w:val="22"/>
        </w:rPr>
        <w:t xml:space="preserve">ReserveTMK is the eastern anchor of the GridAKL innovation ecosystem across Tāmaki Makaurau</w:t>
      </w:r>
    </w:p>
    <w:p>
      <w:pPr>
        <w:pStyle w:val="ListParagraph"/>
        <w:numPr>
          <w:ilvl w:val="0"/>
          <w:numId w:val="2"/>
        </w:numPr>
        <w:spacing w:before="40" w:after="40"/>
      </w:pPr>
      <w:r>
        <w:rPr>
          <w:rFonts w:ascii="Arial" w:cs="Arial" w:eastAsia="Arial" w:hAnsi="Arial"/>
          <w:color w:val="555555"/>
          <w:sz w:val="22"/>
          <w:szCs w:val="22"/>
        </w:rPr>
        <w:t xml:space="preserve">Hub users connect to the broader network — events, programmes, mentorship and market access</w:t>
      </w:r>
    </w:p>
    <w:p>
      <w:pPr>
        <w:pStyle w:val="ListParagraph"/>
        <w:numPr>
          <w:ilvl w:val="0"/>
          <w:numId w:val="2"/>
        </w:numPr>
        <w:spacing w:before="40" w:after="40"/>
      </w:pPr>
      <w:r>
        <w:rPr>
          <w:rFonts w:ascii="Arial" w:cs="Arial" w:eastAsia="Arial" w:hAnsi="Arial"/>
          <w:color w:val="555555"/>
          <w:sz w:val="22"/>
          <w:szCs w:val="22"/>
        </w:rPr>
        <w:t xml:space="preserve">We extend the reach of EDO innovation infrastructure into a rohe that would otherwise be unserved</w:t>
      </w:r>
    </w:p>
    <w:p>
      <w:pPr>
        <w:spacing w:before="60" w:after="60"/>
      </w:pPr>
      <w:r>
        <w:t xml:space="preserve"/>
      </w:r>
    </w:p>
    <w:p>
      <w:pPr>
        <w:pStyle w:val="Heading1"/>
        <w:pBdr>
          <w:bottom w:val="single" w:color="B8860B" w:sz="8" w:space="4"/>
        </w:pBdr>
        <w:spacing w:before="360" w:after="120"/>
      </w:pPr>
      <w:r>
        <w:rPr>
          <w:rFonts w:ascii="Arial" w:cs="Arial" w:eastAsia="Arial" w:hAnsi="Arial"/>
          <w:b/>
          <w:bCs/>
          <w:color w:val="1A5C3A"/>
          <w:sz w:val="28"/>
          <w:szCs w:val="28"/>
        </w:rPr>
        <w:t xml:space="preserve">6. Reporting Framework for the EDO</w:t>
      </w:r>
    </w:p>
    <w:p>
      <w:pPr>
        <w:spacing w:before="60" w:after="60"/>
      </w:pPr>
      <w:r>
        <w:rPr>
          <w:rFonts w:ascii="Arial" w:cs="Arial" w:eastAsia="Arial" w:hAnsi="Arial"/>
          <w:color w:val="555555"/>
          <w:sz w:val="22"/>
          <w:szCs w:val="22"/>
        </w:rPr>
        <w:t xml:space="preserve">The EDO operates with a focus on inclusive economic outcomes and regional impact. The indicators below are structured to demonstrate ReserveTMK's contribution to EDO priorities across three domains.</w:t>
      </w:r>
    </w:p>
    <w:p>
      <w:pPr>
        <w:spacing w:before="60" w:after="60"/>
      </w:pPr>
      <w:r>
        <w:t xml:space="preserve"/>
      </w:r>
    </w:p>
    <w:p>
      <w:pPr>
        <w:spacing w:before="180" w:after="60"/>
      </w:pPr>
      <w:r>
        <w:rPr>
          <w:rFonts w:ascii="Arial" w:cs="Arial" w:eastAsia="Arial" w:hAnsi="Arial"/>
          <w:b/>
          <w:bCs/>
          <w:color w:val="1A5C3A"/>
          <w:sz w:val="22"/>
          <w:szCs w:val="22"/>
        </w:rPr>
        <w:t xml:space="preserve">Inclusive economic growth — what we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46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How we measure it</w:t>
            </w:r>
          </w:p>
        </w:tc>
      </w:tr>
      <w:tr>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Number of Māori and Pacific founders and enterprises using the hub</w:t>
            </w:r>
          </w:p>
        </w:tc>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Membership and hot desk records (monthly)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Proportion of hub users who identify as Māori or Pacific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Opt-in demographic data at registration</w:t>
            </w:r>
          </w:p>
        </w:tc>
      </w:tr>
      <w:tr>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New enterprises started or formalised by hub users</w:t>
            </w:r>
          </w:p>
        </w:tc>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Tracked through follow-up check-ins (quarterly)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Revenue and income growth of enterprises using the hub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Self-reported quarterly where available</w:t>
            </w:r>
          </w:p>
        </w:tc>
      </w:tr>
      <w:tr>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Enterprises that grew or held steady during the period</w:t>
            </w:r>
          </w:p>
        </w:tc>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Qualitative follow-up and case documentation</w:t>
            </w:r>
          </w:p>
        </w:tc>
      </w:tr>
    </w:tbl>
    <w:p>
      <w:pPr>
        <w:spacing w:before="60" w:after="60"/>
      </w:pPr>
      <w:r>
        <w:t xml:space="preserve"/>
      </w:r>
    </w:p>
    <w:p>
      <w:pPr>
        <w:spacing w:before="180" w:after="60"/>
      </w:pPr>
      <w:r>
        <w:rPr>
          <w:rFonts w:ascii="Arial" w:cs="Arial" w:eastAsia="Arial" w:hAnsi="Arial"/>
          <w:b/>
          <w:bCs/>
          <w:color w:val="1A5C3A"/>
          <w:sz w:val="22"/>
          <w:szCs w:val="22"/>
        </w:rPr>
        <w:t xml:space="preserve">Innovation ecosystem — what we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46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How we measure it</w:t>
            </w:r>
          </w:p>
        </w:tc>
      </w:tr>
      <w:tr>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Number of innovation activations, programmes and events hosted</w:t>
            </w:r>
          </w:p>
        </w:tc>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Event log (monthly)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Hub users connected to GridAKL network opportunities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Programme participation records</w:t>
            </w:r>
          </w:p>
        </w:tc>
      </w:tr>
      <w:tr>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External organisations and partners hosted or collaborated with</w:t>
            </w:r>
          </w:p>
        </w:tc>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Partnership tracker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Rangatahi and emerging entrepreneurs engaged through hub activity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Age-tagged demographic capture</w:t>
            </w:r>
          </w:p>
        </w:tc>
      </w:tr>
      <w:tr>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Connections made between hub users and external markets/networks</w:t>
            </w:r>
          </w:p>
        </w:tc>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Qualitative — tracked through programme delivery</w:t>
            </w:r>
          </w:p>
        </w:tc>
      </w:tr>
    </w:tbl>
    <w:p>
      <w:pPr>
        <w:spacing w:before="60" w:after="60"/>
      </w:pPr>
      <w:r>
        <w:t xml:space="preserve"/>
      </w:r>
    </w:p>
    <w:p>
      <w:pPr>
        <w:spacing w:before="180" w:after="60"/>
      </w:pPr>
      <w:r>
        <w:rPr>
          <w:rFonts w:ascii="Arial" w:cs="Arial" w:eastAsia="Arial" w:hAnsi="Arial"/>
          <w:b/>
          <w:bCs/>
          <w:color w:val="1A5C3A"/>
          <w:sz w:val="22"/>
          <w:szCs w:val="22"/>
        </w:rPr>
        <w:t xml:space="preserve">Tāmaki rohe economic contribution — what we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46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How we measure it</w:t>
            </w:r>
          </w:p>
        </w:tc>
      </w:tr>
      <w:tr>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Local enterprises retained in the rohe (not relocating out)</w:t>
            </w:r>
          </w:p>
        </w:tc>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Longitudinal tracking of regular hub users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Economic activity generated through venue hire and programmes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Financial reporting — monthly</w:t>
            </w:r>
          </w:p>
        </w:tc>
      </w:tr>
      <w:tr>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Jobs created or sustained by enterprises using the hub</w:t>
            </w:r>
          </w:p>
        </w:tc>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Reported quarterly where data available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Value of co-investment attracted alongside council funding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MOF, Local Board, MBIE and philanthropic funding documented</w:t>
            </w:r>
          </w:p>
        </w:tc>
      </w:tr>
      <w:tr>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Demonstrated economic activity per hub user</w:t>
            </w:r>
          </w:p>
        </w:tc>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Annual snapshot — revenue, employment, market access</w:t>
            </w:r>
          </w:p>
        </w:tc>
      </w:tr>
    </w:tbl>
    <w:p>
      <w:pPr>
        <w:spacing w:before="60" w:after="60"/>
      </w:pPr>
      <w:r>
        <w:t xml:space="preserve"/>
      </w:r>
    </w:p>
    <w:p>
      <w:pPr>
        <w:pStyle w:val="Heading1"/>
        <w:pBdr>
          <w:bottom w:val="single" w:color="B8860B" w:sz="8" w:space="4"/>
        </w:pBdr>
        <w:spacing w:before="360" w:after="120"/>
      </w:pPr>
      <w:r>
        <w:rPr>
          <w:rFonts w:ascii="Arial" w:cs="Arial" w:eastAsia="Arial" w:hAnsi="Arial"/>
          <w:b/>
          <w:bCs/>
          <w:color w:val="1A5C3A"/>
          <w:sz w:val="28"/>
          <w:szCs w:val="28"/>
        </w:rPr>
        <w:t xml:space="preserve">7. Co-investment and Partnership Leverage</w:t>
      </w:r>
    </w:p>
    <w:p>
      <w:pPr>
        <w:spacing w:before="60" w:after="60"/>
      </w:pPr>
      <w:r>
        <w:rPr>
          <w:rFonts w:ascii="Arial" w:cs="Arial" w:eastAsia="Arial" w:hAnsi="Arial"/>
          <w:color w:val="555555"/>
          <w:sz w:val="22"/>
          <w:szCs w:val="22"/>
        </w:rPr>
        <w:t xml:space="preserve">The EDO operates in a funding environment where co-investment from multiple sources strengthens the case for continued and expanded support. ReserveTMK is well positioned to demonstrate this.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Partner / funder</w:t>
            </w:r>
          </w:p>
        </w:tc>
        <w:tc>
          <w:tcPr>
            <w:tcW w:type="dxa" w:w="30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30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Type of investment</w:t>
            </w:r>
          </w:p>
        </w:tc>
      </w:tr>
      <w:tr>
        <w:tc>
          <w:tcPr>
            <w:tcW w:type="dxa" w:w="32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Ngā Mātārae — Auckland Council Māori Outcomes Fund</w:t>
            </w:r>
          </w:p>
        </w:tc>
        <w:tc>
          <w:tcPr>
            <w:tcW w:type="dxa" w:w="30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Confirmed — 3-year MOF investment via Tātaki Auckland Unlimited application</w:t>
            </w:r>
          </w:p>
        </w:tc>
        <w:tc>
          <w:tcPr>
            <w:tcW w:type="dxa" w:w="30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Operational and programme funding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Tātaki Auckland Unlimited (now EDO)</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Original CCO sponsor — $100k operational funding transferred to council as part of CCO reform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Operational co-funding</w:t>
            </w:r>
          </w:p>
        </w:tc>
      </w:tr>
      <w:tr>
        <w:tc>
          <w:tcPr>
            <w:tcW w:type="dxa" w:w="32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Auckland Council Local Board — Tāmaki</w:t>
            </w:r>
          </w:p>
        </w:tc>
        <w:tc>
          <w:tcPr>
            <w:tcW w:type="dxa" w:w="30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Potential co-investment for local activations and events</w:t>
            </w:r>
          </w:p>
        </w:tc>
        <w:tc>
          <w:tcPr>
            <w:tcW w:type="dxa" w:w="30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Project and activation funding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Foundation North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Prospective — profile developed, funder alignment confirmed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Community grant (Increased Equity / Community Support)</w:t>
            </w:r>
          </w:p>
        </w:tc>
      </w:tr>
      <w:tr>
        <w:tc>
          <w:tcPr>
            <w:tcW w:type="dxa" w:w="32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MBIE / central government</w:t>
            </w:r>
          </w:p>
        </w:tc>
        <w:tc>
          <w:tcPr>
            <w:tcW w:type="dxa" w:w="30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Potential — aligned to inclusive growth and Māori economic development programmes</w:t>
            </w:r>
          </w:p>
        </w:tc>
        <w:tc>
          <w:tcPr>
            <w:tcW w:type="dxa" w:w="30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Programme co-funding</w:t>
            </w:r>
          </w:p>
        </w:tc>
      </w:tr>
    </w:tbl>
    <w:p>
      <w:pPr>
        <w:spacing w:before="60" w:after="60"/>
      </w:pPr>
      <w:r>
        <w:t xml:space="preserve"/>
      </w:r>
    </w:p>
    <w:p>
      <w:pPr>
        <w:pStyle w:val="Heading1"/>
        <w:pBdr>
          <w:bottom w:val="single" w:color="B8860B" w:sz="8" w:space="4"/>
        </w:pBdr>
        <w:spacing w:before="360" w:after="120"/>
      </w:pPr>
      <w:r>
        <w:rPr>
          <w:rFonts w:ascii="Arial" w:cs="Arial" w:eastAsia="Arial" w:hAnsi="Arial"/>
          <w:b/>
          <w:bCs/>
          <w:color w:val="1A5C3A"/>
          <w:sz w:val="28"/>
          <w:szCs w:val="28"/>
        </w:rPr>
        <w:t xml:space="preserve">8. Reporting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37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What we report</w:t>
            </w:r>
          </w:p>
        </w:tc>
        <w:tc>
          <w:tcPr>
            <w:tcW w:type="dxa" w:w="338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22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Monthly</w:t>
            </w:r>
          </w:p>
        </w:tc>
        <w:tc>
          <w:tcPr>
            <w:tcW w:type="dxa" w:w="37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Usage numbers, activations, venue hire, new enterprises on-boarded</w:t>
            </w:r>
          </w:p>
        </w:tc>
        <w:tc>
          <w:tcPr>
            <w:tcW w:type="dxa" w:w="33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Internal / EDO relationship manager</w:t>
            </w:r>
          </w:p>
        </w:tc>
      </w:tr>
      <w:tr>
        <w:tc>
          <w:tcPr>
            <w:tcW w:type="dxa" w:w="22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Quarterly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Progress against inclusive growth indicators, ecosystem connections made, co-investment updates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EDO / GridAKL network reporting</w:t>
            </w:r>
          </w:p>
        </w:tc>
      </w:tr>
      <w:tr>
        <w:tc>
          <w:tcPr>
            <w:tcW w:type="dxa" w:w="22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Annually</w:t>
            </w:r>
          </w:p>
        </w:tc>
        <w:tc>
          <w:tcPr>
            <w:tcW w:type="dxa" w:w="37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Full impact report — economic indicators, stories of change, co-investment leverage, forward plan</w:t>
            </w:r>
          </w:p>
        </w:tc>
        <w:tc>
          <w:tcPr>
            <w:tcW w:type="dxa" w:w="33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b w:val="false"/>
                <w:bCs w:val="false"/>
                <w:color w:val="555555"/>
                <w:sz w:val="20"/>
                <w:szCs w:val="20"/>
              </w:rPr>
              <w:t xml:space="preserve">EDO, MOF, Auckland Council Annual Māori Outcomes cycle</w:t>
            </w:r>
          </w:p>
        </w:tc>
      </w:tr>
    </w:tbl>
    <w:p>
      <w:pPr>
        <w:spacing w:before="60" w:after="60"/>
      </w:pPr>
      <w:r>
        <w:t xml:space="preserve"/>
      </w:r>
    </w:p>
    <w:p>
      <w:pPr>
        <w:pStyle w:val="Heading1"/>
        <w:pBdr>
          <w:bottom w:val="single" w:color="B8860B" w:sz="8" w:space="4"/>
        </w:pBdr>
        <w:spacing w:before="360" w:after="120"/>
      </w:pPr>
      <w:r>
        <w:rPr>
          <w:rFonts w:ascii="Arial" w:cs="Arial" w:eastAsia="Arial" w:hAnsi="Arial"/>
          <w:b/>
          <w:bCs/>
          <w:color w:val="1A5C3A"/>
          <w:sz w:val="28"/>
          <w:szCs w:val="28"/>
        </w:rPr>
        <w:t xml:space="preserve">9. How to Talk About ReserveTMK to the EDO</w:t>
      </w:r>
    </w:p>
    <w:p>
      <w:pPr>
        <w:spacing w:before="60" w:after="60"/>
      </w:pPr>
      <w:r>
        <w:rPr>
          <w:rFonts w:ascii="Arial" w:cs="Arial" w:eastAsia="Arial" w:hAnsi="Arial"/>
          <w:color w:val="555555"/>
          <w:sz w:val="22"/>
          <w:szCs w:val="22"/>
        </w:rPr>
        <w:t xml:space="preserve">The EDO responds to evidence of real economic impact, clear geographic purpose, and contribution to inclusive growth. These are the frames that land:</w:t>
      </w:r>
    </w:p>
    <w:p>
      <w:pPr>
        <w:spacing w:before="60" w:after="60"/>
      </w:pPr>
      <w:r>
        <w:t xml:space="preserve"/>
      </w:r>
    </w:p>
    <w:p>
      <w:pPr>
        <w:pStyle w:val="ListParagraph"/>
        <w:numPr>
          <w:ilvl w:val="0"/>
          <w:numId w:val="2"/>
        </w:numPr>
        <w:spacing w:before="40" w:after="40"/>
      </w:pPr>
      <w:r>
        <w:rPr>
          <w:rFonts w:ascii="Arial" w:cs="Arial" w:eastAsia="Arial" w:hAnsi="Arial"/>
          <w:color w:val="555555"/>
          <w:sz w:val="22"/>
          <w:szCs w:val="22"/>
        </w:rPr>
        <w:t xml:space="preserve">ReserveTMK is the eastern anchor of Auckland's innovation hub network — serving a part of the city that has historically missed out on the economic gains that come with that infrastructure.</w:t>
      </w:r>
    </w:p>
    <w:p>
      <w:pPr>
        <w:pStyle w:val="ListParagraph"/>
        <w:numPr>
          <w:ilvl w:val="0"/>
          <w:numId w:val="2"/>
        </w:numPr>
        <w:spacing w:before="40" w:after="40"/>
      </w:pPr>
      <w:r>
        <w:rPr>
          <w:rFonts w:ascii="Arial" w:cs="Arial" w:eastAsia="Arial" w:hAnsi="Arial"/>
          <w:color w:val="555555"/>
          <w:sz w:val="22"/>
          <w:szCs w:val="22"/>
        </w:rPr>
        <w:t xml:space="preserve">We reduce the participation cost for Māori and Pacific founders. Workspace, networks and visibility are not evenly distributed in Auckland. We address that directly.</w:t>
      </w:r>
    </w:p>
    <w:p>
      <w:pPr>
        <w:pStyle w:val="ListParagraph"/>
        <w:numPr>
          <w:ilvl w:val="0"/>
          <w:numId w:val="2"/>
        </w:numPr>
        <w:spacing w:before="40" w:after="40"/>
      </w:pPr>
      <w:r>
        <w:rPr>
          <w:rFonts w:ascii="Arial" w:cs="Arial" w:eastAsia="Arial" w:hAnsi="Arial"/>
          <w:color w:val="555555"/>
          <w:sz w:val="22"/>
          <w:szCs w:val="22"/>
        </w:rPr>
        <w:t xml:space="preserve">Our hub is inside the Tāmaki regeneration footprint. Economic activity we generate and retain in the rohe supports the broader regeneration investment Auckland Council has made here.</w:t>
      </w:r>
    </w:p>
    <w:p>
      <w:pPr>
        <w:pStyle w:val="ListParagraph"/>
        <w:numPr>
          <w:ilvl w:val="0"/>
          <w:numId w:val="2"/>
        </w:numPr>
        <w:spacing w:before="40" w:after="40"/>
      </w:pPr>
      <w:r>
        <w:rPr>
          <w:rFonts w:ascii="Arial" w:cs="Arial" w:eastAsia="Arial" w:hAnsi="Arial"/>
          <w:color w:val="555555"/>
          <w:sz w:val="22"/>
          <w:szCs w:val="22"/>
        </w:rPr>
        <w:t xml:space="preserve">We sit within a proven network. GridAKL generated $424m in annual economic boost for Auckland — ReserveTMK is part of that story, extending impact into East Auckland.</w:t>
      </w:r>
    </w:p>
    <w:p>
      <w:pPr>
        <w:pStyle w:val="ListParagraph"/>
        <w:numPr>
          <w:ilvl w:val="0"/>
          <w:numId w:val="2"/>
        </w:numPr>
        <w:spacing w:before="40" w:after="40"/>
      </w:pPr>
      <w:r>
        <w:rPr>
          <w:rFonts w:ascii="Arial" w:cs="Arial" w:eastAsia="Arial" w:hAnsi="Arial"/>
          <w:color w:val="555555"/>
          <w:sz w:val="22"/>
          <w:szCs w:val="22"/>
        </w:rPr>
        <w:t xml:space="preserve">We are already funded and recognised. MOF investment, prior Tātaki operational co-funding, and public naming in EDO-adjacent reporting makes this a continuation, not a cold start.</w:t>
      </w:r>
    </w:p>
    <w:p>
      <w:pPr>
        <w:pStyle w:val="ListParagraph"/>
        <w:numPr>
          <w:ilvl w:val="0"/>
          <w:numId w:val="2"/>
        </w:numPr>
        <w:spacing w:before="40" w:after="40"/>
      </w:pPr>
      <w:r>
        <w:rPr>
          <w:rFonts w:ascii="Arial" w:cs="Arial" w:eastAsia="Arial" w:hAnsi="Arial"/>
          <w:color w:val="555555"/>
          <w:sz w:val="22"/>
          <w:szCs w:val="22"/>
        </w:rPr>
        <w:t xml:space="preserve">Māori and Pacific rangatahi will drive Auckland's economic future — the EDO's own economic monitor says so. ReserveTMK is where that future gets built in the Tāmaki rohe.</w:t>
      </w:r>
    </w:p>
    <w:p>
      <w:pPr>
        <w:spacing w:before="60" w:after="60"/>
      </w:pPr>
      <w:r>
        <w:t xml:space="preserve"/>
      </w:r>
    </w:p>
    <w:p>
      <w:pPr>
        <w:pBdr>
          <w:top w:val="single" w:color="B8860B" w:sz="6" w:space="4"/>
        </w:pBdr>
        <w:spacing w:before="360" w:after="60"/>
      </w:pPr>
      <w:r>
        <w:rPr>
          <w:rFonts w:ascii="Arial" w:cs="Arial" w:eastAsia="Arial" w:hAnsi="Arial"/>
          <w:i/>
          <w:iCs/>
          <w:color w:val="555555"/>
          <w:sz w:val="18"/>
          <w:szCs w:val="18"/>
        </w:rPr>
        <w:t xml:space="preserve">ReserveTMK  |  Glen Innes, Tāmaki Makaurau  |  EDO Funder Profile  |  Auckland Council Economic Development Office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C3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2026-03-16T06:59:04.807Z</dcterms:created>
  <dcterms:modified xsi:type="dcterms:W3CDTF">2026-03-16T06:59:04.808Z</dcterms:modified>
</cp:coreProperties>
</file>

<file path=docProps/custom.xml><?xml version="1.0" encoding="utf-8"?>
<Properties xmlns="http://schemas.openxmlformats.org/officeDocument/2006/custom-properties" xmlns:vt="http://schemas.openxmlformats.org/officeDocument/2006/docPropsVTypes"/>
</file>