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B3A6B"/>
          <w:sz w:val="52"/>
          <w:szCs w:val="52"/>
        </w:rPr>
        <w:t xml:space="preserve">ReserveTMK</w:t>
      </w:r>
    </w:p>
    <w:p>
      <w:pPr>
        <w:spacing w:before="0" w:after="60"/>
      </w:pPr>
      <w:r>
        <w:rPr>
          <w:rFonts w:ascii="Arial" w:cs="Arial" w:eastAsia="Arial" w:hAnsi="Arial"/>
          <w:color w:val="1A1A1A"/>
          <w:sz w:val="32"/>
          <w:szCs w:val="32"/>
        </w:rPr>
        <w:t xml:space="preserve">Foundation North — Funder Profile</w:t>
      </w:r>
    </w:p>
    <w:p>
      <w:pPr>
        <w:spacing w:before="0" w:after="60"/>
      </w:pPr>
      <w:r>
        <w:rPr>
          <w:rFonts w:ascii="Arial" w:cs="Arial" w:eastAsia="Arial" w:hAnsi="Arial"/>
          <w:i/>
          <w:iCs/>
          <w:color w:val="555555"/>
          <w:sz w:val="20"/>
          <w:szCs w:val="20"/>
        </w:rPr>
        <w:t xml:space="preserve">Pūtea Hāpai Oranga | Auckland and Northland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Organisation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ReserveTMK (Reserve Tāmaki)</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Glen Innes, Tāmaki Makaurau — South Auckland</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Kaupapa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Community innovation and coworking hub supporting Māori entrepreneurs and enterprises</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Funder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Foundation North | Pūtea Hāpai Oranga</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Eligible grant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Quick Response Grant (up to $25,000) or Community Grant (over $25,000)</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Primary focus areas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Increased Equity | Community Support</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Priority community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Tangata whenua, South Auckland communities</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Profile 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Guide funding conversations, applications and impact reporting with Foundation North</w:t>
            </w:r>
          </w:p>
        </w:tc>
      </w:tr>
    </w:tbl>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1. About Foundation North</w:t>
      </w:r>
    </w:p>
    <w:p>
      <w:pPr>
        <w:spacing w:before="60" w:after="60"/>
      </w:pPr>
      <w:r>
        <w:rPr>
          <w:rFonts w:ascii="Arial" w:cs="Arial" w:eastAsia="Arial" w:hAnsi="Arial"/>
          <w:color w:val="555555"/>
          <w:sz w:val="22"/>
          <w:szCs w:val="22"/>
        </w:rPr>
        <w:t xml:space="preserve">Foundation North (Pūtea Hāpai Oranga) is the largest philanthropic funder in New Zealand, making grants to projects that create lasting impact across Auckland and Northland. It operates four focus areas: Increased Equity, Social Inclusion, Regenerative Environment and Community Support.</w:t>
      </w:r>
    </w:p>
    <w:p>
      <w:pPr>
        <w:spacing w:before="60" w:after="60"/>
      </w:pPr>
      <w:r>
        <w:t xml:space="preserve"/>
      </w:r>
    </w:p>
    <w:p>
      <w:pPr>
        <w:spacing w:before="60" w:after="60"/>
      </w:pPr>
      <w:r>
        <w:rPr>
          <w:rFonts w:ascii="Arial" w:cs="Arial" w:eastAsia="Arial" w:hAnsi="Arial"/>
          <w:color w:val="555555"/>
          <w:sz w:val="22"/>
          <w:szCs w:val="22"/>
        </w:rPr>
        <w:t xml:space="preserve">Foundation North explicitly prioritises tangata whenua and Pacific peoples, alongside South Auckland and Northland communities, children and young people. It also prioritises activities that give effect to Te Tiriti o Waitangi — which is core to how the organisation operates, not just an add-on criterion.</w:t>
      </w:r>
    </w:p>
    <w:p>
      <w:pPr>
        <w:spacing w:before="60" w:after="60"/>
      </w:pPr>
      <w:r>
        <w:t xml:space="preserve"/>
      </w:r>
    </w:p>
    <w:p>
      <w:pPr>
        <w:spacing w:before="60" w:after="60"/>
      </w:pPr>
      <w:r>
        <w:rPr>
          <w:rFonts w:ascii="Arial" w:cs="Arial" w:eastAsia="Arial" w:hAnsi="Arial"/>
          <w:color w:val="555555"/>
          <w:sz w:val="22"/>
          <w:szCs w:val="22"/>
        </w:rPr>
        <w:t xml:space="preserve">For ReserveTMK, the strongest alignment sits across Increased Equity and Community Support, with Te Tiriti as a cross-cutting thread that strengthens every part of our case.</w:t>
      </w:r>
    </w:p>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2. Why ReserveTMK Is a Strong Fit</w:t>
      </w:r>
    </w:p>
    <w:p>
      <w:pPr>
        <w:spacing w:before="60" w:after="60"/>
      </w:pPr>
      <w:r>
        <w:rPr>
          <w:rFonts w:ascii="Arial" w:cs="Arial" w:eastAsia="Arial" w:hAnsi="Arial"/>
          <w:color w:val="555555"/>
          <w:sz w:val="22"/>
          <w:szCs w:val="22"/>
        </w:rPr>
        <w:t xml:space="preserve">Foundation North funds work that is for, by and with priority communities — and that leads to communities deciding what they need and leading their own solutions. That is exactly what ReserveTMK does.</w:t>
      </w:r>
    </w:p>
    <w:p>
      <w:pPr>
        <w:spacing w:before="60" w:after="60"/>
      </w:pPr>
      <w:r>
        <w:t xml:space="preserve"/>
      </w:r>
    </w:p>
    <w:p>
      <w:pPr>
        <w:spacing w:before="60" w:after="60"/>
      </w:pPr>
      <w:r>
        <w:rPr>
          <w:rFonts w:ascii="Arial" w:cs="Arial" w:eastAsia="Arial" w:hAnsi="Arial"/>
          <w:color w:val="555555"/>
          <w:sz w:val="22"/>
          <w:szCs w:val="22"/>
        </w:rPr>
        <w:t xml:space="preserve">We are a Māori-focused innovation and coworking hub in Glen Innes — sitting squarely in South Auckland, serving tangata whenua, and operating as infrastructure for Māori economic and community self-determination. We are not delivering services to a community. We are a place that enables the community to do its own mahi.</w:t>
      </w:r>
    </w:p>
    <w:p>
      <w:pPr>
        <w:spacing w:before="60" w:after="60"/>
      </w:pPr>
      <w:r>
        <w:t xml:space="preserve"/>
      </w:r>
    </w:p>
    <w:p>
      <w:pPr>
        <w:spacing w:before="60" w:after="60"/>
      </w:pPr>
      <w:r>
        <w:rPr>
          <w:rFonts w:ascii="Arial" w:cs="Arial" w:eastAsia="Arial" w:hAnsi="Arial"/>
          <w:color w:val="555555"/>
          <w:sz w:val="22"/>
          <w:szCs w:val="22"/>
        </w:rPr>
        <w:t xml:space="preserve">We already hold recognised MOF investment from Auckland Council through Ngā Mātārae, positioning ReserveTMK as a credible, funder-endorsed vehicle for Māori outcomes. Foundation North funding would build on that foundation and extend what the hub can do.</w:t>
      </w:r>
    </w:p>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3. Focus Area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Foundation North focus area</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they fund</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ReserveTMK delivers this</w:t>
            </w:r>
          </w:p>
        </w:tc>
      </w:tr>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Increased Equity
(Hāpai te ōritetanga)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Improved equity and wellbeing for Māori. Communities leading their own solutions. Tangata whenua as partners in decision making.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 reduce barriers for Māori entrepreneurs and enterprises in Tāmaki. We are Māori-led and place rangatiratanga at the centre of how the hub operates.</w:t>
            </w:r>
          </w:p>
        </w:tc>
      </w:tr>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Community Support
(Hāpori awhina)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Communities coming together and social connection. Access to community spaces and activities. Community pride and resilience.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hub activates community connection through events, shared space and regular programming. We hold Tāmaki identity and give people somewhere that feels like theirs.</w:t>
            </w:r>
          </w:p>
        </w:tc>
      </w:tr>
      <w:tr>
        <w:tc>
          <w:tcPr>
            <w:tcW w:type="dxa" w:w="25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Te Tiriti o Waitangi
(Cross-cutting priority)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Activities that increase understanding of and give effect to Te Tiriti.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Māori-centred design, te reo visible in operations, kaupapa Māori embedded in programming. We are an expression of Tino Rangatiratanga in the Tāmaki rohe.</w:t>
            </w:r>
          </w:p>
        </w:tc>
      </w:tr>
    </w:tbl>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4. Priority Community — South Auckland Tangata Whenua</w:t>
      </w:r>
    </w:p>
    <w:p>
      <w:pPr>
        <w:spacing w:before="60" w:after="60"/>
      </w:pPr>
      <w:r>
        <w:rPr>
          <w:rFonts w:ascii="Arial" w:cs="Arial" w:eastAsia="Arial" w:hAnsi="Arial"/>
          <w:color w:val="555555"/>
          <w:sz w:val="22"/>
          <w:szCs w:val="22"/>
        </w:rPr>
        <w:t xml:space="preserve">Foundation North explicitly prioritises communities of South Auckland and tangata whenua. ReserveTMK sits at the intersection of both.</w:t>
      </w:r>
    </w:p>
    <w:p>
      <w:pPr>
        <w:spacing w:before="60" w:after="60"/>
      </w:pPr>
      <w:r>
        <w:t xml:space="preserve"/>
      </w:r>
    </w:p>
    <w:p>
      <w:pPr>
        <w:spacing w:before="60" w:after="60"/>
      </w:pPr>
      <w:r>
        <w:rPr>
          <w:rFonts w:ascii="Arial" w:cs="Arial" w:eastAsia="Arial" w:hAnsi="Arial"/>
          <w:color w:val="555555"/>
          <w:sz w:val="22"/>
          <w:szCs w:val="22"/>
        </w:rPr>
        <w:t xml:space="preserve">Glen Innes is part of the Tāmaki rohe — a place that has experienced decades of urban disruption, displacement and underinvestment in community infrastructure. The people we serve are often navigating all of that while trying to build something for themselves and their whānau.</w:t>
      </w:r>
    </w:p>
    <w:p>
      <w:pPr>
        <w:spacing w:before="60" w:after="60"/>
      </w:pPr>
      <w:r>
        <w:t xml:space="preserve"/>
      </w:r>
    </w:p>
    <w:p>
      <w:pPr>
        <w:spacing w:before="60" w:after="60"/>
      </w:pPr>
      <w:r>
        <w:rPr>
          <w:rFonts w:ascii="Arial" w:cs="Arial" w:eastAsia="Arial" w:hAnsi="Arial"/>
          <w:color w:val="555555"/>
          <w:sz w:val="22"/>
          <w:szCs w:val="22"/>
        </w:rPr>
        <w:t xml:space="preserve">ReserveTMK is one of the few spaces in this rohe that is specifically designed to support Māori entrepreneurs and enterprises. That is not accidental. It is the whole point.</w:t>
      </w:r>
    </w:p>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5. What We Deliver</w:t>
      </w:r>
    </w:p>
    <w:p>
      <w:pPr>
        <w:spacing w:before="180" w:after="60"/>
      </w:pPr>
      <w:r>
        <w:rPr>
          <w:rFonts w:ascii="Arial" w:cs="Arial" w:eastAsia="Arial" w:hAnsi="Arial"/>
          <w:b/>
          <w:bCs/>
          <w:color w:val="1B3A6B"/>
          <w:sz w:val="22"/>
          <w:szCs w:val="22"/>
        </w:rPr>
        <w:t xml:space="preserve">Core activities</w:t>
      </w:r>
    </w:p>
    <w:p>
      <w:pPr>
        <w:pStyle w:val="ListParagraph"/>
        <w:numPr>
          <w:ilvl w:val="0"/>
          <w:numId w:val="2"/>
        </w:numPr>
        <w:spacing w:before="40" w:after="40"/>
      </w:pPr>
      <w:r>
        <w:rPr>
          <w:rFonts w:ascii="Arial" w:cs="Arial" w:eastAsia="Arial" w:hAnsi="Arial"/>
          <w:color w:val="555555"/>
          <w:sz w:val="22"/>
          <w:szCs w:val="22"/>
        </w:rPr>
        <w:t xml:space="preserve">Coworking and hot desk access for Māori individuals and enterprises</w:t>
      </w:r>
    </w:p>
    <w:p>
      <w:pPr>
        <w:pStyle w:val="ListParagraph"/>
        <w:numPr>
          <w:ilvl w:val="0"/>
          <w:numId w:val="2"/>
        </w:numPr>
        <w:spacing w:before="40" w:after="40"/>
      </w:pPr>
      <w:r>
        <w:rPr>
          <w:rFonts w:ascii="Arial" w:cs="Arial" w:eastAsia="Arial" w:hAnsi="Arial"/>
          <w:color w:val="555555"/>
          <w:sz w:val="22"/>
          <w:szCs w:val="22"/>
        </w:rPr>
        <w:t xml:space="preserve">Meeting room and venue hire for community and business use</w:t>
      </w:r>
    </w:p>
    <w:p>
      <w:pPr>
        <w:pStyle w:val="ListParagraph"/>
        <w:numPr>
          <w:ilvl w:val="0"/>
          <w:numId w:val="2"/>
        </w:numPr>
        <w:spacing w:before="40" w:after="40"/>
      </w:pPr>
      <w:r>
        <w:rPr>
          <w:rFonts w:ascii="Arial" w:cs="Arial" w:eastAsia="Arial" w:hAnsi="Arial"/>
          <w:color w:val="555555"/>
          <w:sz w:val="22"/>
          <w:szCs w:val="22"/>
        </w:rPr>
        <w:t xml:space="preserve">Community activations, events and hui</w:t>
      </w:r>
    </w:p>
    <w:p>
      <w:pPr>
        <w:pStyle w:val="ListParagraph"/>
        <w:numPr>
          <w:ilvl w:val="0"/>
          <w:numId w:val="2"/>
        </w:numPr>
        <w:spacing w:before="40" w:after="40"/>
      </w:pPr>
      <w:r>
        <w:rPr>
          <w:rFonts w:ascii="Arial" w:cs="Arial" w:eastAsia="Arial" w:hAnsi="Arial"/>
          <w:color w:val="555555"/>
          <w:sz w:val="22"/>
          <w:szCs w:val="22"/>
        </w:rPr>
        <w:t xml:space="preserve">Entrepreneur and enterprise support programmes</w:t>
      </w:r>
    </w:p>
    <w:p>
      <w:pPr>
        <w:pStyle w:val="ListParagraph"/>
        <w:numPr>
          <w:ilvl w:val="0"/>
          <w:numId w:val="2"/>
        </w:numPr>
        <w:spacing w:before="40" w:after="40"/>
      </w:pPr>
      <w:r>
        <w:rPr>
          <w:rFonts w:ascii="Arial" w:cs="Arial" w:eastAsia="Arial" w:hAnsi="Arial"/>
          <w:color w:val="555555"/>
          <w:sz w:val="22"/>
          <w:szCs w:val="22"/>
        </w:rPr>
        <w:t xml:space="preserve">Partnership-led kaupapa with local and regional organisations</w:t>
      </w:r>
    </w:p>
    <w:p>
      <w:pPr>
        <w:spacing w:before="60" w:after="60"/>
      </w:pPr>
      <w:r>
        <w:t xml:space="preserve"/>
      </w:r>
    </w:p>
    <w:p>
      <w:pPr>
        <w:spacing w:before="180" w:after="60"/>
      </w:pPr>
      <w:r>
        <w:rPr>
          <w:rFonts w:ascii="Arial" w:cs="Arial" w:eastAsia="Arial" w:hAnsi="Arial"/>
          <w:b/>
          <w:bCs/>
          <w:color w:val="1B3A6B"/>
          <w:sz w:val="22"/>
          <w:szCs w:val="22"/>
        </w:rPr>
        <w:t xml:space="preserve">Who uses the hub</w:t>
      </w:r>
    </w:p>
    <w:p>
      <w:pPr>
        <w:pStyle w:val="ListParagraph"/>
        <w:numPr>
          <w:ilvl w:val="0"/>
          <w:numId w:val="2"/>
        </w:numPr>
        <w:spacing w:before="40" w:after="40"/>
      </w:pPr>
      <w:r>
        <w:rPr>
          <w:rFonts w:ascii="Arial" w:cs="Arial" w:eastAsia="Arial" w:hAnsi="Arial"/>
          <w:color w:val="555555"/>
          <w:sz w:val="22"/>
          <w:szCs w:val="22"/>
        </w:rPr>
        <w:t xml:space="preserve">Māori entrepreneurs and small business owners in the Tāmaki rohe</w:t>
      </w:r>
    </w:p>
    <w:p>
      <w:pPr>
        <w:pStyle w:val="ListParagraph"/>
        <w:numPr>
          <w:ilvl w:val="0"/>
          <w:numId w:val="2"/>
        </w:numPr>
        <w:spacing w:before="40" w:after="40"/>
      </w:pPr>
      <w:r>
        <w:rPr>
          <w:rFonts w:ascii="Arial" w:cs="Arial" w:eastAsia="Arial" w:hAnsi="Arial"/>
          <w:color w:val="555555"/>
          <w:sz w:val="22"/>
          <w:szCs w:val="22"/>
        </w:rPr>
        <w:t xml:space="preserve">Community organisations and not-for-profits operating locally</w:t>
      </w:r>
    </w:p>
    <w:p>
      <w:pPr>
        <w:pStyle w:val="ListParagraph"/>
        <w:numPr>
          <w:ilvl w:val="0"/>
          <w:numId w:val="2"/>
        </w:numPr>
        <w:spacing w:before="40" w:after="40"/>
      </w:pPr>
      <w:r>
        <w:rPr>
          <w:rFonts w:ascii="Arial" w:cs="Arial" w:eastAsia="Arial" w:hAnsi="Arial"/>
          <w:color w:val="555555"/>
          <w:sz w:val="22"/>
          <w:szCs w:val="22"/>
        </w:rPr>
        <w:t xml:space="preserve">Youth and rangatahi from Glen Innes and surrounding areas</w:t>
      </w:r>
    </w:p>
    <w:p>
      <w:pPr>
        <w:pStyle w:val="ListParagraph"/>
        <w:numPr>
          <w:ilvl w:val="0"/>
          <w:numId w:val="2"/>
        </w:numPr>
        <w:spacing w:before="40" w:after="40"/>
      </w:pPr>
      <w:r>
        <w:rPr>
          <w:rFonts w:ascii="Arial" w:cs="Arial" w:eastAsia="Arial" w:hAnsi="Arial"/>
          <w:color w:val="555555"/>
          <w:sz w:val="22"/>
          <w:szCs w:val="22"/>
        </w:rPr>
        <w:t xml:space="preserve">Mana whenua and mātaawaka connected to this place</w:t>
      </w:r>
    </w:p>
    <w:p>
      <w:pPr>
        <w:spacing w:before="60" w:after="60"/>
      </w:pPr>
      <w:r>
        <w:t xml:space="preserve"/>
      </w:r>
    </w:p>
    <w:p>
      <w:pPr>
        <w:spacing w:before="180" w:after="60"/>
      </w:pPr>
      <w:r>
        <w:rPr>
          <w:rFonts w:ascii="Arial" w:cs="Arial" w:eastAsia="Arial" w:hAnsi="Arial"/>
          <w:b/>
          <w:bCs/>
          <w:color w:val="1B3A6B"/>
          <w:sz w:val="22"/>
          <w:szCs w:val="22"/>
        </w:rPr>
        <w:t xml:space="preserve">What good looks like for us</w:t>
      </w:r>
    </w:p>
    <w:p>
      <w:pPr>
        <w:pStyle w:val="ListParagraph"/>
        <w:numPr>
          <w:ilvl w:val="0"/>
          <w:numId w:val="2"/>
        </w:numPr>
        <w:spacing w:before="40" w:after="40"/>
      </w:pPr>
      <w:r>
        <w:rPr>
          <w:rFonts w:ascii="Arial" w:cs="Arial" w:eastAsia="Arial" w:hAnsi="Arial"/>
          <w:color w:val="555555"/>
          <w:sz w:val="22"/>
          <w:szCs w:val="22"/>
        </w:rPr>
        <w:t xml:space="preserve">People coming back — not just using the space once and leaving</w:t>
      </w:r>
    </w:p>
    <w:p>
      <w:pPr>
        <w:pStyle w:val="ListParagraph"/>
        <w:numPr>
          <w:ilvl w:val="0"/>
          <w:numId w:val="2"/>
        </w:numPr>
        <w:spacing w:before="40" w:after="40"/>
      </w:pPr>
      <w:r>
        <w:rPr>
          <w:rFonts w:ascii="Arial" w:cs="Arial" w:eastAsia="Arial" w:hAnsi="Arial"/>
          <w:color w:val="555555"/>
          <w:sz w:val="22"/>
          <w:szCs w:val="22"/>
        </w:rPr>
        <w:t xml:space="preserve">Enterprises that grew or held steady because they had somewhere to work from</w:t>
      </w:r>
    </w:p>
    <w:p>
      <w:pPr>
        <w:pStyle w:val="ListParagraph"/>
        <w:numPr>
          <w:ilvl w:val="0"/>
          <w:numId w:val="2"/>
        </w:numPr>
        <w:spacing w:before="40" w:after="40"/>
      </w:pPr>
      <w:r>
        <w:rPr>
          <w:rFonts w:ascii="Arial" w:cs="Arial" w:eastAsia="Arial" w:hAnsi="Arial"/>
          <w:color w:val="555555"/>
          <w:sz w:val="22"/>
          <w:szCs w:val="22"/>
        </w:rPr>
        <w:t xml:space="preserve">Community connections that formed because people were in the same room</w:t>
      </w:r>
    </w:p>
    <w:p>
      <w:pPr>
        <w:pStyle w:val="ListParagraph"/>
        <w:numPr>
          <w:ilvl w:val="0"/>
          <w:numId w:val="2"/>
        </w:numPr>
        <w:spacing w:before="40" w:after="40"/>
      </w:pPr>
      <w:r>
        <w:rPr>
          <w:rFonts w:ascii="Arial" w:cs="Arial" w:eastAsia="Arial" w:hAnsi="Arial"/>
          <w:color w:val="555555"/>
          <w:sz w:val="22"/>
          <w:szCs w:val="22"/>
        </w:rPr>
        <w:t xml:space="preserve">A hub that feels Māori — visually, culturally, in how people are welcomed</w:t>
      </w:r>
    </w:p>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6. Reporting Framework for Foundation North</w:t>
      </w:r>
    </w:p>
    <w:p>
      <w:pPr>
        <w:spacing w:before="60" w:after="60"/>
      </w:pPr>
      <w:r>
        <w:rPr>
          <w:rFonts w:ascii="Arial" w:cs="Arial" w:eastAsia="Arial" w:hAnsi="Arial"/>
          <w:color w:val="555555"/>
          <w:sz w:val="22"/>
          <w:szCs w:val="22"/>
        </w:rPr>
        <w:t xml:space="preserve">Foundation North requires an impact report within 12 months of grant approval. The indicators below are structured to match their focus area outcomes and demonstrate real change in the community.</w:t>
      </w:r>
    </w:p>
    <w:p>
      <w:pPr>
        <w:spacing w:before="60" w:after="60"/>
      </w:pPr>
      <w:r>
        <w:t xml:space="preserve"/>
      </w:r>
    </w:p>
    <w:p>
      <w:pPr>
        <w:spacing w:before="180" w:after="60"/>
      </w:pPr>
      <w:r>
        <w:rPr>
          <w:rFonts w:ascii="Arial" w:cs="Arial" w:eastAsia="Arial" w:hAnsi="Arial"/>
          <w:b/>
          <w:bCs/>
          <w:color w:val="1B3A6B"/>
          <w:sz w:val="22"/>
          <w:szCs w:val="22"/>
        </w:rPr>
        <w:t xml:space="preserve">Increased Equity — what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Number of Māori entrepreneurs and enterprises using the 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Membership and hot desk records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Proportion of users who identify as Māori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Opt-in demographic capture at registration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Enterprises that grew or sustained during the grant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Qualitative check-ins and follow-up kōrero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User-reported change in sense of economic confidence or capability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Short survey at end of programme or quarter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Barriers reduced — cost, access, isolation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Testimonials and stories collected quarterly</w:t>
            </w:r>
          </w:p>
        </w:tc>
      </w:tr>
    </w:tbl>
    <w:p>
      <w:pPr>
        <w:spacing w:before="60" w:after="60"/>
      </w:pPr>
      <w:r>
        <w:t xml:space="preserve"/>
      </w:r>
    </w:p>
    <w:p>
      <w:pPr>
        <w:spacing w:before="180" w:after="60"/>
      </w:pPr>
      <w:r>
        <w:rPr>
          <w:rFonts w:ascii="Arial" w:cs="Arial" w:eastAsia="Arial" w:hAnsi="Arial"/>
          <w:b/>
          <w:bCs/>
          <w:color w:val="1B3A6B"/>
          <w:sz w:val="22"/>
          <w:szCs w:val="22"/>
        </w:rPr>
        <w:t xml:space="preserve">Community Support — what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Number of community events and activations hosted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Event log (monthly)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Total attendees across community activities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Headcount or sign-in sheets per event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Number of partner organisations hosted or collaborated with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Partnership tracker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User-reported sense of belonging and connection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Survey or kōrero collected each quarter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Community pride visible — Māori identity affirmed in the 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Observed and documented qualitatively</w:t>
            </w:r>
          </w:p>
        </w:tc>
      </w:tr>
    </w:tbl>
    <w:p>
      <w:pPr>
        <w:spacing w:before="60" w:after="60"/>
      </w:pPr>
      <w:r>
        <w:t xml:space="preserve"/>
      </w:r>
    </w:p>
    <w:p>
      <w:pPr>
        <w:spacing w:before="180" w:after="60"/>
      </w:pPr>
      <w:r>
        <w:rPr>
          <w:rFonts w:ascii="Arial" w:cs="Arial" w:eastAsia="Arial" w:hAnsi="Arial"/>
          <w:b/>
          <w:bCs/>
          <w:color w:val="1B3A6B"/>
          <w:sz w:val="22"/>
          <w:szCs w:val="22"/>
        </w:rPr>
        <w:t xml:space="preserve">Te Tiriti — what we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Te reo Māori visible and used in hub operations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Review of signage, communications and naming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Kaupapa Māori embedded in programming and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Programme audit — proportion of culturally grounded activity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Māori-led decision making at hub level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Governance and operational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Mana whenua engagement or endorsement of kaupapa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Documented relationship activity</w:t>
            </w:r>
          </w:p>
        </w:tc>
      </w:tr>
    </w:tbl>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7. Application Strategy</w:t>
      </w:r>
    </w:p>
    <w:p>
      <w:pPr>
        <w:spacing w:before="180" w:after="60"/>
      </w:pPr>
      <w:r>
        <w:rPr>
          <w:rFonts w:ascii="Arial" w:cs="Arial" w:eastAsia="Arial" w:hAnsi="Arial"/>
          <w:b/>
          <w:bCs/>
          <w:color w:val="1B3A6B"/>
          <w:sz w:val="22"/>
          <w:szCs w:val="22"/>
        </w:rPr>
        <w:t xml:space="preserve">Which grant type to apply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Grant type</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Quick Response Grant (up to $25,000)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specific activation, programme or equipment need. Faster turnaround — decision within 2 months.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Apply at any time. Decision within 2 months.</w:t>
            </w:r>
          </w:p>
        </w:tc>
      </w:tr>
      <w:tr>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555555"/>
                <w:sz w:val="20"/>
                <w:szCs w:val="20"/>
              </w:rPr>
              <w:t xml:space="preserve">Community Grant (over $25,000)</w:t>
            </w:r>
          </w:p>
        </w:tc>
        <w:tc>
          <w:tcPr>
            <w:tcW w:type="dxa" w:w="33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555555"/>
                <w:sz w:val="20"/>
                <w:szCs w:val="20"/>
              </w:rPr>
              <w:t xml:space="preserve">Operational funding, sustained programmes or larger scale activity over a longer period.</w:t>
            </w:r>
          </w:p>
        </w:tc>
        <w:tc>
          <w:tcPr>
            <w:tcW w:type="dxa" w:w="33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555555"/>
                <w:sz w:val="20"/>
                <w:szCs w:val="20"/>
              </w:rPr>
              <w:t xml:space="preserve">Apply at any time. Decision within 5 months. Submit at least 5 months before you need the funds.</w:t>
            </w:r>
          </w:p>
        </w:tc>
      </w:tr>
    </w:tbl>
    <w:p>
      <w:pPr>
        <w:spacing w:before="60" w:after="60"/>
      </w:pPr>
      <w:r>
        <w:t xml:space="preserve"/>
      </w:r>
    </w:p>
    <w:p>
      <w:pPr>
        <w:spacing w:before="180" w:after="60"/>
      </w:pPr>
      <w:r>
        <w:rPr>
          <w:rFonts w:ascii="Arial" w:cs="Arial" w:eastAsia="Arial" w:hAnsi="Arial"/>
          <w:b/>
          <w:bCs/>
          <w:color w:val="1B3A6B"/>
          <w:sz w:val="22"/>
          <w:szCs w:val="22"/>
        </w:rPr>
        <w:t xml:space="preserve">What the application needs to show</w:t>
      </w:r>
    </w:p>
    <w:p>
      <w:pPr>
        <w:pStyle w:val="ListParagraph"/>
        <w:numPr>
          <w:ilvl w:val="0"/>
          <w:numId w:val="2"/>
        </w:numPr>
        <w:spacing w:before="40" w:after="40"/>
      </w:pPr>
      <w:r>
        <w:rPr>
          <w:rFonts w:ascii="Arial" w:cs="Arial" w:eastAsia="Arial" w:hAnsi="Arial"/>
          <w:color w:val="555555"/>
          <w:sz w:val="22"/>
          <w:szCs w:val="22"/>
        </w:rPr>
        <w:t xml:space="preserve">Strong alignment to at least one focus area — name it clearly and specifically, not broadly</w:t>
      </w:r>
    </w:p>
    <w:p>
      <w:pPr>
        <w:pStyle w:val="ListParagraph"/>
        <w:numPr>
          <w:ilvl w:val="0"/>
          <w:numId w:val="2"/>
        </w:numPr>
        <w:spacing w:before="40" w:after="40"/>
      </w:pPr>
      <w:r>
        <w:rPr>
          <w:rFonts w:ascii="Arial" w:cs="Arial" w:eastAsia="Arial" w:hAnsi="Arial"/>
          <w:color w:val="555555"/>
          <w:sz w:val="22"/>
          <w:szCs w:val="22"/>
        </w:rPr>
        <w:t xml:space="preserve">That the work is for, by and with tangata whenua and/or South Auckland communities</w:t>
      </w:r>
    </w:p>
    <w:p>
      <w:pPr>
        <w:pStyle w:val="ListParagraph"/>
        <w:numPr>
          <w:ilvl w:val="0"/>
          <w:numId w:val="2"/>
        </w:numPr>
        <w:spacing w:before="40" w:after="40"/>
      </w:pPr>
      <w:r>
        <w:rPr>
          <w:rFonts w:ascii="Arial" w:cs="Arial" w:eastAsia="Arial" w:hAnsi="Arial"/>
          <w:color w:val="555555"/>
          <w:sz w:val="22"/>
          <w:szCs w:val="22"/>
        </w:rPr>
        <w:t xml:space="preserve">Community-led design — the hub is shaped by the people it serves, not delivered to them</w:t>
      </w:r>
    </w:p>
    <w:p>
      <w:pPr>
        <w:pStyle w:val="ListParagraph"/>
        <w:numPr>
          <w:ilvl w:val="0"/>
          <w:numId w:val="2"/>
        </w:numPr>
        <w:spacing w:before="40" w:after="40"/>
      </w:pPr>
      <w:r>
        <w:rPr>
          <w:rFonts w:ascii="Arial" w:cs="Arial" w:eastAsia="Arial" w:hAnsi="Arial"/>
          <w:color w:val="555555"/>
          <w:sz w:val="22"/>
          <w:szCs w:val="22"/>
        </w:rPr>
        <w:t xml:space="preserve">Evidence of existing relationships and co-investment (Ngā Mātārae MOF, Tātaki Auckland Unlimited)</w:t>
      </w:r>
    </w:p>
    <w:p>
      <w:pPr>
        <w:pStyle w:val="ListParagraph"/>
        <w:numPr>
          <w:ilvl w:val="0"/>
          <w:numId w:val="2"/>
        </w:numPr>
        <w:spacing w:before="40" w:after="40"/>
      </w:pPr>
      <w:r>
        <w:rPr>
          <w:rFonts w:ascii="Arial" w:cs="Arial" w:eastAsia="Arial" w:hAnsi="Arial"/>
          <w:color w:val="555555"/>
          <w:sz w:val="22"/>
          <w:szCs w:val="22"/>
        </w:rPr>
        <w:t xml:space="preserve">Realistic budget with a clear breakdown of what the funding pays for</w:t>
      </w:r>
    </w:p>
    <w:p>
      <w:pPr>
        <w:pStyle w:val="ListParagraph"/>
        <w:numPr>
          <w:ilvl w:val="0"/>
          <w:numId w:val="2"/>
        </w:numPr>
        <w:spacing w:before="40" w:after="40"/>
      </w:pPr>
      <w:r>
        <w:rPr>
          <w:rFonts w:ascii="Arial" w:cs="Arial" w:eastAsia="Arial" w:hAnsi="Arial"/>
          <w:color w:val="555555"/>
          <w:sz w:val="22"/>
          <w:szCs w:val="22"/>
        </w:rPr>
        <w:t xml:space="preserve">Annual accounts and one letter of support — required documents</w:t>
      </w:r>
    </w:p>
    <w:p>
      <w:pPr>
        <w:pStyle w:val="ListParagraph"/>
        <w:numPr>
          <w:ilvl w:val="0"/>
          <w:numId w:val="2"/>
        </w:numPr>
        <w:spacing w:before="40" w:after="40"/>
      </w:pPr>
      <w:r>
        <w:rPr>
          <w:rFonts w:ascii="Arial" w:cs="Arial" w:eastAsia="Arial" w:hAnsi="Arial"/>
          <w:color w:val="555555"/>
          <w:sz w:val="22"/>
          <w:szCs w:val="22"/>
        </w:rPr>
        <w:t xml:space="preserve">Charitable purpose — confirm registration status before applying</w:t>
      </w:r>
    </w:p>
    <w:p>
      <w:pPr>
        <w:spacing w:before="60" w:after="60"/>
      </w:pPr>
      <w:r>
        <w:t xml:space="preserve"/>
      </w:r>
    </w:p>
    <w:p>
      <w:pPr>
        <w:spacing w:before="180" w:after="60"/>
      </w:pPr>
      <w:r>
        <w:rPr>
          <w:rFonts w:ascii="Arial" w:cs="Arial" w:eastAsia="Arial" w:hAnsi="Arial"/>
          <w:b/>
          <w:bCs/>
          <w:color w:val="1B3A6B"/>
          <w:sz w:val="22"/>
          <w:szCs w:val="22"/>
        </w:rPr>
        <w:t xml:space="preserve">What to avoid</w:t>
      </w:r>
    </w:p>
    <w:p>
      <w:pPr>
        <w:pStyle w:val="ListParagraph"/>
        <w:numPr>
          <w:ilvl w:val="0"/>
          <w:numId w:val="2"/>
        </w:numPr>
        <w:spacing w:before="40" w:after="40"/>
      </w:pPr>
      <w:r>
        <w:rPr>
          <w:rFonts w:ascii="Arial" w:cs="Arial" w:eastAsia="Arial" w:hAnsi="Arial"/>
          <w:color w:val="555555"/>
          <w:sz w:val="22"/>
          <w:szCs w:val="22"/>
        </w:rPr>
        <w:t xml:space="preserve">Vague claims about serving community — be specific about who, where and how many</w:t>
      </w:r>
    </w:p>
    <w:p>
      <w:pPr>
        <w:pStyle w:val="ListParagraph"/>
        <w:numPr>
          <w:ilvl w:val="0"/>
          <w:numId w:val="2"/>
        </w:numPr>
        <w:spacing w:before="40" w:after="40"/>
      </w:pPr>
      <w:r>
        <w:rPr>
          <w:rFonts w:ascii="Arial" w:cs="Arial" w:eastAsia="Arial" w:hAnsi="Arial"/>
          <w:color w:val="555555"/>
          <w:sz w:val="22"/>
          <w:szCs w:val="22"/>
        </w:rPr>
        <w:t xml:space="preserve">Applying within 10 months of a previous Foundation North grant approval</w:t>
      </w:r>
    </w:p>
    <w:p>
      <w:pPr>
        <w:pStyle w:val="ListParagraph"/>
        <w:numPr>
          <w:ilvl w:val="0"/>
          <w:numId w:val="2"/>
        </w:numPr>
        <w:spacing w:before="40" w:after="40"/>
      </w:pPr>
      <w:r>
        <w:rPr>
          <w:rFonts w:ascii="Arial" w:cs="Arial" w:eastAsia="Arial" w:hAnsi="Arial"/>
          <w:color w:val="555555"/>
          <w:sz w:val="22"/>
          <w:szCs w:val="22"/>
        </w:rPr>
        <w:t xml:space="preserve">Retrospective funding — apply before activity happens, ideally 5+ months ahead</w:t>
      </w:r>
    </w:p>
    <w:p>
      <w:pPr>
        <w:pStyle w:val="ListParagraph"/>
        <w:numPr>
          <w:ilvl w:val="0"/>
          <w:numId w:val="2"/>
        </w:numPr>
        <w:spacing w:before="40" w:after="40"/>
      </w:pPr>
      <w:r>
        <w:rPr>
          <w:rFonts w:ascii="Arial" w:cs="Arial" w:eastAsia="Arial" w:hAnsi="Arial"/>
          <w:color w:val="555555"/>
          <w:sz w:val="22"/>
          <w:szCs w:val="22"/>
        </w:rPr>
        <w:t xml:space="preserve">Over-relying on outputs (number of events) without linking to outcomes (what changed for people)</w:t>
      </w:r>
    </w:p>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8. How to Talk About ReserveTMK to Foundation North</w:t>
      </w:r>
    </w:p>
    <w:p>
      <w:pPr>
        <w:spacing w:before="60" w:after="60"/>
      </w:pPr>
      <w:r>
        <w:rPr>
          <w:rFonts w:ascii="Arial" w:cs="Arial" w:eastAsia="Arial" w:hAnsi="Arial"/>
          <w:color w:val="555555"/>
          <w:sz w:val="22"/>
          <w:szCs w:val="22"/>
        </w:rPr>
        <w:t xml:space="preserve">Foundation North looks for organisations that understand community-led change and can articulate outcomes — not just activities. These are the frames that land:</w:t>
      </w:r>
    </w:p>
    <w:p>
      <w:pPr>
        <w:spacing w:before="60" w:after="60"/>
      </w:pPr>
      <w:r>
        <w:t xml:space="preserve"/>
      </w:r>
    </w:p>
    <w:p>
      <w:pPr>
        <w:pStyle w:val="ListParagraph"/>
        <w:numPr>
          <w:ilvl w:val="0"/>
          <w:numId w:val="2"/>
        </w:numPr>
        <w:spacing w:before="40" w:after="40"/>
      </w:pPr>
      <w:r>
        <w:rPr>
          <w:rFonts w:ascii="Arial" w:cs="Arial" w:eastAsia="Arial" w:hAnsi="Arial"/>
          <w:color w:val="555555"/>
          <w:sz w:val="22"/>
          <w:szCs w:val="22"/>
        </w:rPr>
        <w:t xml:space="preserve">ReserveTMK reduces barriers for Māori entrepreneurs in South Auckland — cost, isolation, access to networks.</w:t>
      </w:r>
    </w:p>
    <w:p>
      <w:pPr>
        <w:pStyle w:val="ListParagraph"/>
        <w:numPr>
          <w:ilvl w:val="0"/>
          <w:numId w:val="2"/>
        </w:numPr>
        <w:spacing w:before="40" w:after="40"/>
      </w:pPr>
      <w:r>
        <w:rPr>
          <w:rFonts w:ascii="Arial" w:cs="Arial" w:eastAsia="Arial" w:hAnsi="Arial"/>
          <w:color w:val="555555"/>
          <w:sz w:val="22"/>
          <w:szCs w:val="22"/>
        </w:rPr>
        <w:t xml:space="preserve">We are community infrastructure, not a programme delivered to passive recipients. People who use this space are active agents in their own futures.</w:t>
      </w:r>
    </w:p>
    <w:p>
      <w:pPr>
        <w:pStyle w:val="ListParagraph"/>
        <w:numPr>
          <w:ilvl w:val="0"/>
          <w:numId w:val="2"/>
        </w:numPr>
        <w:spacing w:before="40" w:after="40"/>
      </w:pPr>
      <w:r>
        <w:rPr>
          <w:rFonts w:ascii="Arial" w:cs="Arial" w:eastAsia="Arial" w:hAnsi="Arial"/>
          <w:color w:val="555555"/>
          <w:sz w:val="22"/>
          <w:szCs w:val="22"/>
        </w:rPr>
        <w:t xml:space="preserve">Tāmaki is a community that has been disrupted over generations. ReserveTMK is one of the few spaces in the rohe that belongs to it and reflects it.</w:t>
      </w:r>
    </w:p>
    <w:p>
      <w:pPr>
        <w:pStyle w:val="ListParagraph"/>
        <w:numPr>
          <w:ilvl w:val="0"/>
          <w:numId w:val="2"/>
        </w:numPr>
        <w:spacing w:before="40" w:after="40"/>
      </w:pPr>
      <w:r>
        <w:rPr>
          <w:rFonts w:ascii="Arial" w:cs="Arial" w:eastAsia="Arial" w:hAnsi="Arial"/>
          <w:color w:val="555555"/>
          <w:sz w:val="22"/>
          <w:szCs w:val="22"/>
        </w:rPr>
        <w:t xml:space="preserve">We already hold MOF investment from Auckland Council — we are a proven and endorsed vehicle for Māori outcomes in this area.</w:t>
      </w:r>
    </w:p>
    <w:p>
      <w:pPr>
        <w:pStyle w:val="ListParagraph"/>
        <w:numPr>
          <w:ilvl w:val="0"/>
          <w:numId w:val="2"/>
        </w:numPr>
        <w:spacing w:before="40" w:after="40"/>
      </w:pPr>
      <w:r>
        <w:rPr>
          <w:rFonts w:ascii="Arial" w:cs="Arial" w:eastAsia="Arial" w:hAnsi="Arial"/>
          <w:color w:val="555555"/>
          <w:sz w:val="22"/>
          <w:szCs w:val="22"/>
        </w:rPr>
        <w:t xml:space="preserve">Our work gives effect to Te Tiriti not as a checklist but as a way of operating — Māori-led, culturally grounded, built on relationships.</w:t>
      </w:r>
    </w:p>
    <w:p>
      <w:pPr>
        <w:spacing w:before="60" w:after="60"/>
      </w:pPr>
      <w:r>
        <w:t xml:space="preserve"/>
      </w:r>
    </w:p>
    <w:p>
      <w:pPr>
        <w:pStyle w:val="Heading1"/>
        <w:pBdr>
          <w:bottom w:val="single" w:color="C89A2E" w:sz="8" w:space="4"/>
        </w:pBdr>
        <w:spacing w:before="360" w:after="120"/>
      </w:pPr>
      <w:r>
        <w:rPr>
          <w:rFonts w:ascii="Arial" w:cs="Arial" w:eastAsia="Arial" w:hAnsi="Arial"/>
          <w:b/>
          <w:bCs/>
          <w:color w:val="1B3A6B"/>
          <w:sz w:val="28"/>
          <w:szCs w:val="28"/>
        </w:rPr>
        <w:t xml:space="preserve">9. Key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 / Action needed</w:t>
            </w:r>
          </w:p>
        </w:tc>
      </w:tr>
      <w:tr>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Strong fit with at least one focus area (Increased Equity / Community Support)</w:t>
            </w:r>
          </w:p>
        </w:tc>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Confirmed</w:t>
            </w:r>
          </w:p>
        </w:tc>
      </w:tr>
      <w:tr>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Work benefits Auckland communities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Confirmed — Glen Innes, South Auckland</w:t>
            </w:r>
          </w:p>
        </w:tc>
      </w:tr>
      <w:tr>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Organisation has charitable purpose</w:t>
            </w:r>
          </w:p>
        </w:tc>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Confirm registration status</w:t>
            </w:r>
          </w:p>
        </w:tc>
      </w:tr>
      <w:tr>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Recent signed annual accounts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Prepare for submission</w:t>
            </w:r>
          </w:p>
        </w:tc>
      </w:tr>
      <w:tr>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Detailed budget</w:t>
            </w:r>
          </w:p>
        </w:tc>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Prepare specific to project/programme</w:t>
            </w:r>
          </w:p>
        </w:tc>
      </w:tr>
      <w:tr>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One letter of support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Organise — recommend from a mana whenua or community partner</w:t>
            </w:r>
          </w:p>
        </w:tc>
      </w:tr>
      <w:tr>
        <w:tc>
          <w:tcPr>
            <w:tcW w:type="dxa" w:w="6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No application within 10 months of last Foundation North grant</w:t>
            </w:r>
          </w:p>
        </w:tc>
        <w:tc>
          <w:tcPr>
            <w:tcW w:type="dxa" w:w="2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3A6B"/>
                <w:sz w:val="20"/>
                <w:szCs w:val="20"/>
              </w:rPr>
              <w:t xml:space="preserve">Check records</w:t>
            </w:r>
          </w:p>
        </w:tc>
      </w:tr>
      <w:tr>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Applying before activity begins (not retrospective)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55555"/>
                <w:sz w:val="20"/>
                <w:szCs w:val="20"/>
              </w:rPr>
              <w:t xml:space="preserve">Plan application 5+ months ahead</w:t>
            </w:r>
          </w:p>
        </w:tc>
      </w:tr>
    </w:tbl>
    <w:p>
      <w:pPr>
        <w:spacing w:before="60" w:after="60"/>
      </w:pPr>
      <w:r>
        <w:t xml:space="preserve"/>
      </w:r>
    </w:p>
    <w:p>
      <w:pPr>
        <w:pBdr>
          <w:top w:val="single" w:color="C89A2E" w:sz="6" w:space="4"/>
        </w:pBdr>
        <w:spacing w:before="360" w:after="60"/>
      </w:pPr>
      <w:r>
        <w:rPr>
          <w:rFonts w:ascii="Arial" w:cs="Arial" w:eastAsia="Arial" w:hAnsi="Arial"/>
          <w:i/>
          <w:iCs/>
          <w:color w:val="555555"/>
          <w:sz w:val="18"/>
          <w:szCs w:val="18"/>
        </w:rPr>
        <w:t xml:space="preserve">ReserveTMK  |  Glen Innes, Tāmaki Makaurau  |  Foundation North Funder Profile  |  foundationnorth.org.nz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2026-03-16T06:56:00.324Z</dcterms:created>
  <dcterms:modified xsi:type="dcterms:W3CDTF">2026-03-16T06:56:00.353Z</dcterms:modified>
</cp:coreProperties>
</file>

<file path=docProps/custom.xml><?xml version="1.0" encoding="utf-8"?>
<Properties xmlns="http://schemas.openxmlformats.org/officeDocument/2006/custom-properties" xmlns:vt="http://schemas.openxmlformats.org/officeDocument/2006/docPropsVTypes"/>
</file>