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Final do Trabalho - RSV360</w:t>
      </w:r>
    </w:p>
    <w:p>
      <w:r>
        <w:t>Este documento consolida as acoes, motivos e efeitos depois da analise e do planejamento do projeto.</w:t>
      </w:r>
    </w:p>
    <w:p>
      <w:r>
        <w:t>Resumo final do trabalho no projeto RSV360</w:t>
      </w:r>
    </w:p>
    <w:p>
      <w:r>
        <w:t>1. Entendimento e documentacao inicial para mapear funcionalidades e arquitetura.</w:t>
        <w:br/>
        <w:t>2. Ajustes no stack de dev: corrigimos workspaces, liberamos portas, configuramos banco e rodamos npm run dev com backend + frontends (incluindo guest/admin).</w:t>
        <w:br/>
        <w:t>3. Atualizamos scripts de configuracao do PostgreSQL para detectar paths automaticamente e garantir migracoes criticas.</w:t>
        <w:br/>
        <w:t>4. Criamos workspaces guest/admin basicos, ajustamos package.json e instalamos dependencias, abrindo portas 3001/3002.</w:t>
        <w:br/>
        <w:t>5. Planejamento completo em docs (planos, issues, wireframes, README) e templates GitHub para garantir cadencia.</w:t>
        <w:br/>
        <w:t>6. Documentamos uso do board Focalboard e geramos artefatos (PDF/DOCX/CSV) contendo o plano e o guia dos cards.</w:t>
        <w:br/>
        <w:t>7. Proximos passos: usar os templates, rodar npm run dev/test e seguir o plano para evoluir guest/admin.</w:t>
      </w:r>
    </w:p>
    <w:p>
      <w:r>
        <w:t>Efeitos principais:</w:t>
        <w:br/>
        <w:t>- Stack sobe completo e replicavel em dev.</w:t>
        <w:br/>
        <w:t>- Banco configurado e migrations aplicadas via scripts atualizados.</w:t>
        <w:br/>
        <w:t>- Documentacao, issues, board e templates padronizados.</w:t>
        <w:br/>
        <w:t>- Artefatos prontos (PDF, DOCX, CSV) orientam o time.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