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C698C" w:rsidRDefault="00BC698C">
      <w:pPr>
        <w:jc w:val="both"/>
        <w:rPr>
          <w:rFonts w:ascii="Times New Roman" w:hAnsi="Times New Roman" w:cs="Times New Roman"/>
          <w:b/>
          <w:bCs/>
          <w:i/>
          <w:iCs/>
          <w:sz w:val="28"/>
          <w:szCs w:val="28"/>
        </w:rPr>
      </w:pPr>
      <w:bookmarkStart w:id="0" w:name="_GoBack"/>
      <w:bookmarkEnd w:id="0"/>
      <w:r>
        <w:rPr>
          <w:rFonts w:ascii="Times New Roman" w:hAnsi="Times New Roman" w:cs="Times New Roman"/>
          <w:b/>
          <w:bCs/>
          <w:i/>
          <w:iCs/>
          <w:sz w:val="28"/>
          <w:szCs w:val="28"/>
        </w:rPr>
        <w:t>Задание 3.1</w:t>
      </w:r>
    </w:p>
    <w:p w:rsidR="00BC698C" w:rsidRDefault="00BC698C">
      <w:pPr>
        <w:jc w:val="both"/>
        <w:rPr>
          <w:rFonts w:ascii="Times New Roman" w:hAnsi="Times New Roman" w:cs="Times New Roman"/>
          <w:b/>
          <w:bCs/>
          <w:i/>
          <w:iCs/>
          <w:sz w:val="28"/>
          <w:szCs w:val="28"/>
        </w:rPr>
      </w:pPr>
      <w:r>
        <w:rPr>
          <w:rFonts w:ascii="Times New Roman" w:hAnsi="Times New Roman" w:cs="Times New Roman"/>
          <w:b/>
          <w:bCs/>
          <w:i/>
          <w:iCs/>
          <w:sz w:val="28"/>
          <w:szCs w:val="28"/>
        </w:rPr>
        <w:t>Провести сравнительный анализ особенностей профессиональной деятельности педагога в условиях индустриальной и развивающейся цифровой экономики. Результаты представить в таблице</w:t>
      </w:r>
    </w:p>
    <w:p w:rsidR="00BC698C" w:rsidRDefault="00BC698C">
      <w:pPr>
        <w:pStyle w:val="normal0"/>
        <w:rPr>
          <w:rFonts w:ascii="Times New Roman" w:hAnsi="Times New Roman" w:cs="Times New Roman"/>
          <w:lang w:val="ru-RU"/>
        </w:rPr>
      </w:pPr>
    </w:p>
    <w:p w:rsidR="00BC698C" w:rsidRDefault="00BC698C">
      <w:pPr>
        <w:pStyle w:val="normal0"/>
        <w:rPr>
          <w:rFonts w:ascii="Times New Roman" w:hAnsi="Times New Roman" w:cs="Times New Roman"/>
          <w:lang w:val="ru-RU"/>
        </w:rPr>
      </w:pPr>
    </w:p>
    <w:tbl>
      <w:tblPr>
        <w:tblW w:w="9040" w:type="dxa"/>
        <w:tblInd w:w="-98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  <w:tblLook w:val="0000"/>
      </w:tblPr>
      <w:tblGrid>
        <w:gridCol w:w="3295"/>
        <w:gridCol w:w="5670"/>
      </w:tblGrid>
      <w:tr w:rsidR="00BC698C">
        <w:tc>
          <w:tcPr>
            <w:tcW w:w="3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Особенность</w:t>
            </w:r>
          </w:p>
        </w:tc>
        <w:tc>
          <w:tcPr>
            <w:tcW w:w="56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Пример/назначение</w:t>
            </w:r>
          </w:p>
        </w:tc>
      </w:tr>
      <w:tr w:rsidR="00BC698C">
        <w:tblPrEx>
          <w:tblCellSpacing w:w="-10" w:type="nil"/>
        </w:tblPrEx>
        <w:trPr>
          <w:tblCellSpacing w:w="-10" w:type="nil"/>
        </w:trPr>
        <w:tc>
          <w:tcPr>
            <w:tcW w:w="3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Внедрение электронных журналов и дневников</w:t>
            </w:r>
          </w:p>
        </w:tc>
        <w:tc>
          <w:tcPr>
            <w:tcW w:w="56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Получение актуальной информации об успеваемости</w:t>
            </w:r>
          </w:p>
        </w:tc>
      </w:tr>
      <w:tr w:rsidR="00BC698C">
        <w:tblPrEx>
          <w:tblCellSpacing w:w="-10" w:type="nil"/>
        </w:tblPrEx>
        <w:trPr>
          <w:tblCellSpacing w:w="-10" w:type="nil"/>
        </w:trPr>
        <w:tc>
          <w:tcPr>
            <w:tcW w:w="3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Использование технологий дополненной реальности</w:t>
            </w:r>
          </w:p>
        </w:tc>
        <w:tc>
          <w:tcPr>
            <w:tcW w:w="56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Переход с традиционных методик на более интерактивные:  бумажные учебники и пособия сменяются электронными книгами, доски для мела и маркера заменяются дисплеями и планшетами.</w:t>
            </w:r>
          </w:p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Технология дополненной реальности позволяет максимально визуализировать учебный материал тем самым повышая мотивацию учащихся к процессу обучения. </w:t>
            </w:r>
          </w:p>
        </w:tc>
      </w:tr>
      <w:tr w:rsidR="00BC698C">
        <w:tblPrEx>
          <w:tblCellSpacing w:w="-10" w:type="nil"/>
        </w:tblPrEx>
        <w:trPr>
          <w:tblCellSpacing w:w="-10" w:type="nil"/>
        </w:trPr>
        <w:tc>
          <w:tcPr>
            <w:tcW w:w="3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Внедрение облачных технологий</w:t>
            </w:r>
          </w:p>
        </w:tc>
        <w:tc>
          <w:tcPr>
            <w:tcW w:w="56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Создание  коллективных информационных ресурсов и коллективного доступа к ним для решения многочисленных задач.</w:t>
            </w:r>
          </w:p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Облачные технологии позволяют учащимся просматривать теоретический и вспомогательный материал с любого места и устройства, поэтому на учебном занятии освобождается время для отработки практических умений и углубления знаний по учебному предмету.</w:t>
            </w:r>
          </w:p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Главным дидактическим преимуществом использования облачных технологий в образовательном процессе является организация совместной работы педагогов и учащихся, что открывает новые перспективы, которые будут способствовать повышению эффективности учебного процесса и, следовательно, лучшему достижению цели, поскольку эти технологии являются высокотехнологичными, актуальными и перспективными. </w:t>
            </w:r>
          </w:p>
        </w:tc>
      </w:tr>
      <w:tr w:rsidR="00BC698C">
        <w:tblPrEx>
          <w:tblCellSpacing w:w="-10" w:type="nil"/>
        </w:tblPrEx>
        <w:trPr>
          <w:tblCellSpacing w:w="-10" w:type="nil"/>
        </w:trPr>
        <w:tc>
          <w:tcPr>
            <w:tcW w:w="3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Использование математического компьютерного моделирования</w:t>
            </w:r>
          </w:p>
        </w:tc>
        <w:tc>
          <w:tcPr>
            <w:tcW w:w="56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Изучение на основе математических моделей особенностей протекания различных процессов в физике, химии, биологии, экологии, медицине, истории, социальной жизни и формирование у обучающихся представления об общности подхода к описанию периодических процессов, протекающих в системах любой природы</w:t>
            </w:r>
          </w:p>
        </w:tc>
      </w:tr>
      <w:tr w:rsidR="00BC698C">
        <w:tblPrEx>
          <w:tblCellSpacing w:w="-10" w:type="nil"/>
        </w:tblPrEx>
        <w:trPr>
          <w:tblCellSpacing w:w="-10" w:type="nil"/>
        </w:trPr>
        <w:tc>
          <w:tcPr>
            <w:tcW w:w="3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Применение технологии образовательной робототехники в процессе обучения</w:t>
            </w:r>
          </w:p>
        </w:tc>
        <w:tc>
          <w:tcPr>
            <w:tcW w:w="56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Применение роботизированных устройств в образовательном процессе с опорой на такие учебные предметы, как «Информатика», «Математика», «Физика» и другие, способствует вовлечению обучающихся в процесс творческой, проектной и учебно-исследовательской деятельности.</w:t>
            </w:r>
          </w:p>
        </w:tc>
      </w:tr>
      <w:tr w:rsidR="00BC698C">
        <w:tblPrEx>
          <w:tblCellSpacing w:w="-10" w:type="nil"/>
        </w:tblPrEx>
        <w:trPr>
          <w:tblCellSpacing w:w="-10" w:type="nil"/>
        </w:trPr>
        <w:tc>
          <w:tcPr>
            <w:tcW w:w="3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Геймификация учебного процесса</w:t>
            </w:r>
          </w:p>
        </w:tc>
        <w:tc>
          <w:tcPr>
            <w:tcW w:w="56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Возможность организовать интерактивное взаимодействие с учеников, оценить уровень приобретенных знаний и умений.</w:t>
            </w:r>
          </w:p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Геймификация является одной из эффективных формой организации обучения, позволяющая ученикам учиться с интересом, не замечая процесса обучения.</w:t>
            </w:r>
          </w:p>
        </w:tc>
      </w:tr>
      <w:tr w:rsidR="00BC698C">
        <w:tblPrEx>
          <w:tblCellSpacing w:w="-10" w:type="nil"/>
        </w:tblPrEx>
        <w:trPr>
          <w:tblCellSpacing w:w="-10" w:type="nil"/>
        </w:trPr>
        <w:tc>
          <w:tcPr>
            <w:tcW w:w="33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Внедрение электронных учебно-методических комплексов</w:t>
            </w:r>
          </w:p>
        </w:tc>
        <w:tc>
          <w:tcPr>
            <w:tcW w:w="567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Возможность проектировать и наполнять информационными ресурсами учебную среду, руководить деятельностью ученика, выполнять мониторинг его учебной деятельности в процессе самостоятельной работы, формировать и развивать умения и навыки самообразования и самосовершенствования. </w:t>
            </w:r>
          </w:p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Использование электронных учебно-методических комплексов упрощает передачу информации, значительно расширяет иллюстративный материал, помогает конструировать проблемные ситуации и инициировать поисковую деятельность обучающихся, формирует мотивацию к обучению</w:t>
            </w:r>
          </w:p>
        </w:tc>
      </w:tr>
    </w:tbl>
    <w:p w:rsidR="00BC698C" w:rsidRDefault="00BC698C">
      <w:pPr>
        <w:pStyle w:val="Subtitle"/>
      </w:pPr>
      <w:bookmarkStart w:id="1" w:name="_alfo1m6gc6br"/>
      <w:bookmarkEnd w:id="1"/>
    </w:p>
    <w:p w:rsidR="00BC698C" w:rsidRDefault="00BC698C">
      <w:pPr>
        <w:pStyle w:val="Subtitle"/>
      </w:pPr>
      <w:r>
        <w:t>Дополнительно</w:t>
      </w:r>
    </w:p>
    <w:p w:rsidR="00BC698C" w:rsidRDefault="00BC698C">
      <w:pPr>
        <w:pStyle w:val="normal0"/>
        <w:rPr>
          <w:rFonts w:ascii="Times New Roman" w:hAnsi="Times New Roman" w:cs="Times New Roman"/>
          <w:lang w:val="ru-RU"/>
        </w:rPr>
      </w:pPr>
    </w:p>
    <w:tbl>
      <w:tblPr>
        <w:tblW w:w="9069" w:type="dxa"/>
        <w:tblInd w:w="-98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  <w:tblLook w:val="0000"/>
      </w:tblPr>
      <w:tblGrid>
        <w:gridCol w:w="4495"/>
        <w:gridCol w:w="4500"/>
      </w:tblGrid>
      <w:tr w:rsidR="00BC698C">
        <w:tc>
          <w:tcPr>
            <w:tcW w:w="45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Взаимодействие с экспертами IT-отрасли</w:t>
            </w:r>
          </w:p>
        </w:tc>
        <w:tc>
          <w:tcPr>
            <w:tcW w:w="45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Совместная программа Высшей школы экономики и «Школы анализа данных» компании «Яндекс». </w:t>
            </w:r>
          </w:p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Преподаватели кафедры совмещают научную работу с преподаванием в «Школе анализа данных» и работой в «Яндексе», что позволяет им заниматься актуальными задачами и применять на практике свои научные достижения. </w:t>
            </w:r>
          </w:p>
        </w:tc>
      </w:tr>
      <w:tr w:rsidR="00BC698C">
        <w:tblPrEx>
          <w:tblCellSpacing w:w="-10" w:type="nil"/>
        </w:tblPrEx>
        <w:trPr>
          <w:trHeight w:val="90"/>
          <w:tblCellSpacing w:w="-10" w:type="nil"/>
        </w:trPr>
        <w:tc>
          <w:tcPr>
            <w:tcW w:w="45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Изменение «производительности» учеников</w:t>
            </w:r>
          </w:p>
        </w:tc>
        <w:tc>
          <w:tcPr>
            <w:tcW w:w="450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BC698C" w:rsidRDefault="00BC698C">
            <w:pPr>
              <w:pStyle w:val="normal0"/>
              <w:widowControl w:val="0"/>
              <w:spacing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Сокращение времени обучения и увеличение количества завершивших обучение</w:t>
            </w:r>
          </w:p>
        </w:tc>
      </w:tr>
    </w:tbl>
    <w:p w:rsidR="00BC698C" w:rsidRDefault="00BC698C">
      <w:pPr>
        <w:pStyle w:val="normal0"/>
        <w:rPr>
          <w:rFonts w:ascii="Times New Roman" w:hAnsi="Times New Roman" w:cs="Times New Roman"/>
          <w:lang w:val="ru-RU"/>
        </w:rPr>
      </w:pPr>
    </w:p>
    <w:sectPr w:rsidR="00BC698C" w:rsidSect="00BC698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C698C" w:rsidRDefault="00BC698C" w:rsidP="00BC698C">
      <w:pPr>
        <w:spacing w:line="240" w:lineRule="auto"/>
      </w:pPr>
      <w:r>
        <w:separator/>
      </w:r>
    </w:p>
  </w:endnote>
  <w:endnote w:type="continuationSeparator" w:id="0">
    <w:p w:rsidR="00BC698C" w:rsidRDefault="00BC698C" w:rsidP="00BC698C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698C" w:rsidRDefault="00BC698C">
    <w:pPr>
      <w:widowControl w:val="0"/>
      <w:spacing w:line="240" w:lineRule="auto"/>
      <w:rPr>
        <w:sz w:val="24"/>
        <w:szCs w:val="24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698C" w:rsidRDefault="00BC698C">
    <w:pPr>
      <w:widowControl w:val="0"/>
      <w:spacing w:line="240" w:lineRule="auto"/>
      <w:rPr>
        <w:sz w:val="24"/>
        <w:szCs w:val="24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698C" w:rsidRDefault="00BC698C">
    <w:pPr>
      <w:widowControl w:val="0"/>
      <w:spacing w:line="240" w:lineRule="auto"/>
      <w:rPr>
        <w:sz w:val="24"/>
        <w:szCs w:val="24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C698C" w:rsidRDefault="00BC698C" w:rsidP="00BC698C">
      <w:pPr>
        <w:spacing w:line="240" w:lineRule="auto"/>
      </w:pPr>
      <w:r>
        <w:separator/>
      </w:r>
    </w:p>
  </w:footnote>
  <w:footnote w:type="continuationSeparator" w:id="0">
    <w:p w:rsidR="00BC698C" w:rsidRDefault="00BC698C" w:rsidP="00BC698C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698C" w:rsidRDefault="00BC698C">
    <w:pPr>
      <w:widowControl w:val="0"/>
      <w:spacing w:line="240" w:lineRule="auto"/>
      <w:rPr>
        <w:sz w:val="24"/>
        <w:szCs w:val="24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698C" w:rsidRDefault="00BC698C">
    <w:pPr>
      <w:widowControl w:val="0"/>
      <w:spacing w:line="240" w:lineRule="auto"/>
      <w:rPr>
        <w:sz w:val="24"/>
        <w:szCs w:val="24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C698C" w:rsidRDefault="00BC698C">
    <w:pPr>
      <w:widowControl w:val="0"/>
      <w:spacing w:line="240" w:lineRule="auto"/>
      <w:rPr>
        <w:sz w:val="24"/>
        <w:szCs w:val="24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pos w:val="sectEnd"/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C698C"/>
    <w:rsid w:val="00BC698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autoSpaceDE w:val="0"/>
      <w:autoSpaceDN w:val="0"/>
      <w:adjustRightInd w:val="0"/>
      <w:spacing w:line="276" w:lineRule="auto"/>
    </w:pPr>
    <w:rPr>
      <w:rFonts w:ascii="Arial" w:hAnsi="Arial" w:cs="Arial"/>
      <w:lang/>
    </w:rPr>
  </w:style>
  <w:style w:type="paragraph" w:styleId="Heading1">
    <w:name w:val="heading 1"/>
    <w:basedOn w:val="normal0"/>
    <w:next w:val="normal0"/>
    <w:link w:val="Heading1Char1"/>
    <w:uiPriority w:val="9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0"/>
    <w:next w:val="normal0"/>
    <w:link w:val="Heading2Char1"/>
    <w:uiPriority w:val="99"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0"/>
    <w:next w:val="normal0"/>
    <w:link w:val="Heading3Char1"/>
    <w:uiPriority w:val="99"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0"/>
    <w:next w:val="normal0"/>
    <w:link w:val="Heading4Char1"/>
    <w:uiPriority w:val="99"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0"/>
    <w:next w:val="normal0"/>
    <w:link w:val="Heading5Char1"/>
    <w:uiPriority w:val="99"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0"/>
    <w:next w:val="normal0"/>
    <w:link w:val="Heading6Char1"/>
    <w:uiPriority w:val="99"/>
    <w:qFormat/>
    <w:pPr>
      <w:keepNext/>
      <w:keepLines/>
      <w:spacing w:before="240" w:after="80"/>
      <w:outlineLvl w:val="5"/>
    </w:pPr>
    <w:rPr>
      <w:i/>
      <w:iCs/>
      <w:color w:val="666666"/>
    </w:rPr>
  </w:style>
  <w:style w:type="character" w:default="1" w:styleId="DefaultParagraphFont">
    <w:name w:val="Default Paragraph Font"/>
    <w:uiPriority w:val="99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C698C"/>
    <w:rPr>
      <w:rFonts w:asciiTheme="majorHAnsi" w:eastAsiaTheme="majorEastAsia" w:hAnsiTheme="majorHAnsi" w:cstheme="majorBidi"/>
      <w:b/>
      <w:bCs/>
      <w:kern w:val="32"/>
      <w:sz w:val="32"/>
      <w:szCs w:val="32"/>
      <w:lang/>
    </w:rPr>
  </w:style>
  <w:style w:type="character" w:customStyle="1" w:styleId="Heading1Char1">
    <w:name w:val="Heading 1 Char1"/>
    <w:basedOn w:val="DefaultParagraphFont"/>
    <w:link w:val="Heading1"/>
    <w:uiPriority w:val="99"/>
    <w:rPr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C698C"/>
    <w:rPr>
      <w:rFonts w:asciiTheme="majorHAnsi" w:eastAsiaTheme="majorEastAsia" w:hAnsiTheme="majorHAnsi" w:cstheme="majorBidi"/>
      <w:b/>
      <w:bCs/>
      <w:i/>
      <w:iCs/>
      <w:sz w:val="28"/>
      <w:szCs w:val="28"/>
      <w:lang/>
    </w:rPr>
  </w:style>
  <w:style w:type="character" w:customStyle="1" w:styleId="Heading2Char1">
    <w:name w:val="Heading 2 Char1"/>
    <w:basedOn w:val="DefaultParagraphFont"/>
    <w:link w:val="Heading2"/>
    <w:uiPriority w:val="99"/>
    <w:rPr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C698C"/>
    <w:rPr>
      <w:rFonts w:asciiTheme="majorHAnsi" w:eastAsiaTheme="majorEastAsia" w:hAnsiTheme="majorHAnsi" w:cstheme="majorBidi"/>
      <w:b/>
      <w:bCs/>
      <w:sz w:val="26"/>
      <w:szCs w:val="26"/>
      <w:lang/>
    </w:rPr>
  </w:style>
  <w:style w:type="character" w:customStyle="1" w:styleId="Heading3Char1">
    <w:name w:val="Heading 3 Char1"/>
    <w:basedOn w:val="DefaultParagraphFont"/>
    <w:link w:val="Heading3"/>
    <w:uiPriority w:val="99"/>
    <w:rPr>
      <w:color w:val="434343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C698C"/>
    <w:rPr>
      <w:b/>
      <w:bCs/>
      <w:sz w:val="28"/>
      <w:szCs w:val="28"/>
      <w:lang/>
    </w:rPr>
  </w:style>
  <w:style w:type="character" w:customStyle="1" w:styleId="Heading4Char1">
    <w:name w:val="Heading 4 Char1"/>
    <w:basedOn w:val="DefaultParagraphFont"/>
    <w:link w:val="Heading4"/>
    <w:uiPriority w:val="99"/>
    <w:rPr>
      <w:color w:val="666666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C698C"/>
    <w:rPr>
      <w:b/>
      <w:bCs/>
      <w:i/>
      <w:iCs/>
      <w:sz w:val="26"/>
      <w:szCs w:val="26"/>
      <w:lang/>
    </w:rPr>
  </w:style>
  <w:style w:type="character" w:customStyle="1" w:styleId="Heading5Char1">
    <w:name w:val="Heading 5 Char1"/>
    <w:basedOn w:val="DefaultParagraphFont"/>
    <w:link w:val="Heading5"/>
    <w:uiPriority w:val="99"/>
    <w:rPr>
      <w:color w:val="666666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C698C"/>
    <w:rPr>
      <w:b/>
      <w:bCs/>
      <w:lang/>
    </w:rPr>
  </w:style>
  <w:style w:type="character" w:customStyle="1" w:styleId="Heading6Char1">
    <w:name w:val="Heading 6 Char1"/>
    <w:basedOn w:val="DefaultParagraphFont"/>
    <w:link w:val="Heading6"/>
    <w:uiPriority w:val="99"/>
    <w:rPr>
      <w:i/>
      <w:iCs/>
      <w:color w:val="666666"/>
      <w:sz w:val="22"/>
      <w:szCs w:val="22"/>
    </w:rPr>
  </w:style>
  <w:style w:type="paragraph" w:customStyle="1" w:styleId="normal0">
    <w:name w:val="normal"/>
    <w:uiPriority w:val="99"/>
    <w:pPr>
      <w:autoSpaceDE w:val="0"/>
      <w:autoSpaceDN w:val="0"/>
      <w:adjustRightInd w:val="0"/>
      <w:spacing w:line="276" w:lineRule="auto"/>
    </w:pPr>
    <w:rPr>
      <w:rFonts w:ascii="Arial" w:hAnsi="Arial" w:cs="Arial"/>
      <w:lang/>
    </w:rPr>
  </w:style>
  <w:style w:type="paragraph" w:styleId="Title">
    <w:name w:val="Title"/>
    <w:basedOn w:val="normal0"/>
    <w:next w:val="normal0"/>
    <w:link w:val="TitleChar"/>
    <w:uiPriority w:val="99"/>
    <w:qFormat/>
    <w:pPr>
      <w:keepNext/>
      <w:keepLines/>
      <w:spacing w:after="60"/>
    </w:pPr>
    <w:rPr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BC698C"/>
    <w:rPr>
      <w:rFonts w:asciiTheme="majorHAnsi" w:eastAsiaTheme="majorEastAsia" w:hAnsiTheme="majorHAnsi" w:cstheme="majorBidi"/>
      <w:b/>
      <w:bCs/>
      <w:kern w:val="28"/>
      <w:sz w:val="32"/>
      <w:szCs w:val="32"/>
      <w:lang/>
    </w:rPr>
  </w:style>
  <w:style w:type="paragraph" w:styleId="Subtitle">
    <w:name w:val="Subtitle"/>
    <w:basedOn w:val="normal0"/>
    <w:next w:val="normal0"/>
    <w:link w:val="SubtitleChar"/>
    <w:uiPriority w:val="99"/>
    <w:qFormat/>
    <w:pPr>
      <w:keepNext/>
      <w:keepLines/>
      <w:spacing w:after="320"/>
    </w:pPr>
    <w:rPr>
      <w:color w:val="666666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BC698C"/>
    <w:rPr>
      <w:rFonts w:asciiTheme="majorHAnsi" w:eastAsiaTheme="majorEastAsia" w:hAnsiTheme="majorHAnsi" w:cstheme="majorBidi"/>
      <w:sz w:val="24"/>
      <w:szCs w:val="24"/>
      <w:lang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0</Pages>
  <Words>0</Words>
  <Characters>0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</cp:coreProperties>
</file>