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D221" w14:textId="1753FB88" w:rsidR="00666258" w:rsidRDefault="00000000">
      <w:pPr>
        <w:pStyle w:val="Heading1"/>
      </w:pPr>
      <w:r>
        <w:rPr>
          <w:color w:val="595959"/>
        </w:rPr>
        <w:t>Bug Report</w:t>
      </w:r>
      <w:r w:rsidR="00A05B53">
        <w:rPr>
          <w:color w:val="595959"/>
        </w:rPr>
        <w:t xml:space="preserve"> – Vansh Nagpal</w:t>
      </w:r>
    </w:p>
    <w:p w14:paraId="163D0E6A" w14:textId="77777777" w:rsidR="00666258" w:rsidRDefault="00000000">
      <w:pPr>
        <w:pStyle w:val="Standard"/>
      </w:pPr>
      <w:r>
        <w:t>Document each bug found in the following format:</w:t>
      </w: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666258" w14:paraId="25A544AB" w14:textId="77777777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5EA47E" w14:textId="77777777" w:rsidR="00666258" w:rsidRDefault="00000000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D94127" w14:textId="63B7AE34" w:rsidR="00666258" w:rsidRDefault="00512D1C">
            <w:pPr>
              <w:pStyle w:val="Standard"/>
              <w:spacing w:after="0" w:line="240" w:lineRule="auto"/>
            </w:pPr>
            <w:r>
              <w:t>Invalid Birthday</w:t>
            </w:r>
          </w:p>
        </w:tc>
      </w:tr>
      <w:tr w:rsidR="00666258" w14:paraId="27A41AA9" w14:textId="77777777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48233F" w14:textId="77777777" w:rsidR="00666258" w:rsidRDefault="00000000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7CFA88" w14:textId="2CB1FB1A" w:rsidR="00666258" w:rsidRDefault="00512D1C">
            <w:pPr>
              <w:pStyle w:val="Standard"/>
              <w:spacing w:after="0" w:line="240" w:lineRule="auto"/>
            </w:pPr>
            <w:r>
              <w:t>The data loader seems to accept invalid birthdays that are not in the form “MMDDYYYY”, this causes it to raise null pointer exceptions as</w:t>
            </w:r>
            <w:r w:rsidR="00A05B53">
              <w:t xml:space="preserve"> the data loader isn’t able to parse a date</w:t>
            </w:r>
            <w:r>
              <w:t xml:space="preserve"> </w:t>
            </w:r>
          </w:p>
        </w:tc>
      </w:tr>
      <w:tr w:rsidR="00666258" w14:paraId="50909DE8" w14:textId="77777777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9F848F" w14:textId="77777777" w:rsidR="00666258" w:rsidRDefault="00000000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D4082" w14:textId="61A9FE0D" w:rsidR="00666258" w:rsidRPr="00A05B53" w:rsidRDefault="00A05B53" w:rsidP="00A05B53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05B5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userInvalidBirthday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666258" w14:paraId="0BA564DD" w14:textId="77777777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06AF96" w14:textId="77777777" w:rsidR="00666258" w:rsidRDefault="00000000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8AF352" w14:textId="7F0732EB" w:rsidR="00666258" w:rsidRDefault="00A05B53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 w:rsidR="006155C4">
              <w:t>/</w:t>
            </w:r>
            <w:proofErr w:type="spellStart"/>
            <w:proofErr w:type="gramStart"/>
            <w:r w:rsidR="006155C4">
              <w:t>DataWriter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parseDate</w:t>
            </w:r>
            <w:proofErr w:type="spellEnd"/>
            <w:r>
              <w:t xml:space="preserve"> method</w:t>
            </w:r>
          </w:p>
        </w:tc>
      </w:tr>
    </w:tbl>
    <w:p w14:paraId="24743D22" w14:textId="77777777" w:rsidR="006155C4" w:rsidRDefault="006155C4" w:rsidP="006155C4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6155C4" w14:paraId="2AE59474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035121" w14:textId="77777777" w:rsidR="006155C4" w:rsidRDefault="006155C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C22F3" w14:textId="28406C7C" w:rsidR="006155C4" w:rsidRDefault="006155C4" w:rsidP="008A3B05">
            <w:pPr>
              <w:pStyle w:val="Standard"/>
              <w:spacing w:after="0" w:line="240" w:lineRule="auto"/>
            </w:pPr>
            <w:r>
              <w:t xml:space="preserve">Invalid </w:t>
            </w:r>
            <w:r>
              <w:t>Email</w:t>
            </w:r>
          </w:p>
        </w:tc>
      </w:tr>
      <w:tr w:rsidR="006155C4" w14:paraId="21765808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7CE741" w14:textId="77777777" w:rsidR="006155C4" w:rsidRDefault="006155C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C07C89" w14:textId="0736AF53" w:rsidR="006155C4" w:rsidRDefault="006155C4" w:rsidP="008A3B05">
            <w:pPr>
              <w:pStyle w:val="Standard"/>
              <w:spacing w:after="0" w:line="240" w:lineRule="auto"/>
            </w:pPr>
            <w:r>
              <w:t xml:space="preserve">The data loader seems to accept invalid </w:t>
            </w:r>
            <w:r>
              <w:t>emails</w:t>
            </w:r>
            <w:r>
              <w:t xml:space="preserve"> that are not in the form “</w:t>
            </w:r>
            <w:proofErr w:type="spellStart"/>
            <w:r>
              <w:t>something@something</w:t>
            </w:r>
            <w:proofErr w:type="spellEnd"/>
            <w:r>
              <w:t xml:space="preserve">”, this </w:t>
            </w:r>
            <w:r>
              <w:t xml:space="preserve">is a logic error not a syntax error. It should not accept any ill formatted emails and </w:t>
            </w:r>
            <w:proofErr w:type="gramStart"/>
            <w:r>
              <w:t>set</w:t>
            </w:r>
            <w:proofErr w:type="gramEnd"/>
            <w:r>
              <w:t xml:space="preserve"> them to a default@email.sc.edu.</w:t>
            </w:r>
            <w:r>
              <w:t xml:space="preserve"> </w:t>
            </w:r>
          </w:p>
        </w:tc>
      </w:tr>
      <w:tr w:rsidR="006155C4" w14:paraId="74D9053F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1BF097" w14:textId="77777777" w:rsidR="006155C4" w:rsidRDefault="006155C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E9A7D9" w14:textId="5254F53C" w:rsidR="006155C4" w:rsidRPr="00A05B53" w:rsidRDefault="006155C4" w:rsidP="008A3B05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userInvalidEmail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6155C4" w14:paraId="74292FDD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B44C9" w14:textId="77777777" w:rsidR="006155C4" w:rsidRDefault="006155C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AB971" w14:textId="354EFABF" w:rsidR="006155C4" w:rsidRDefault="006155C4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</w:t>
            </w:r>
            <w:r>
              <w:t>/User class, creating a User</w:t>
            </w:r>
          </w:p>
        </w:tc>
      </w:tr>
    </w:tbl>
    <w:p w14:paraId="009DD091" w14:textId="5F1E80DF" w:rsidR="00FC0AB4" w:rsidRDefault="00FC0AB4" w:rsidP="00FC0AB4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FC0AB4" w14:paraId="3AF2CD48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6E9A0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4D6A46" w14:textId="358DDDE2" w:rsidR="00FC0AB4" w:rsidRDefault="00FC0AB4" w:rsidP="008A3B05">
            <w:pPr>
              <w:pStyle w:val="Standard"/>
              <w:spacing w:after="0" w:line="240" w:lineRule="auto"/>
            </w:pPr>
            <w:r>
              <w:t xml:space="preserve">Invalid </w:t>
            </w:r>
            <w:r>
              <w:t>ID</w:t>
            </w:r>
          </w:p>
        </w:tc>
      </w:tr>
      <w:tr w:rsidR="00FC0AB4" w14:paraId="76D64181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BA126F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61E68A" w14:textId="71CF4399" w:rsidR="00FC0AB4" w:rsidRDefault="00FC0AB4" w:rsidP="008A3B05">
            <w:pPr>
              <w:pStyle w:val="Standard"/>
              <w:spacing w:after="0" w:line="240" w:lineRule="auto"/>
            </w:pPr>
            <w:r>
              <w:t xml:space="preserve">If the data loader encounters an invalid UUID, it raises an exception that is caught but never handled. </w:t>
            </w:r>
            <w:proofErr w:type="gramStart"/>
            <w:r>
              <w:t>Ideally</w:t>
            </w:r>
            <w:proofErr w:type="gramEnd"/>
            <w:r>
              <w:t xml:space="preserve"> we should assign a random UUID, if the one in the data loader is not properly formatted.</w:t>
            </w:r>
            <w:r>
              <w:t xml:space="preserve"> </w:t>
            </w:r>
          </w:p>
        </w:tc>
      </w:tr>
      <w:tr w:rsidR="00FC0AB4" w14:paraId="2DF61725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9BD7FE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B9F4EE" w14:textId="1A15F2BD" w:rsidR="00FC0AB4" w:rsidRPr="00A05B53" w:rsidRDefault="00FC0AB4" w:rsidP="008A3B05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userInvalidID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FC0AB4" w14:paraId="6BAB6EAB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2A142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51515F" w14:textId="77777777" w:rsidR="00FC0AB4" w:rsidRDefault="00FC0AB4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/User class, creating a User</w:t>
            </w:r>
          </w:p>
        </w:tc>
      </w:tr>
    </w:tbl>
    <w:p w14:paraId="7C912A89" w14:textId="2AC18910" w:rsidR="00FC0AB4" w:rsidRDefault="00FC0AB4" w:rsidP="006155C4">
      <w:pPr>
        <w:pStyle w:val="Standard"/>
      </w:pPr>
    </w:p>
    <w:p w14:paraId="6CDF6D0A" w14:textId="77777777" w:rsidR="00FC0AB4" w:rsidRDefault="00FC0AB4" w:rsidP="00FC0AB4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FC0AB4" w14:paraId="17A16246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66F9BD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87B115" w14:textId="214B1BC7" w:rsidR="00FC0AB4" w:rsidRDefault="009E1A57" w:rsidP="008A3B05">
            <w:pPr>
              <w:pStyle w:val="Standard"/>
              <w:spacing w:after="0" w:line="240" w:lineRule="auto"/>
            </w:pPr>
            <w:r>
              <w:t>Course without a teacher</w:t>
            </w:r>
          </w:p>
        </w:tc>
      </w:tr>
      <w:tr w:rsidR="00FC0AB4" w14:paraId="36B8A4F3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43E3A2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808D47" w14:textId="6DCAC312" w:rsidR="00FC0AB4" w:rsidRDefault="009E1A57" w:rsidP="008A3B05">
            <w:pPr>
              <w:pStyle w:val="Standard"/>
              <w:spacing w:after="0" w:line="240" w:lineRule="auto"/>
            </w:pPr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seems to read null values from the </w:t>
            </w:r>
            <w:proofErr w:type="spellStart"/>
            <w:r>
              <w:t>json</w:t>
            </w:r>
            <w:proofErr w:type="spellEnd"/>
            <w:r>
              <w:t xml:space="preserve"> and create a </w:t>
            </w:r>
            <w:proofErr w:type="gramStart"/>
            <w:r>
              <w:t>Teacher</w:t>
            </w:r>
            <w:proofErr w:type="gramEnd"/>
            <w:r>
              <w:t xml:space="preserve"> object that is null. This raises null pointer exceptions everywhere and should be handled by using default values for a teacher.</w:t>
            </w:r>
          </w:p>
        </w:tc>
      </w:tr>
      <w:tr w:rsidR="00FC0AB4" w14:paraId="4BA36CE9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9CD50B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A5EDDF" w14:textId="1B90EB5C" w:rsidR="00FC0AB4" w:rsidRPr="00A05B53" w:rsidRDefault="00FC0AB4" w:rsidP="008A3B05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9E1A5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courseNoTeacher</w:t>
            </w:r>
            <w:proofErr w:type="spellEnd"/>
            <w:r w:rsidR="009E1A5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 w:rsidR="009E1A57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FC0AB4" w14:paraId="1B49599E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960BDF" w14:textId="77777777" w:rsidR="00FC0AB4" w:rsidRDefault="00FC0AB4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25310" w14:textId="5F1FBC92" w:rsidR="00FC0AB4" w:rsidRDefault="00FC0AB4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/</w:t>
            </w:r>
            <w:proofErr w:type="spellStart"/>
            <w:r w:rsidR="009E1A57">
              <w:t>DataWriter</w:t>
            </w:r>
            <w:proofErr w:type="spellEnd"/>
            <w:r w:rsidR="009E1A57">
              <w:t>/Course</w:t>
            </w:r>
            <w:r>
              <w:t xml:space="preserve"> creating a </w:t>
            </w:r>
            <w:r w:rsidR="009E1A57">
              <w:t>Course</w:t>
            </w:r>
          </w:p>
        </w:tc>
      </w:tr>
    </w:tbl>
    <w:p w14:paraId="4C2CC71C" w14:textId="77777777" w:rsidR="00FC0AB4" w:rsidRDefault="00FC0AB4" w:rsidP="006155C4">
      <w:pPr>
        <w:pStyle w:val="Standard"/>
      </w:pPr>
    </w:p>
    <w:p w14:paraId="4E5E6F5D" w14:textId="77777777" w:rsidR="009E1A57" w:rsidRDefault="009E1A57" w:rsidP="006155C4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9E1A57" w14:paraId="1DF4E9E5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4911B7" w14:textId="77777777" w:rsidR="009E1A57" w:rsidRDefault="009E1A57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lastRenderedPageBreak/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399423" w14:textId="0A57399D" w:rsidR="009E1A57" w:rsidRDefault="009E1A57" w:rsidP="008A3B05">
            <w:pPr>
              <w:pStyle w:val="Standard"/>
              <w:spacing w:after="0" w:line="240" w:lineRule="auto"/>
            </w:pPr>
            <w:r>
              <w:t xml:space="preserve">Course without </w:t>
            </w:r>
            <w:r>
              <w:t>modules</w:t>
            </w:r>
          </w:p>
        </w:tc>
      </w:tr>
      <w:tr w:rsidR="009E1A57" w14:paraId="745E3E77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BDAE3D" w14:textId="77777777" w:rsidR="009E1A57" w:rsidRDefault="009E1A57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D22EE8" w14:textId="016990D7" w:rsidR="009E1A57" w:rsidRDefault="009E1A57" w:rsidP="008A3B05">
            <w:pPr>
              <w:pStyle w:val="Standard"/>
              <w:spacing w:after="0" w:line="240" w:lineRule="auto"/>
            </w:pPr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seems to read null values from the </w:t>
            </w:r>
            <w:proofErr w:type="spellStart"/>
            <w:r>
              <w:t>json</w:t>
            </w:r>
            <w:proofErr w:type="spellEnd"/>
            <w:r>
              <w:t xml:space="preserve"> and create a </w:t>
            </w:r>
            <w:r w:rsidR="005F7ED4">
              <w:t>Module</w:t>
            </w:r>
            <w:r>
              <w:t xml:space="preserve"> object that is null. This raises null pointer exceptions everywhere and should be handled by using default values for a </w:t>
            </w:r>
            <w:r w:rsidR="005F7ED4">
              <w:t>null array list of modules.</w:t>
            </w:r>
          </w:p>
        </w:tc>
      </w:tr>
      <w:tr w:rsidR="009E1A57" w14:paraId="5E266D7A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8F404F" w14:textId="77777777" w:rsidR="009E1A57" w:rsidRDefault="009E1A57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2F1E3" w14:textId="5763D636" w:rsidR="009E1A57" w:rsidRPr="00A05B53" w:rsidRDefault="009E1A57" w:rsidP="008A3B05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course</w:t>
            </w:r>
            <w:r w:rsidR="005F7ED4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EmptyModule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9E1A57" w14:paraId="29B15A02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42BD43" w14:textId="77777777" w:rsidR="009E1A57" w:rsidRDefault="009E1A57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6361F2" w14:textId="77777777" w:rsidR="009E1A57" w:rsidRDefault="009E1A57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/</w:t>
            </w:r>
            <w:proofErr w:type="spellStart"/>
            <w:r>
              <w:t>DataWriter</w:t>
            </w:r>
            <w:proofErr w:type="spellEnd"/>
            <w:r>
              <w:t>/Course creating a Course</w:t>
            </w:r>
          </w:p>
        </w:tc>
      </w:tr>
    </w:tbl>
    <w:p w14:paraId="24E0CD76" w14:textId="77777777" w:rsidR="009E1A57" w:rsidRDefault="009E1A57" w:rsidP="006155C4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1A1742" w14:paraId="2EF74E27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513535" w14:textId="77777777" w:rsidR="001A1742" w:rsidRDefault="001A1742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730799" w14:textId="1D6DCDCD" w:rsidR="001A1742" w:rsidRDefault="001A1742" w:rsidP="008A3B05">
            <w:pPr>
              <w:pStyle w:val="Standard"/>
              <w:spacing w:after="0" w:line="240" w:lineRule="auto"/>
            </w:pPr>
            <w:r>
              <w:t xml:space="preserve">Course without </w:t>
            </w:r>
            <w:r w:rsidR="008A145F">
              <w:t>assessment</w:t>
            </w:r>
          </w:p>
        </w:tc>
      </w:tr>
      <w:tr w:rsidR="001A1742" w14:paraId="3C6C5C27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7DF247" w14:textId="77777777" w:rsidR="001A1742" w:rsidRDefault="001A1742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C46BE7" w14:textId="40343FC1" w:rsidR="001A1742" w:rsidRDefault="001A1742" w:rsidP="008A3B05">
            <w:pPr>
              <w:pStyle w:val="Standard"/>
              <w:spacing w:after="0" w:line="240" w:lineRule="auto"/>
            </w:pPr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seems to read null values from the </w:t>
            </w:r>
            <w:proofErr w:type="spellStart"/>
            <w:r>
              <w:t>json</w:t>
            </w:r>
            <w:proofErr w:type="spellEnd"/>
            <w:r>
              <w:t xml:space="preserve"> and 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r w:rsidR="008A145F">
              <w:t>Assessment</w:t>
            </w:r>
            <w:r>
              <w:t xml:space="preserve"> object that is null. This raises null pointer exceptions everywhere and should be handled by using default values for a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r w:rsidR="008A145F">
              <w:t>assessment instead of putting null into the course.</w:t>
            </w:r>
          </w:p>
        </w:tc>
      </w:tr>
      <w:tr w:rsidR="001A1742" w14:paraId="2F6F0BFD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1818D7" w14:textId="77777777" w:rsidR="001A1742" w:rsidRDefault="001A1742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7DAD52" w14:textId="7DD1DF9B" w:rsidR="001A1742" w:rsidRPr="00A05B53" w:rsidRDefault="001A1742" w:rsidP="008A3B05">
            <w:pPr>
              <w:widowControl/>
              <w:shd w:val="clear" w:color="auto" w:fill="1E1E1E"/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8A145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courseNoAssessment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1A1742" w14:paraId="61852C4F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BC3A6" w14:textId="77777777" w:rsidR="001A1742" w:rsidRDefault="001A1742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FD8FDE" w14:textId="77777777" w:rsidR="001A1742" w:rsidRDefault="001A1742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/</w:t>
            </w:r>
            <w:proofErr w:type="spellStart"/>
            <w:r>
              <w:t>DataWriter</w:t>
            </w:r>
            <w:proofErr w:type="spellEnd"/>
            <w:r>
              <w:t>/Course creating a Course</w:t>
            </w:r>
          </w:p>
        </w:tc>
      </w:tr>
    </w:tbl>
    <w:p w14:paraId="4D01CBDC" w14:textId="77777777" w:rsidR="001A1742" w:rsidRDefault="001A1742" w:rsidP="001A1742">
      <w:pPr>
        <w:pStyle w:val="Standard"/>
      </w:pPr>
    </w:p>
    <w:tbl>
      <w:tblPr>
        <w:tblW w:w="9350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7555"/>
      </w:tblGrid>
      <w:tr w:rsidR="008A145F" w14:paraId="3DB6E98B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E51CE8" w14:textId="77777777" w:rsidR="008A145F" w:rsidRDefault="008A145F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Bug Name: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92D30A" w14:textId="7779CCA2" w:rsidR="008A145F" w:rsidRDefault="008A145F" w:rsidP="008A3B05">
            <w:pPr>
              <w:pStyle w:val="Standard"/>
              <w:spacing w:after="0" w:line="240" w:lineRule="auto"/>
            </w:pPr>
            <w:r>
              <w:t xml:space="preserve">Course without </w:t>
            </w:r>
            <w:r>
              <w:t>student grades</w:t>
            </w:r>
          </w:p>
        </w:tc>
      </w:tr>
      <w:tr w:rsidR="008A145F" w14:paraId="21A1E7EB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A5B34" w14:textId="77777777" w:rsidR="008A145F" w:rsidRDefault="008A145F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Description: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F9AE56" w14:textId="0F44A72F" w:rsidR="008A145F" w:rsidRDefault="008A145F" w:rsidP="008A3B05">
            <w:pPr>
              <w:pStyle w:val="Standard"/>
              <w:spacing w:after="0" w:line="240" w:lineRule="auto"/>
            </w:pPr>
            <w:r>
              <w:t xml:space="preserve">The </w:t>
            </w:r>
            <w:proofErr w:type="spellStart"/>
            <w:r>
              <w:t>dataloader</w:t>
            </w:r>
            <w:proofErr w:type="spellEnd"/>
            <w:r>
              <w:t xml:space="preserve"> seems to read null values from the </w:t>
            </w:r>
            <w:proofErr w:type="spellStart"/>
            <w:r>
              <w:t>json</w:t>
            </w:r>
            <w:proofErr w:type="spellEnd"/>
            <w:r>
              <w:t xml:space="preserve"> and </w:t>
            </w:r>
            <w:r>
              <w:t xml:space="preserve">tries to set the grades using the </w:t>
            </w:r>
            <w:proofErr w:type="spellStart"/>
            <w:r>
              <w:t>setCourseProgress</w:t>
            </w:r>
            <w:proofErr w:type="spellEnd"/>
            <w:r>
              <w:t xml:space="preserve"> method in the </w:t>
            </w:r>
            <w:proofErr w:type="gramStart"/>
            <w:r>
              <w:t>Student</w:t>
            </w:r>
            <w:proofErr w:type="gramEnd"/>
            <w:r>
              <w:t>, but this causes the method to try to do null calculations and leads to null pointer exceptions. This should be handled with default values (0.0).</w:t>
            </w:r>
          </w:p>
        </w:tc>
      </w:tr>
      <w:tr w:rsidR="008A145F" w14:paraId="6F23B4CC" w14:textId="77777777" w:rsidTr="008A3B05">
        <w:tblPrEx>
          <w:tblCellMar>
            <w:top w:w="0" w:type="dxa"/>
            <w:bottom w:w="0" w:type="dxa"/>
          </w:tblCellMar>
        </w:tblPrEx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4AF192" w14:textId="77777777" w:rsidR="008A145F" w:rsidRDefault="008A145F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Test Case: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2247A7" w14:textId="76E8CFAB" w:rsidR="008A145F" w:rsidRPr="00A05B53" w:rsidRDefault="008A145F" w:rsidP="008A145F">
            <w:pPr>
              <w:widowControl/>
              <w:shd w:val="clear" w:color="auto" w:fill="1E1E1E"/>
              <w:tabs>
                <w:tab w:val="center" w:pos="3667"/>
              </w:tabs>
              <w:suppressAutoHyphens w:val="0"/>
              <w:autoSpaceDN/>
              <w:spacing w:line="285" w:lineRule="atLeast"/>
              <w:textAlignment w:val="auto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</w:pPr>
            <w:r w:rsidRPr="00A05B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</w:rPr>
              <w:t>void</w:t>
            </w:r>
            <w:r w:rsidRPr="00A05B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courseNo</w:t>
            </w:r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Grades</w:t>
            </w:r>
            <w:proofErr w:type="spell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</w:rPr>
              <w:t>)</w:t>
            </w:r>
          </w:p>
        </w:tc>
      </w:tr>
      <w:tr w:rsidR="008A145F" w14:paraId="6CFFBE05" w14:textId="77777777" w:rsidTr="008A3B0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1795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DBE5F1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DBDBDD" w14:textId="77777777" w:rsidR="008A145F" w:rsidRDefault="008A145F" w:rsidP="008A3B05">
            <w:pPr>
              <w:pStyle w:val="Standard"/>
              <w:spacing w:after="0" w:line="240" w:lineRule="auto"/>
            </w:pPr>
            <w:r>
              <w:rPr>
                <w:color w:val="404040"/>
              </w:rPr>
              <w:t>Location of error:</w:t>
            </w:r>
          </w:p>
        </w:tc>
        <w:tc>
          <w:tcPr>
            <w:tcW w:w="7554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E7A89" w14:textId="77777777" w:rsidR="008A145F" w:rsidRDefault="008A145F" w:rsidP="008A3B05">
            <w:pPr>
              <w:pStyle w:val="Standard"/>
              <w:spacing w:after="0" w:line="240" w:lineRule="auto"/>
            </w:pPr>
            <w:proofErr w:type="spellStart"/>
            <w:r>
              <w:t>DataLoader</w:t>
            </w:r>
            <w:proofErr w:type="spellEnd"/>
            <w:r>
              <w:t xml:space="preserve"> /</w:t>
            </w:r>
            <w:proofErr w:type="spellStart"/>
            <w:r>
              <w:t>DataWriter</w:t>
            </w:r>
            <w:proofErr w:type="spellEnd"/>
            <w:r>
              <w:t>/Course creating a Course</w:t>
            </w:r>
          </w:p>
        </w:tc>
      </w:tr>
    </w:tbl>
    <w:p w14:paraId="2A29C75E" w14:textId="77777777" w:rsidR="008A145F" w:rsidRDefault="008A145F" w:rsidP="008A145F">
      <w:pPr>
        <w:pStyle w:val="Standard"/>
      </w:pPr>
    </w:p>
    <w:p w14:paraId="21B7AB96" w14:textId="77777777" w:rsidR="001A1742" w:rsidRPr="006155C4" w:rsidRDefault="001A1742" w:rsidP="006155C4">
      <w:pPr>
        <w:pStyle w:val="Standard"/>
      </w:pPr>
    </w:p>
    <w:p w14:paraId="49BD8388" w14:textId="17B14987" w:rsidR="00666258" w:rsidRDefault="00000000">
      <w:pPr>
        <w:pStyle w:val="Heading2"/>
      </w:pPr>
      <w:r>
        <w:t>Report:</w:t>
      </w:r>
    </w:p>
    <w:p w14:paraId="066BC92F" w14:textId="77777777" w:rsidR="00666258" w:rsidRDefault="00000000">
      <w:pPr>
        <w:pStyle w:val="Standard"/>
      </w:pPr>
      <w:r>
        <w:t>Take a screenshot showing your test cases, and if they passed or failed.</w:t>
      </w:r>
    </w:p>
    <w:p w14:paraId="7011BC34" w14:textId="261F3E99" w:rsidR="00666258" w:rsidRDefault="00666258" w:rsidP="009F028E">
      <w:pPr>
        <w:pStyle w:val="Standard"/>
      </w:pPr>
    </w:p>
    <w:p w14:paraId="568438B4" w14:textId="26FDEC32" w:rsidR="006155C4" w:rsidRDefault="0075545B" w:rsidP="009F028E">
      <w:pPr>
        <w:pStyle w:val="Standard"/>
      </w:pPr>
      <w:r w:rsidRPr="0075545B">
        <w:lastRenderedPageBreak/>
        <w:drawing>
          <wp:inline distT="0" distB="0" distL="0" distR="0" wp14:anchorId="765B0E88" wp14:editId="1E49657A">
            <wp:extent cx="2540131" cy="16764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390" w14:textId="7ED1EA6E" w:rsidR="009F028E" w:rsidRDefault="009F028E" w:rsidP="009F028E">
      <w:pPr>
        <w:pStyle w:val="Standard"/>
      </w:pPr>
    </w:p>
    <w:sectPr w:rsidR="009F02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1C33" w14:textId="77777777" w:rsidR="006C1D03" w:rsidRDefault="006C1D03">
      <w:r>
        <w:separator/>
      </w:r>
    </w:p>
  </w:endnote>
  <w:endnote w:type="continuationSeparator" w:id="0">
    <w:p w14:paraId="6BE0B882" w14:textId="77777777" w:rsidR="006C1D03" w:rsidRDefault="006C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C08F6" w14:textId="77777777" w:rsidR="00674A3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E83F" w14:textId="77777777" w:rsidR="006C1D03" w:rsidRDefault="006C1D03">
      <w:r>
        <w:rPr>
          <w:color w:val="000000"/>
        </w:rPr>
        <w:separator/>
      </w:r>
    </w:p>
  </w:footnote>
  <w:footnote w:type="continuationSeparator" w:id="0">
    <w:p w14:paraId="3B25822B" w14:textId="77777777" w:rsidR="006C1D03" w:rsidRDefault="006C1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B0D4" w14:textId="77777777" w:rsidR="00674A3A" w:rsidRDefault="00000000">
    <w:pPr>
      <w:pStyle w:val="Header"/>
      <w:spacing w:line="276" w:lineRule="auto"/>
      <w:jc w:val="both"/>
    </w:pPr>
    <w:r>
      <w:t>CSCE 247: Software Engineering</w:t>
    </w:r>
  </w:p>
  <w:p w14:paraId="717776E0" w14:textId="77777777" w:rsidR="00674A3A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191"/>
    <w:multiLevelType w:val="multilevel"/>
    <w:tmpl w:val="3286880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63675DE"/>
    <w:multiLevelType w:val="multilevel"/>
    <w:tmpl w:val="170EF3C8"/>
    <w:styleLink w:val="WWNum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93E8E"/>
    <w:multiLevelType w:val="multilevel"/>
    <w:tmpl w:val="41B4F00E"/>
    <w:styleLink w:val="WWNum11"/>
    <w:lvl w:ilvl="0">
      <w:numFmt w:val="bullet"/>
      <w:lvlText w:val=""/>
      <w:lvlJc w:val="left"/>
      <w:pPr>
        <w:ind w:left="360" w:hanging="360"/>
      </w:pPr>
      <w:rPr>
        <w:b w:val="0"/>
      </w:rPr>
    </w:lvl>
    <w:lvl w:ilvl="1">
      <w:numFmt w:val="bullet"/>
      <w:lvlText w:val="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A32ED"/>
    <w:multiLevelType w:val="multilevel"/>
    <w:tmpl w:val="B24A52B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9664C51"/>
    <w:multiLevelType w:val="multilevel"/>
    <w:tmpl w:val="F122291C"/>
    <w:styleLink w:val="WWNum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136254DE"/>
    <w:multiLevelType w:val="multilevel"/>
    <w:tmpl w:val="3B1AD08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5C27143"/>
    <w:multiLevelType w:val="multilevel"/>
    <w:tmpl w:val="CFC420F8"/>
    <w:styleLink w:val="WWNum2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7" w15:restartNumberingAfterBreak="0">
    <w:nsid w:val="162A7C92"/>
    <w:multiLevelType w:val="multilevel"/>
    <w:tmpl w:val="66400CD0"/>
    <w:styleLink w:val="WWNum2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8E00F05"/>
    <w:multiLevelType w:val="multilevel"/>
    <w:tmpl w:val="D5445318"/>
    <w:styleLink w:val="WWNum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42E92"/>
    <w:multiLevelType w:val="multilevel"/>
    <w:tmpl w:val="9B36E1E0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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FB2177"/>
    <w:multiLevelType w:val="multilevel"/>
    <w:tmpl w:val="EF44A76A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24A32FE1"/>
    <w:multiLevelType w:val="multilevel"/>
    <w:tmpl w:val="FBA21066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CA901FC"/>
    <w:multiLevelType w:val="multilevel"/>
    <w:tmpl w:val="7E32B276"/>
    <w:styleLink w:val="WWNum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FB60A26"/>
    <w:multiLevelType w:val="multilevel"/>
    <w:tmpl w:val="16E4A40A"/>
    <w:styleLink w:val="WWNum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2FCE2304"/>
    <w:multiLevelType w:val="multilevel"/>
    <w:tmpl w:val="17B26598"/>
    <w:styleLink w:val="WWNum1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8CF10BD"/>
    <w:multiLevelType w:val="multilevel"/>
    <w:tmpl w:val="BCACBC10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6" w15:restartNumberingAfterBreak="0">
    <w:nsid w:val="3EF50FAD"/>
    <w:multiLevelType w:val="multilevel"/>
    <w:tmpl w:val="348C2870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42D1177C"/>
    <w:multiLevelType w:val="multilevel"/>
    <w:tmpl w:val="26A4CDFE"/>
    <w:styleLink w:val="WWNum27"/>
    <w:lvl w:ilvl="0">
      <w:numFmt w:val="bullet"/>
      <w:lvlText w:val="-"/>
      <w:lvlJc w:val="left"/>
      <w:pPr>
        <w:ind w:left="720" w:hanging="360"/>
      </w:pPr>
      <w:rPr>
        <w:rFonts w:eastAsia="F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44EE0E9C"/>
    <w:multiLevelType w:val="multilevel"/>
    <w:tmpl w:val="6C00BF32"/>
    <w:styleLink w:val="WWNum2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9" w15:restartNumberingAfterBreak="0">
    <w:nsid w:val="47B363E0"/>
    <w:multiLevelType w:val="multilevel"/>
    <w:tmpl w:val="8DCA1554"/>
    <w:styleLink w:val="WWNum2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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22FBA"/>
    <w:multiLevelType w:val="multilevel"/>
    <w:tmpl w:val="5BD0B86C"/>
    <w:styleLink w:val="WWNum33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97E1B"/>
    <w:multiLevelType w:val="multilevel"/>
    <w:tmpl w:val="66100CA8"/>
    <w:styleLink w:val="WWNum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554D2392"/>
    <w:multiLevelType w:val="multilevel"/>
    <w:tmpl w:val="C174EF3C"/>
    <w:styleLink w:val="WWNum1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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536F3"/>
    <w:multiLevelType w:val="multilevel"/>
    <w:tmpl w:val="AC803996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5A9255E4"/>
    <w:multiLevelType w:val="multilevel"/>
    <w:tmpl w:val="8FF8A63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 w15:restartNumberingAfterBreak="0">
    <w:nsid w:val="62E002E0"/>
    <w:multiLevelType w:val="multilevel"/>
    <w:tmpl w:val="D1401932"/>
    <w:styleLink w:val="WWNum3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6520A"/>
    <w:multiLevelType w:val="multilevel"/>
    <w:tmpl w:val="20F84026"/>
    <w:styleLink w:val="WW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A670AF"/>
    <w:multiLevelType w:val="multilevel"/>
    <w:tmpl w:val="9654971C"/>
    <w:styleLink w:val="WWNum1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702F0E97"/>
    <w:multiLevelType w:val="multilevel"/>
    <w:tmpl w:val="C0063994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706C2C38"/>
    <w:multiLevelType w:val="multilevel"/>
    <w:tmpl w:val="3E001B1A"/>
    <w:styleLink w:val="WWNum25"/>
    <w:lvl w:ilvl="0">
      <w:numFmt w:val="bullet"/>
      <w:lvlText w:val="-"/>
      <w:lvlJc w:val="left"/>
      <w:pPr>
        <w:ind w:left="720" w:hanging="360"/>
      </w:pPr>
      <w:rPr>
        <w:rFonts w:eastAsia="F" w:cs="Calibri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74275FC6"/>
    <w:multiLevelType w:val="multilevel"/>
    <w:tmpl w:val="D0109EE4"/>
    <w:styleLink w:val="WWNum4"/>
    <w:lvl w:ilvl="0">
      <w:numFmt w:val="bullet"/>
      <w:lvlText w:val=""/>
      <w:lvlJc w:val="left"/>
      <w:pPr>
        <w:ind w:left="720" w:hanging="360"/>
      </w:pPr>
      <w:rPr>
        <w:b w:val="0"/>
      </w:r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07542"/>
    <w:multiLevelType w:val="multilevel"/>
    <w:tmpl w:val="8F6209DA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7EBF31F3"/>
    <w:multiLevelType w:val="multilevel"/>
    <w:tmpl w:val="C6FE759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7FE96826"/>
    <w:multiLevelType w:val="multilevel"/>
    <w:tmpl w:val="A83EBE3A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 w16cid:durableId="603538863">
    <w:abstractNumId w:val="5"/>
  </w:num>
  <w:num w:numId="2" w16cid:durableId="2089107526">
    <w:abstractNumId w:val="0"/>
  </w:num>
  <w:num w:numId="3" w16cid:durableId="8991100">
    <w:abstractNumId w:val="3"/>
  </w:num>
  <w:num w:numId="4" w16cid:durableId="183323188">
    <w:abstractNumId w:val="10"/>
  </w:num>
  <w:num w:numId="5" w16cid:durableId="129053062">
    <w:abstractNumId w:val="30"/>
  </w:num>
  <w:num w:numId="6" w16cid:durableId="1911577592">
    <w:abstractNumId w:val="12"/>
  </w:num>
  <w:num w:numId="7" w16cid:durableId="985431406">
    <w:abstractNumId w:val="4"/>
  </w:num>
  <w:num w:numId="8" w16cid:durableId="1180587739">
    <w:abstractNumId w:val="13"/>
  </w:num>
  <w:num w:numId="9" w16cid:durableId="1756046264">
    <w:abstractNumId w:val="21"/>
  </w:num>
  <w:num w:numId="10" w16cid:durableId="927615636">
    <w:abstractNumId w:val="33"/>
  </w:num>
  <w:num w:numId="11" w16cid:durableId="1036353434">
    <w:abstractNumId w:val="23"/>
  </w:num>
  <w:num w:numId="12" w16cid:durableId="1960909968">
    <w:abstractNumId w:val="2"/>
  </w:num>
  <w:num w:numId="13" w16cid:durableId="576986891">
    <w:abstractNumId w:val="31"/>
  </w:num>
  <w:num w:numId="14" w16cid:durableId="909266330">
    <w:abstractNumId w:val="11"/>
  </w:num>
  <w:num w:numId="15" w16cid:durableId="865483174">
    <w:abstractNumId w:val="22"/>
  </w:num>
  <w:num w:numId="16" w16cid:durableId="1364667978">
    <w:abstractNumId w:val="27"/>
  </w:num>
  <w:num w:numId="17" w16cid:durableId="992878831">
    <w:abstractNumId w:val="32"/>
  </w:num>
  <w:num w:numId="18" w16cid:durableId="1687974765">
    <w:abstractNumId w:val="9"/>
  </w:num>
  <w:num w:numId="19" w16cid:durableId="816724950">
    <w:abstractNumId w:val="28"/>
  </w:num>
  <w:num w:numId="20" w16cid:durableId="1929265141">
    <w:abstractNumId w:val="14"/>
  </w:num>
  <w:num w:numId="21" w16cid:durableId="1425371782">
    <w:abstractNumId w:val="24"/>
  </w:num>
  <w:num w:numId="22" w16cid:durableId="1094471915">
    <w:abstractNumId w:val="19"/>
  </w:num>
  <w:num w:numId="23" w16cid:durableId="622034189">
    <w:abstractNumId w:val="6"/>
  </w:num>
  <w:num w:numId="24" w16cid:durableId="1841963437">
    <w:abstractNumId w:val="16"/>
  </w:num>
  <w:num w:numId="25" w16cid:durableId="1887061235">
    <w:abstractNumId w:val="7"/>
  </w:num>
  <w:num w:numId="26" w16cid:durableId="160124997">
    <w:abstractNumId w:val="29"/>
  </w:num>
  <w:num w:numId="27" w16cid:durableId="603807258">
    <w:abstractNumId w:val="15"/>
  </w:num>
  <w:num w:numId="28" w16cid:durableId="211357374">
    <w:abstractNumId w:val="17"/>
  </w:num>
  <w:num w:numId="29" w16cid:durableId="716471187">
    <w:abstractNumId w:val="18"/>
  </w:num>
  <w:num w:numId="30" w16cid:durableId="1643997043">
    <w:abstractNumId w:val="1"/>
  </w:num>
  <w:num w:numId="31" w16cid:durableId="633175544">
    <w:abstractNumId w:val="26"/>
  </w:num>
  <w:num w:numId="32" w16cid:durableId="100035274">
    <w:abstractNumId w:val="25"/>
  </w:num>
  <w:num w:numId="33" w16cid:durableId="316804421">
    <w:abstractNumId w:val="8"/>
  </w:num>
  <w:num w:numId="34" w16cid:durableId="1333292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6258"/>
    <w:rsid w:val="001A1742"/>
    <w:rsid w:val="00512D1C"/>
    <w:rsid w:val="005F7ED4"/>
    <w:rsid w:val="006155C4"/>
    <w:rsid w:val="00666258"/>
    <w:rsid w:val="006C1D03"/>
    <w:rsid w:val="0075545B"/>
    <w:rsid w:val="008A145F"/>
    <w:rsid w:val="009E1A57"/>
    <w:rsid w:val="009F028E"/>
    <w:rsid w:val="00A05B53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68F1"/>
  <w15:docId w15:val="{E051F513-6B7D-4377-AFB9-AC999CFB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57"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after="0"/>
      <w:outlineLvl w:val="0"/>
    </w:pPr>
    <w:rPr>
      <w:rFonts w:ascii="Segoe UI" w:hAnsi="Segoe UI"/>
      <w:bCs/>
      <w:sz w:val="36"/>
      <w:szCs w:val="28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360" w:after="0"/>
      <w:outlineLvl w:val="1"/>
    </w:pPr>
    <w:rPr>
      <w:rFonts w:ascii="Segoe UI" w:hAnsi="Segoe UI"/>
      <w:bCs/>
      <w:color w:val="00ADEF"/>
      <w:sz w:val="28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hAnsi="Cambria"/>
      <w:color w:val="243F60"/>
      <w:szCs w:val="24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hAnsi="Cambria"/>
      <w:i/>
      <w:iCs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898989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Segoe UI" w:eastAsia="F" w:hAnsi="Segoe UI" w:cs="F"/>
      <w:bCs/>
      <w:color w:val="898989"/>
      <w:sz w:val="36"/>
      <w:szCs w:val="28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2Char">
    <w:name w:val="Heading 2 Char"/>
    <w:basedOn w:val="DefaultParagraphFont"/>
    <w:rPr>
      <w:rFonts w:ascii="Segoe UI" w:eastAsia="F" w:hAnsi="Segoe UI" w:cs="F"/>
      <w:bCs/>
      <w:color w:val="00ADEF"/>
      <w:sz w:val="28"/>
      <w:szCs w:val="26"/>
    </w:rPr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rPr>
      <w:rFonts w:ascii="Cambria" w:eastAsia="F" w:hAnsi="Cambria" w:cs="F"/>
      <w:color w:val="243F60"/>
      <w:sz w:val="24"/>
      <w:szCs w:val="24"/>
    </w:rPr>
  </w:style>
  <w:style w:type="character" w:customStyle="1" w:styleId="Heading4Char">
    <w:name w:val="Heading 4 Char"/>
    <w:basedOn w:val="DefaultParagraphFont"/>
    <w:rPr>
      <w:rFonts w:ascii="Cambria" w:eastAsia="F" w:hAnsi="Cambria" w:cs="F"/>
      <w:i/>
      <w:iCs/>
      <w:color w:val="365F91"/>
      <w:sz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 w:val="0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b w:val="0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eastAsia="F" w:cs="Calibri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eastAsia="F" w:cs="Calibri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247: Software Engineering</vt:lpstr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247: Software Engineering</dc:title>
  <dc:creator>Portia</dc:creator>
  <cp:lastModifiedBy>Vansh Nagpal</cp:lastModifiedBy>
  <cp:revision>4</cp:revision>
  <cp:lastPrinted>2012-12-18T01:21:00Z</cp:lastPrinted>
  <dcterms:created xsi:type="dcterms:W3CDTF">2023-04-09T06:17:00Z</dcterms:created>
  <dcterms:modified xsi:type="dcterms:W3CDTF">2023-04-09T16:05:00Z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