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E534B" w14:textId="0DF0BC84" w:rsidR="009164EA" w:rsidRPr="00254B72" w:rsidRDefault="009164EA" w:rsidP="00254B72">
      <w:pPr>
        <w:jc w:val="center"/>
        <w:rPr>
          <w:rFonts w:ascii="Georgia" w:hAnsi="Georgia"/>
          <w:color w:val="83CAEB" w:themeColor="accent1" w:themeTint="66"/>
          <w:sz w:val="38"/>
          <w:szCs w:val="38"/>
          <w:u w:val="double"/>
        </w:rPr>
      </w:pPr>
      <w:r w:rsidRPr="00254B72">
        <w:rPr>
          <w:rFonts w:ascii="Georgia" w:hAnsi="Georgia"/>
          <w:color w:val="83CAEB" w:themeColor="accent1" w:themeTint="66"/>
          <w:sz w:val="38"/>
          <w:szCs w:val="38"/>
          <w:u w:val="double"/>
        </w:rPr>
        <w:t xml:space="preserve">DATA </w:t>
      </w:r>
      <w:r w:rsidR="00254B72" w:rsidRPr="00254B72">
        <w:rPr>
          <w:rFonts w:ascii="Georgia" w:hAnsi="Georgia"/>
          <w:color w:val="83CAEB" w:themeColor="accent1" w:themeTint="66"/>
          <w:sz w:val="38"/>
          <w:szCs w:val="38"/>
          <w:u w:val="double"/>
        </w:rPr>
        <w:t>CENTRE ADOPTION ANALYSIS THROUGHOUT THE YEARS</w:t>
      </w:r>
    </w:p>
    <w:p w14:paraId="4462295B" w14:textId="77777777" w:rsidR="009164EA" w:rsidRDefault="009164EA" w:rsidP="009164EA">
      <w:pPr>
        <w:jc w:val="center"/>
        <w:rPr>
          <w:rFonts w:ascii="Georgia" w:hAnsi="Georgia"/>
          <w:color w:val="F1A983" w:themeColor="accent2" w:themeTint="99"/>
          <w:sz w:val="36"/>
          <w:szCs w:val="36"/>
          <w:u w:val="thick"/>
        </w:rPr>
      </w:pPr>
    </w:p>
    <w:p w14:paraId="442083FB" w14:textId="4E3E3ACA" w:rsidR="00E10B14" w:rsidRDefault="00E10B14" w:rsidP="009164EA">
      <w:pPr>
        <w:jc w:val="center"/>
        <w:rPr>
          <w:rFonts w:ascii="Georgia" w:hAnsi="Georgia"/>
          <w:color w:val="F1A983" w:themeColor="accent2" w:themeTint="99"/>
          <w:sz w:val="36"/>
          <w:szCs w:val="36"/>
          <w:u w:val="thick"/>
        </w:rPr>
      </w:pPr>
      <w:r w:rsidRPr="00E10B14">
        <w:rPr>
          <w:rFonts w:ascii="Georgia" w:hAnsi="Georgia"/>
          <w:color w:val="F1A983" w:themeColor="accent2" w:themeTint="99"/>
          <w:sz w:val="36"/>
          <w:szCs w:val="36"/>
          <w:u w:val="thick"/>
        </w:rPr>
        <w:t>Final Business Insights</w:t>
      </w:r>
    </w:p>
    <w:p w14:paraId="4577EB62" w14:textId="77777777" w:rsidR="009164EA" w:rsidRPr="009164EA" w:rsidRDefault="009164EA" w:rsidP="00E10B14">
      <w:pPr>
        <w:rPr>
          <w:rFonts w:ascii="Verdana" w:hAnsi="Verdana"/>
          <w:color w:val="000000" w:themeColor="text1"/>
          <w:u w:val="single"/>
        </w:rPr>
      </w:pPr>
    </w:p>
    <w:p w14:paraId="4C7CBEBB" w14:textId="22C6F37E" w:rsidR="009164EA" w:rsidRPr="00E10B14" w:rsidRDefault="00E10B14" w:rsidP="00E10B14">
      <w:pPr>
        <w:rPr>
          <w:rFonts w:ascii="Verdana" w:hAnsi="Verdana"/>
          <w:color w:val="000000" w:themeColor="text1"/>
          <w:sz w:val="26"/>
          <w:szCs w:val="26"/>
          <w:u w:val="single"/>
        </w:rPr>
      </w:pPr>
      <w:r w:rsidRPr="00E10B14">
        <w:rPr>
          <w:rFonts w:ascii="Verdana" w:hAnsi="Verdana"/>
          <w:color w:val="000000" w:themeColor="text1"/>
          <w:sz w:val="26"/>
          <w:szCs w:val="26"/>
          <w:u w:val="single"/>
        </w:rPr>
        <w:t>Insight 1 – Overall Data Centre Adoption</w:t>
      </w:r>
      <w:r w:rsidR="009164EA" w:rsidRPr="009164EA">
        <w:rPr>
          <w:rFonts w:ascii="Verdana" w:hAnsi="Verdana"/>
          <w:color w:val="000000" w:themeColor="text1"/>
          <w:sz w:val="26"/>
          <w:szCs w:val="26"/>
          <w:u w:val="single"/>
        </w:rPr>
        <w:t>:</w:t>
      </w:r>
    </w:p>
    <w:p w14:paraId="717A0BAA" w14:textId="75B04C19" w:rsidR="009164EA" w:rsidRDefault="00E10B14" w:rsidP="00E10B14">
      <w:pPr>
        <w:rPr>
          <w:rFonts w:ascii="Tahoma" w:hAnsi="Tahoma" w:cs="Tahoma"/>
        </w:rPr>
      </w:pPr>
      <w:r w:rsidRPr="00E10B14">
        <w:rPr>
          <w:rFonts w:ascii="Tahoma" w:hAnsi="Tahoma" w:cs="Tahoma"/>
        </w:rPr>
        <w:t xml:space="preserve">The dataset contains a total of approximately </w:t>
      </w:r>
      <w:r w:rsidRPr="00E10B14">
        <w:rPr>
          <w:rFonts w:ascii="Tahoma" w:hAnsi="Tahoma" w:cs="Tahoma"/>
          <w:b/>
          <w:bCs/>
        </w:rPr>
        <w:t>1.68 million data centres</w:t>
      </w:r>
      <w:r w:rsidRPr="00E10B14">
        <w:rPr>
          <w:rFonts w:ascii="Tahoma" w:hAnsi="Tahoma" w:cs="Tahoma"/>
        </w:rPr>
        <w:t>, showing a substantial level of data centre adoption across the countries, cities, and regions included in the analysis.</w:t>
      </w:r>
    </w:p>
    <w:p w14:paraId="0F225626" w14:textId="77777777" w:rsidR="009164EA" w:rsidRPr="00E10B14" w:rsidRDefault="009164EA" w:rsidP="00E10B14">
      <w:pPr>
        <w:rPr>
          <w:rFonts w:ascii="Tahoma" w:hAnsi="Tahoma" w:cs="Tahoma"/>
        </w:rPr>
      </w:pPr>
    </w:p>
    <w:p w14:paraId="4BF75EE3" w14:textId="6C001ADB" w:rsidR="009164EA" w:rsidRPr="00E10B14" w:rsidRDefault="00E10B14" w:rsidP="00E10B14">
      <w:pPr>
        <w:rPr>
          <w:rFonts w:ascii="Verdana" w:hAnsi="Verdana" w:cs="Tahoma"/>
          <w:sz w:val="26"/>
          <w:szCs w:val="26"/>
          <w:u w:val="single"/>
        </w:rPr>
      </w:pPr>
      <w:r w:rsidRPr="00E10B14">
        <w:rPr>
          <w:rFonts w:ascii="Verdana" w:hAnsi="Verdana" w:cs="Tahoma"/>
          <w:sz w:val="26"/>
          <w:szCs w:val="26"/>
          <w:u w:val="single"/>
        </w:rPr>
        <w:t>Insight 2 – Regional Data Centre Adoption</w:t>
      </w:r>
      <w:r w:rsidR="009164EA">
        <w:rPr>
          <w:rFonts w:ascii="Verdana" w:hAnsi="Verdana" w:cs="Tahoma"/>
          <w:sz w:val="26"/>
          <w:szCs w:val="26"/>
          <w:u w:val="single"/>
        </w:rPr>
        <w:t>:</w:t>
      </w:r>
    </w:p>
    <w:p w14:paraId="18C46F49" w14:textId="77777777" w:rsidR="00E10B14" w:rsidRDefault="00E10B14" w:rsidP="00E10B14">
      <w:pPr>
        <w:rPr>
          <w:rFonts w:ascii="Tahoma" w:hAnsi="Tahoma" w:cs="Tahoma"/>
        </w:rPr>
      </w:pPr>
      <w:r w:rsidRPr="00E10B14">
        <w:rPr>
          <w:rFonts w:ascii="Tahoma" w:hAnsi="Tahoma" w:cs="Tahoma"/>
          <w:b/>
          <w:bCs/>
        </w:rPr>
        <w:t>Asia has the highest data centre adoption</w:t>
      </w:r>
      <w:r w:rsidRPr="00E10B14">
        <w:rPr>
          <w:rFonts w:ascii="Tahoma" w:hAnsi="Tahoma" w:cs="Tahoma"/>
        </w:rPr>
        <w:t xml:space="preserve">, with approximately </w:t>
      </w:r>
      <w:r w:rsidRPr="00E10B14">
        <w:rPr>
          <w:rFonts w:ascii="Tahoma" w:hAnsi="Tahoma" w:cs="Tahoma"/>
          <w:b/>
          <w:bCs/>
        </w:rPr>
        <w:t>0.68 million data centres</w:t>
      </w:r>
      <w:r w:rsidRPr="00E10B14">
        <w:rPr>
          <w:rFonts w:ascii="Tahoma" w:hAnsi="Tahoma" w:cs="Tahoma"/>
        </w:rPr>
        <w:t xml:space="preserve">. Europe has approximately </w:t>
      </w:r>
      <w:r w:rsidRPr="00E10B14">
        <w:rPr>
          <w:rFonts w:ascii="Tahoma" w:hAnsi="Tahoma" w:cs="Tahoma"/>
          <w:b/>
          <w:bCs/>
        </w:rPr>
        <w:t>0.30 million</w:t>
      </w:r>
      <w:r w:rsidRPr="00E10B14">
        <w:rPr>
          <w:rFonts w:ascii="Tahoma" w:hAnsi="Tahoma" w:cs="Tahoma"/>
        </w:rPr>
        <w:t xml:space="preserve">, while North America and Oceania have approximately </w:t>
      </w:r>
      <w:r w:rsidRPr="00E10B14">
        <w:rPr>
          <w:rFonts w:ascii="Tahoma" w:hAnsi="Tahoma" w:cs="Tahoma"/>
          <w:b/>
          <w:bCs/>
        </w:rPr>
        <w:t>0.35 million each</w:t>
      </w:r>
      <w:r w:rsidRPr="00E10B14">
        <w:rPr>
          <w:rFonts w:ascii="Tahoma" w:hAnsi="Tahoma" w:cs="Tahoma"/>
        </w:rPr>
        <w:t>.</w:t>
      </w:r>
    </w:p>
    <w:p w14:paraId="0A020549" w14:textId="77777777" w:rsidR="009164EA" w:rsidRPr="00E10B14" w:rsidRDefault="009164EA" w:rsidP="00E10B14">
      <w:pPr>
        <w:rPr>
          <w:rFonts w:ascii="Tahoma" w:hAnsi="Tahoma" w:cs="Tahoma"/>
        </w:rPr>
      </w:pPr>
    </w:p>
    <w:p w14:paraId="42EE132B" w14:textId="0224059A" w:rsidR="00E10B14" w:rsidRPr="00E10B14" w:rsidRDefault="00E10B14" w:rsidP="00E10B14">
      <w:pPr>
        <w:rPr>
          <w:rFonts w:ascii="Verdana" w:hAnsi="Verdana" w:cs="Tahoma"/>
          <w:sz w:val="26"/>
          <w:szCs w:val="26"/>
          <w:u w:val="single"/>
        </w:rPr>
      </w:pPr>
      <w:r w:rsidRPr="00E10B14">
        <w:rPr>
          <w:rFonts w:ascii="Verdana" w:hAnsi="Verdana" w:cs="Tahoma"/>
          <w:sz w:val="26"/>
          <w:szCs w:val="26"/>
          <w:u w:val="single"/>
        </w:rPr>
        <w:t>Insight 3 – Data Centre Growth Over Time</w:t>
      </w:r>
      <w:r w:rsidR="009164EA">
        <w:rPr>
          <w:rFonts w:ascii="Verdana" w:hAnsi="Verdana" w:cs="Tahoma"/>
          <w:sz w:val="26"/>
          <w:szCs w:val="26"/>
          <w:u w:val="single"/>
        </w:rPr>
        <w:t>:</w:t>
      </w:r>
    </w:p>
    <w:p w14:paraId="6777499D" w14:textId="1CF4C82E" w:rsidR="009164EA" w:rsidRDefault="00E10B14" w:rsidP="00E10B14">
      <w:pPr>
        <w:rPr>
          <w:rFonts w:ascii="Tahoma" w:hAnsi="Tahoma" w:cs="Tahoma"/>
        </w:rPr>
      </w:pPr>
      <w:r w:rsidRPr="00E10B14">
        <w:rPr>
          <w:rFonts w:ascii="Tahoma" w:hAnsi="Tahoma" w:cs="Tahoma"/>
        </w:rPr>
        <w:t xml:space="preserve">The </w:t>
      </w:r>
      <w:r w:rsidRPr="00E10B14">
        <w:rPr>
          <w:rFonts w:ascii="Tahoma" w:hAnsi="Tahoma" w:cs="Tahoma"/>
          <w:b/>
          <w:bCs/>
        </w:rPr>
        <w:t>Data Centre Growth Over Time</w:t>
      </w:r>
      <w:r w:rsidRPr="00E10B14">
        <w:rPr>
          <w:rFonts w:ascii="Tahoma" w:hAnsi="Tahoma" w:cs="Tahoma"/>
        </w:rPr>
        <w:t xml:space="preserve"> chart shows an overall increasing trend from </w:t>
      </w:r>
      <w:r w:rsidRPr="00E10B14">
        <w:rPr>
          <w:rFonts w:ascii="Tahoma" w:hAnsi="Tahoma" w:cs="Tahoma"/>
          <w:b/>
          <w:bCs/>
        </w:rPr>
        <w:t>2000 to 2025</w:t>
      </w:r>
      <w:r w:rsidRPr="00E10B14">
        <w:rPr>
          <w:rFonts w:ascii="Tahoma" w:hAnsi="Tahoma" w:cs="Tahoma"/>
        </w:rPr>
        <w:t>, although some year-to-year fluctuations are present.</w:t>
      </w:r>
    </w:p>
    <w:p w14:paraId="471AFEDC" w14:textId="77777777" w:rsidR="009164EA" w:rsidRPr="00E10B14" w:rsidRDefault="009164EA" w:rsidP="00E10B14">
      <w:pPr>
        <w:rPr>
          <w:rFonts w:ascii="Tahoma" w:hAnsi="Tahoma" w:cs="Tahoma"/>
        </w:rPr>
      </w:pPr>
    </w:p>
    <w:p w14:paraId="4CB244FA" w14:textId="6D4488CF" w:rsidR="00E10B14" w:rsidRPr="00E10B14" w:rsidRDefault="00E10B14" w:rsidP="00E10B14">
      <w:pPr>
        <w:rPr>
          <w:rFonts w:ascii="Verdana" w:hAnsi="Verdana" w:cs="Tahoma"/>
          <w:sz w:val="26"/>
          <w:szCs w:val="26"/>
          <w:u w:val="single"/>
        </w:rPr>
      </w:pPr>
      <w:r w:rsidRPr="00E10B14">
        <w:rPr>
          <w:rFonts w:ascii="Verdana" w:hAnsi="Verdana" w:cs="Tahoma"/>
          <w:sz w:val="26"/>
          <w:szCs w:val="26"/>
          <w:u w:val="single"/>
        </w:rPr>
        <w:t>Insight 4 – Renewable Energy Adoption</w:t>
      </w:r>
      <w:r w:rsidR="009164EA">
        <w:rPr>
          <w:rFonts w:ascii="Verdana" w:hAnsi="Verdana" w:cs="Tahoma"/>
          <w:sz w:val="26"/>
          <w:szCs w:val="26"/>
          <w:u w:val="single"/>
        </w:rPr>
        <w:t>:</w:t>
      </w:r>
    </w:p>
    <w:p w14:paraId="59858E69" w14:textId="2C85B098" w:rsidR="009164EA" w:rsidRDefault="00E10B14" w:rsidP="00E10B14">
      <w:pPr>
        <w:rPr>
          <w:rFonts w:ascii="Tahoma" w:hAnsi="Tahoma" w:cs="Tahoma"/>
        </w:rPr>
      </w:pPr>
      <w:r w:rsidRPr="00E10B14">
        <w:rPr>
          <w:rFonts w:ascii="Tahoma" w:hAnsi="Tahoma" w:cs="Tahoma"/>
        </w:rPr>
        <w:t xml:space="preserve">Average renewable energy adoption shows a </w:t>
      </w:r>
      <w:r w:rsidRPr="00E10B14">
        <w:rPr>
          <w:rFonts w:ascii="Tahoma" w:hAnsi="Tahoma" w:cs="Tahoma"/>
          <w:b/>
          <w:bCs/>
        </w:rPr>
        <w:t>steady upward trend</w:t>
      </w:r>
      <w:r w:rsidRPr="00E10B14">
        <w:rPr>
          <w:rFonts w:ascii="Tahoma" w:hAnsi="Tahoma" w:cs="Tahoma"/>
        </w:rPr>
        <w:t xml:space="preserve">, increasing from approximately </w:t>
      </w:r>
      <w:r w:rsidRPr="00E10B14">
        <w:rPr>
          <w:rFonts w:ascii="Tahoma" w:hAnsi="Tahoma" w:cs="Tahoma"/>
          <w:b/>
          <w:bCs/>
        </w:rPr>
        <w:t>20% in 2000 to 45% in 2025</w:t>
      </w:r>
      <w:r w:rsidRPr="00E10B14">
        <w:rPr>
          <w:rFonts w:ascii="Tahoma" w:hAnsi="Tahoma" w:cs="Tahoma"/>
        </w:rPr>
        <w:t>.</w:t>
      </w:r>
    </w:p>
    <w:p w14:paraId="3735907C" w14:textId="77777777" w:rsidR="00254B72" w:rsidRPr="00E10B14" w:rsidRDefault="00254B72" w:rsidP="00E10B14">
      <w:pPr>
        <w:rPr>
          <w:rFonts w:ascii="Tahoma" w:hAnsi="Tahoma" w:cs="Tahoma"/>
        </w:rPr>
      </w:pPr>
    </w:p>
    <w:p w14:paraId="0697E0A1" w14:textId="5689BB49" w:rsidR="00E10B14" w:rsidRPr="00E10B14" w:rsidRDefault="00E10B14" w:rsidP="00E10B14">
      <w:pPr>
        <w:rPr>
          <w:rFonts w:ascii="Verdana" w:hAnsi="Verdana" w:cs="Tahoma"/>
          <w:sz w:val="26"/>
          <w:szCs w:val="26"/>
          <w:u w:val="single"/>
        </w:rPr>
      </w:pPr>
      <w:r w:rsidRPr="00E10B14">
        <w:rPr>
          <w:rFonts w:ascii="Verdana" w:hAnsi="Verdana" w:cs="Tahoma"/>
          <w:sz w:val="26"/>
          <w:szCs w:val="26"/>
          <w:u w:val="single"/>
        </w:rPr>
        <w:t>Insight 5 – Digital and Electricity Infrastructure</w:t>
      </w:r>
      <w:r w:rsidR="009164EA">
        <w:rPr>
          <w:rFonts w:ascii="Verdana" w:hAnsi="Verdana" w:cs="Tahoma"/>
          <w:sz w:val="26"/>
          <w:szCs w:val="26"/>
          <w:u w:val="single"/>
        </w:rPr>
        <w:t>:</w:t>
      </w:r>
    </w:p>
    <w:p w14:paraId="0B9127FB" w14:textId="77777777" w:rsidR="00E10B14" w:rsidRPr="00E10B14" w:rsidRDefault="00E10B14" w:rsidP="00E10B14">
      <w:pPr>
        <w:rPr>
          <w:rFonts w:ascii="Tahoma" w:hAnsi="Tahoma" w:cs="Tahoma"/>
        </w:rPr>
      </w:pPr>
      <w:r w:rsidRPr="00E10B14">
        <w:rPr>
          <w:rFonts w:ascii="Tahoma" w:hAnsi="Tahoma" w:cs="Tahoma"/>
        </w:rPr>
        <w:t xml:space="preserve">The dashboard shows a high average </w:t>
      </w:r>
      <w:r w:rsidRPr="00E10B14">
        <w:rPr>
          <w:rFonts w:ascii="Tahoma" w:hAnsi="Tahoma" w:cs="Tahoma"/>
          <w:b/>
          <w:bCs/>
        </w:rPr>
        <w:t>Internet Penetration of 87.17%</w:t>
      </w:r>
      <w:r w:rsidRPr="00E10B14">
        <w:rPr>
          <w:rFonts w:ascii="Tahoma" w:hAnsi="Tahoma" w:cs="Tahoma"/>
        </w:rPr>
        <w:t xml:space="preserve"> and average </w:t>
      </w:r>
      <w:r w:rsidRPr="00E10B14">
        <w:rPr>
          <w:rFonts w:ascii="Tahoma" w:hAnsi="Tahoma" w:cs="Tahoma"/>
          <w:b/>
          <w:bCs/>
        </w:rPr>
        <w:t>Electricity Access of 92.45%</w:t>
      </w:r>
      <w:r w:rsidRPr="00E10B14">
        <w:rPr>
          <w:rFonts w:ascii="Tahoma" w:hAnsi="Tahoma" w:cs="Tahoma"/>
        </w:rPr>
        <w:t>, indicating strong digital and electricity infrastructure across the dataset.</w:t>
      </w:r>
    </w:p>
    <w:p w14:paraId="3ABC0FCF" w14:textId="77777777" w:rsidR="00E10B14" w:rsidRDefault="00E10B14">
      <w:pPr>
        <w:rPr>
          <w:lang w:val="en-US"/>
        </w:rPr>
      </w:pPr>
    </w:p>
    <w:p w14:paraId="6A719ACD" w14:textId="77777777" w:rsidR="00E10B14" w:rsidRDefault="00E10B14">
      <w:pPr>
        <w:rPr>
          <w:lang w:val="en-US"/>
        </w:rPr>
      </w:pPr>
    </w:p>
    <w:p w14:paraId="303FC60E" w14:textId="77777777" w:rsidR="00254B72" w:rsidRPr="00254B72" w:rsidRDefault="00254B72" w:rsidP="00254B72">
      <w:pPr>
        <w:jc w:val="center"/>
        <w:rPr>
          <w:rFonts w:ascii="Georgia" w:hAnsi="Georgia"/>
          <w:color w:val="D86DCB" w:themeColor="accent5" w:themeTint="99"/>
          <w:sz w:val="36"/>
          <w:szCs w:val="36"/>
          <w:u w:val="thick"/>
        </w:rPr>
      </w:pPr>
      <w:r w:rsidRPr="00254B72">
        <w:rPr>
          <w:rFonts w:ascii="Georgia" w:hAnsi="Georgia"/>
          <w:color w:val="D86DCB" w:themeColor="accent5" w:themeTint="99"/>
          <w:sz w:val="36"/>
          <w:szCs w:val="36"/>
          <w:u w:val="thick"/>
        </w:rPr>
        <w:lastRenderedPageBreak/>
        <w:t>Business Recommendations</w:t>
      </w:r>
    </w:p>
    <w:p w14:paraId="3C68D196" w14:textId="77777777" w:rsidR="00254B72" w:rsidRPr="00254B72" w:rsidRDefault="00254B72" w:rsidP="00254B72">
      <w:pPr>
        <w:jc w:val="center"/>
        <w:rPr>
          <w:rFonts w:ascii="Georgia" w:hAnsi="Georgia"/>
          <w:color w:val="D86DCB" w:themeColor="accent5" w:themeTint="99"/>
          <w:sz w:val="36"/>
          <w:szCs w:val="36"/>
          <w:u w:val="single"/>
        </w:rPr>
      </w:pPr>
    </w:p>
    <w:p w14:paraId="199DDFF4" w14:textId="6E9E2701" w:rsidR="00254B72" w:rsidRPr="00254B72" w:rsidRDefault="00254B72" w:rsidP="00254B72">
      <w:pPr>
        <w:rPr>
          <w:rFonts w:ascii="Verdana" w:hAnsi="Verdana" w:cs="Tahoma"/>
          <w:sz w:val="26"/>
          <w:szCs w:val="26"/>
          <w:u w:val="single"/>
        </w:rPr>
      </w:pPr>
      <w:r w:rsidRPr="00254B72">
        <w:rPr>
          <w:rFonts w:ascii="Verdana" w:hAnsi="Verdana" w:cs="Tahoma"/>
          <w:sz w:val="26"/>
          <w:szCs w:val="26"/>
          <w:u w:val="single"/>
        </w:rPr>
        <w:t>Recommendation 1 – Focus on High-Adoption Regions</w:t>
      </w:r>
      <w:r>
        <w:rPr>
          <w:rFonts w:ascii="Verdana" w:hAnsi="Verdana" w:cs="Tahoma"/>
          <w:sz w:val="26"/>
          <w:szCs w:val="26"/>
          <w:u w:val="single"/>
        </w:rPr>
        <w:t>:</w:t>
      </w:r>
    </w:p>
    <w:p w14:paraId="58A55773" w14:textId="77777777" w:rsidR="00254B72" w:rsidRDefault="00254B72" w:rsidP="00254B72">
      <w:pPr>
        <w:rPr>
          <w:rFonts w:ascii="Tahoma" w:hAnsi="Tahoma" w:cs="Tahoma"/>
        </w:rPr>
      </w:pPr>
      <w:r w:rsidRPr="00254B72">
        <w:rPr>
          <w:rFonts w:ascii="Tahoma" w:hAnsi="Tahoma" w:cs="Tahoma"/>
        </w:rPr>
        <w:t xml:space="preserve">Businesses can prioritize </w:t>
      </w:r>
      <w:r w:rsidRPr="00254B72">
        <w:rPr>
          <w:rFonts w:ascii="Tahoma" w:hAnsi="Tahoma" w:cs="Tahoma"/>
          <w:b/>
          <w:bCs/>
        </w:rPr>
        <w:t>Asia and other high-adoption regions</w:t>
      </w:r>
      <w:r w:rsidRPr="00254B72">
        <w:rPr>
          <w:rFonts w:ascii="Tahoma" w:hAnsi="Tahoma" w:cs="Tahoma"/>
        </w:rPr>
        <w:t xml:space="preserve"> when evaluating opportunities for future data centre expansion.</w:t>
      </w:r>
    </w:p>
    <w:p w14:paraId="1E589CF1" w14:textId="77777777" w:rsidR="00254B72" w:rsidRDefault="00254B72" w:rsidP="00254B72">
      <w:pPr>
        <w:rPr>
          <w:rFonts w:ascii="Tahoma" w:hAnsi="Tahoma" w:cs="Tahoma"/>
        </w:rPr>
      </w:pPr>
    </w:p>
    <w:p w14:paraId="43DC40CF" w14:textId="77777777" w:rsidR="00254B72" w:rsidRDefault="00254B72" w:rsidP="00254B72">
      <w:pPr>
        <w:rPr>
          <w:rFonts w:ascii="Tahoma" w:hAnsi="Tahoma" w:cs="Tahoma"/>
        </w:rPr>
      </w:pPr>
    </w:p>
    <w:p w14:paraId="139FB1D0" w14:textId="77777777" w:rsidR="00254B72" w:rsidRPr="00254B72" w:rsidRDefault="00254B72" w:rsidP="00254B72">
      <w:pPr>
        <w:rPr>
          <w:rFonts w:ascii="Tahoma" w:hAnsi="Tahoma" w:cs="Tahoma"/>
        </w:rPr>
      </w:pPr>
    </w:p>
    <w:p w14:paraId="5A18BF60" w14:textId="4E895843" w:rsidR="00254B72" w:rsidRPr="00254B72" w:rsidRDefault="00254B72" w:rsidP="00254B72">
      <w:pPr>
        <w:rPr>
          <w:rFonts w:ascii="Verdana" w:hAnsi="Verdana" w:cs="Tahoma"/>
          <w:sz w:val="26"/>
          <w:szCs w:val="26"/>
          <w:u w:val="single"/>
        </w:rPr>
      </w:pPr>
      <w:r w:rsidRPr="00254B72">
        <w:rPr>
          <w:rFonts w:ascii="Verdana" w:hAnsi="Verdana" w:cs="Tahoma"/>
          <w:sz w:val="26"/>
          <w:szCs w:val="26"/>
          <w:u w:val="single"/>
        </w:rPr>
        <w:t>Recommendation 2 – Use Regional and City-Level Analysis</w:t>
      </w:r>
      <w:r>
        <w:rPr>
          <w:rFonts w:ascii="Verdana" w:hAnsi="Verdana" w:cs="Tahoma"/>
          <w:sz w:val="26"/>
          <w:szCs w:val="26"/>
          <w:u w:val="single"/>
        </w:rPr>
        <w:t>:</w:t>
      </w:r>
    </w:p>
    <w:p w14:paraId="0272B599" w14:textId="77777777" w:rsidR="00254B72" w:rsidRDefault="00254B72" w:rsidP="00254B72">
      <w:pPr>
        <w:rPr>
          <w:rFonts w:ascii="Tahoma" w:hAnsi="Tahoma" w:cs="Tahoma"/>
        </w:rPr>
      </w:pPr>
      <w:r w:rsidRPr="00254B72">
        <w:rPr>
          <w:rFonts w:ascii="Tahoma" w:hAnsi="Tahoma" w:cs="Tahoma"/>
        </w:rPr>
        <w:t xml:space="preserve">Organizations should use </w:t>
      </w:r>
      <w:r w:rsidRPr="00254B72">
        <w:rPr>
          <w:rFonts w:ascii="Tahoma" w:hAnsi="Tahoma" w:cs="Tahoma"/>
          <w:b/>
          <w:bCs/>
        </w:rPr>
        <w:t>region and city-level comparisons</w:t>
      </w:r>
      <w:r w:rsidRPr="00254B72">
        <w:rPr>
          <w:rFonts w:ascii="Tahoma" w:hAnsi="Tahoma" w:cs="Tahoma"/>
        </w:rPr>
        <w:t xml:space="preserve"> to identify suitable locations for future data centre investments.</w:t>
      </w:r>
    </w:p>
    <w:p w14:paraId="628A8DCB" w14:textId="77777777" w:rsidR="00254B72" w:rsidRDefault="00254B72" w:rsidP="00254B72">
      <w:pPr>
        <w:rPr>
          <w:rFonts w:ascii="Tahoma" w:hAnsi="Tahoma" w:cs="Tahoma"/>
        </w:rPr>
      </w:pPr>
    </w:p>
    <w:p w14:paraId="0F66C9C2" w14:textId="77777777" w:rsidR="00254B72" w:rsidRDefault="00254B72" w:rsidP="00254B72">
      <w:pPr>
        <w:rPr>
          <w:rFonts w:ascii="Tahoma" w:hAnsi="Tahoma" w:cs="Tahoma"/>
        </w:rPr>
      </w:pPr>
    </w:p>
    <w:p w14:paraId="3E748654" w14:textId="77777777" w:rsidR="00254B72" w:rsidRPr="00254B72" w:rsidRDefault="00254B72" w:rsidP="00254B72">
      <w:pPr>
        <w:rPr>
          <w:rFonts w:ascii="Tahoma" w:hAnsi="Tahoma" w:cs="Tahoma"/>
        </w:rPr>
      </w:pPr>
    </w:p>
    <w:p w14:paraId="05AD5B65" w14:textId="1A48B179" w:rsidR="00254B72" w:rsidRPr="00254B72" w:rsidRDefault="00254B72" w:rsidP="00254B72">
      <w:pPr>
        <w:rPr>
          <w:rFonts w:ascii="Verdana" w:hAnsi="Verdana" w:cs="Tahoma"/>
          <w:sz w:val="26"/>
          <w:szCs w:val="26"/>
          <w:u w:val="single"/>
        </w:rPr>
      </w:pPr>
      <w:r w:rsidRPr="00254B72">
        <w:rPr>
          <w:rFonts w:ascii="Verdana" w:hAnsi="Verdana" w:cs="Tahoma"/>
          <w:sz w:val="26"/>
          <w:szCs w:val="26"/>
          <w:u w:val="single"/>
        </w:rPr>
        <w:t>Recommendation 3 – Plan for Long-Term Growth</w:t>
      </w:r>
      <w:r>
        <w:rPr>
          <w:rFonts w:ascii="Verdana" w:hAnsi="Verdana" w:cs="Tahoma"/>
          <w:sz w:val="26"/>
          <w:szCs w:val="26"/>
          <w:u w:val="single"/>
        </w:rPr>
        <w:t>:</w:t>
      </w:r>
    </w:p>
    <w:p w14:paraId="6697D6A2" w14:textId="77777777" w:rsidR="00254B72" w:rsidRDefault="00254B72" w:rsidP="00254B72">
      <w:pPr>
        <w:rPr>
          <w:rFonts w:ascii="Tahoma" w:hAnsi="Tahoma" w:cs="Tahoma"/>
        </w:rPr>
      </w:pPr>
      <w:r w:rsidRPr="00254B72">
        <w:rPr>
          <w:rFonts w:ascii="Tahoma" w:hAnsi="Tahoma" w:cs="Tahoma"/>
        </w:rPr>
        <w:t xml:space="preserve">Since data centre adoption shows an overall increasing trend, businesses should plan </w:t>
      </w:r>
      <w:r w:rsidRPr="00254B72">
        <w:rPr>
          <w:rFonts w:ascii="Tahoma" w:hAnsi="Tahoma" w:cs="Tahoma"/>
          <w:b/>
          <w:bCs/>
        </w:rPr>
        <w:t>future capacity and infrastructure investments</w:t>
      </w:r>
      <w:r w:rsidRPr="00254B72">
        <w:rPr>
          <w:rFonts w:ascii="Tahoma" w:hAnsi="Tahoma" w:cs="Tahoma"/>
        </w:rPr>
        <w:t xml:space="preserve"> based on long-term growth.</w:t>
      </w:r>
    </w:p>
    <w:p w14:paraId="653053AF" w14:textId="77777777" w:rsidR="00254B72" w:rsidRDefault="00254B72" w:rsidP="00254B72">
      <w:pPr>
        <w:rPr>
          <w:rFonts w:ascii="Tahoma" w:hAnsi="Tahoma" w:cs="Tahoma"/>
        </w:rPr>
      </w:pPr>
    </w:p>
    <w:p w14:paraId="395B85B6" w14:textId="77777777" w:rsidR="00254B72" w:rsidRDefault="00254B72" w:rsidP="00254B72">
      <w:pPr>
        <w:rPr>
          <w:rFonts w:ascii="Tahoma" w:hAnsi="Tahoma" w:cs="Tahoma"/>
        </w:rPr>
      </w:pPr>
    </w:p>
    <w:p w14:paraId="567A9696" w14:textId="77777777" w:rsidR="00254B72" w:rsidRPr="00254B72" w:rsidRDefault="00254B72" w:rsidP="00254B72">
      <w:pPr>
        <w:rPr>
          <w:rFonts w:ascii="Tahoma" w:hAnsi="Tahoma" w:cs="Tahoma"/>
        </w:rPr>
      </w:pPr>
    </w:p>
    <w:p w14:paraId="6A11E460" w14:textId="35D671A5" w:rsidR="00254B72" w:rsidRPr="00254B72" w:rsidRDefault="00254B72" w:rsidP="00254B72">
      <w:pPr>
        <w:rPr>
          <w:rFonts w:ascii="Verdana" w:hAnsi="Verdana" w:cs="Tahoma"/>
          <w:sz w:val="26"/>
          <w:szCs w:val="26"/>
          <w:u w:val="single"/>
        </w:rPr>
      </w:pPr>
      <w:r w:rsidRPr="00254B72">
        <w:rPr>
          <w:rFonts w:ascii="Verdana" w:hAnsi="Verdana" w:cs="Tahoma"/>
          <w:sz w:val="26"/>
          <w:szCs w:val="26"/>
          <w:u w:val="single"/>
        </w:rPr>
        <w:t>Recommendation 4 – Increase Renewable Energy Usage</w:t>
      </w:r>
      <w:r>
        <w:rPr>
          <w:rFonts w:ascii="Verdana" w:hAnsi="Verdana" w:cs="Tahoma"/>
          <w:sz w:val="26"/>
          <w:szCs w:val="26"/>
          <w:u w:val="single"/>
        </w:rPr>
        <w:t>:</w:t>
      </w:r>
    </w:p>
    <w:p w14:paraId="4B731822" w14:textId="77777777" w:rsidR="00254B72" w:rsidRDefault="00254B72" w:rsidP="00254B72">
      <w:pPr>
        <w:rPr>
          <w:rFonts w:ascii="Tahoma" w:hAnsi="Tahoma" w:cs="Tahoma"/>
        </w:rPr>
      </w:pPr>
      <w:r w:rsidRPr="00254B72">
        <w:rPr>
          <w:rFonts w:ascii="Tahoma" w:hAnsi="Tahoma" w:cs="Tahoma"/>
        </w:rPr>
        <w:t xml:space="preserve">Data centre operators should increase the use of </w:t>
      </w:r>
      <w:r w:rsidRPr="00254B72">
        <w:rPr>
          <w:rFonts w:ascii="Tahoma" w:hAnsi="Tahoma" w:cs="Tahoma"/>
          <w:b/>
          <w:bCs/>
        </w:rPr>
        <w:t>renewable energy sources</w:t>
      </w:r>
      <w:r w:rsidRPr="00254B72">
        <w:rPr>
          <w:rFonts w:ascii="Tahoma" w:hAnsi="Tahoma" w:cs="Tahoma"/>
        </w:rPr>
        <w:t xml:space="preserve"> to support sustainable and environmentally responsible expansion.</w:t>
      </w:r>
    </w:p>
    <w:p w14:paraId="72D07A6B" w14:textId="77777777" w:rsidR="00254B72" w:rsidRDefault="00254B72" w:rsidP="00254B72">
      <w:pPr>
        <w:rPr>
          <w:rFonts w:ascii="Tahoma" w:hAnsi="Tahoma" w:cs="Tahoma"/>
        </w:rPr>
      </w:pPr>
    </w:p>
    <w:p w14:paraId="749999D4" w14:textId="77777777" w:rsidR="00254B72" w:rsidRDefault="00254B72" w:rsidP="00254B72">
      <w:pPr>
        <w:rPr>
          <w:rFonts w:ascii="Tahoma" w:hAnsi="Tahoma" w:cs="Tahoma"/>
        </w:rPr>
      </w:pPr>
    </w:p>
    <w:p w14:paraId="586C0864" w14:textId="77777777" w:rsidR="00254B72" w:rsidRPr="00254B72" w:rsidRDefault="00254B72" w:rsidP="00254B72">
      <w:pPr>
        <w:rPr>
          <w:rFonts w:ascii="Tahoma" w:hAnsi="Tahoma" w:cs="Tahoma"/>
        </w:rPr>
      </w:pPr>
    </w:p>
    <w:p w14:paraId="1971A15A" w14:textId="77777777" w:rsidR="00254B72" w:rsidRPr="00254B72" w:rsidRDefault="00254B72" w:rsidP="00254B72">
      <w:pPr>
        <w:rPr>
          <w:rFonts w:ascii="Verdana" w:hAnsi="Verdana" w:cs="Tahoma"/>
          <w:sz w:val="26"/>
          <w:szCs w:val="26"/>
          <w:u w:val="single"/>
        </w:rPr>
      </w:pPr>
      <w:r w:rsidRPr="00254B72">
        <w:rPr>
          <w:rFonts w:ascii="Verdana" w:hAnsi="Verdana" w:cs="Tahoma"/>
          <w:sz w:val="26"/>
          <w:szCs w:val="26"/>
          <w:u w:val="single"/>
        </w:rPr>
        <w:t>Recommendation 5 – Strengthen Digital and Power Infrastructure</w:t>
      </w:r>
    </w:p>
    <w:p w14:paraId="3747BABC" w14:textId="77777777" w:rsidR="00254B72" w:rsidRPr="00254B72" w:rsidRDefault="00254B72" w:rsidP="00254B72">
      <w:pPr>
        <w:rPr>
          <w:rFonts w:ascii="Tahoma" w:hAnsi="Tahoma" w:cs="Tahoma"/>
        </w:rPr>
      </w:pPr>
      <w:r w:rsidRPr="00254B72">
        <w:rPr>
          <w:rFonts w:ascii="Tahoma" w:hAnsi="Tahoma" w:cs="Tahoma"/>
        </w:rPr>
        <w:t xml:space="preserve">Regions planning for data centre expansion should maintain strong </w:t>
      </w:r>
      <w:r w:rsidRPr="00254B72">
        <w:rPr>
          <w:rFonts w:ascii="Tahoma" w:hAnsi="Tahoma" w:cs="Tahoma"/>
          <w:b/>
          <w:bCs/>
        </w:rPr>
        <w:t>internet connectivity and electricity infrastructure</w:t>
      </w:r>
      <w:r w:rsidRPr="00254B72">
        <w:rPr>
          <w:rFonts w:ascii="Tahoma" w:hAnsi="Tahoma" w:cs="Tahoma"/>
        </w:rPr>
        <w:t xml:space="preserve"> to support reliable operations.</w:t>
      </w:r>
    </w:p>
    <w:p w14:paraId="3B37B53C" w14:textId="77777777" w:rsidR="00254B72" w:rsidRDefault="00254B72" w:rsidP="00254B72">
      <w:pPr>
        <w:jc w:val="center"/>
        <w:rPr>
          <w:rFonts w:ascii="Georgia" w:hAnsi="Georgia"/>
          <w:color w:val="47D459" w:themeColor="accent3" w:themeTint="99"/>
          <w:sz w:val="36"/>
          <w:szCs w:val="36"/>
          <w:u w:val="thick"/>
        </w:rPr>
      </w:pPr>
      <w:r w:rsidRPr="00254B72">
        <w:rPr>
          <w:rFonts w:ascii="Georgia" w:hAnsi="Georgia"/>
          <w:color w:val="47D459" w:themeColor="accent3" w:themeTint="99"/>
          <w:sz w:val="36"/>
          <w:szCs w:val="36"/>
          <w:u w:val="thick"/>
        </w:rPr>
        <w:lastRenderedPageBreak/>
        <w:t>Dataset Limitations</w:t>
      </w:r>
    </w:p>
    <w:p w14:paraId="57956E1F" w14:textId="77777777" w:rsidR="00254B72" w:rsidRPr="00254B72" w:rsidRDefault="00254B72" w:rsidP="00254B72">
      <w:pPr>
        <w:jc w:val="center"/>
        <w:rPr>
          <w:rFonts w:ascii="Georgia" w:hAnsi="Georgia"/>
          <w:color w:val="47D459" w:themeColor="accent3" w:themeTint="99"/>
          <w:sz w:val="36"/>
          <w:szCs w:val="36"/>
          <w:u w:val="thick"/>
        </w:rPr>
      </w:pPr>
    </w:p>
    <w:p w14:paraId="633085AD" w14:textId="77777777" w:rsidR="00254B72" w:rsidRDefault="00254B72" w:rsidP="00254B72">
      <w:pPr>
        <w:numPr>
          <w:ilvl w:val="0"/>
          <w:numId w:val="1"/>
        </w:numPr>
        <w:rPr>
          <w:rFonts w:ascii="Tahoma" w:hAnsi="Tahoma" w:cs="Tahoma"/>
        </w:rPr>
      </w:pPr>
      <w:r w:rsidRPr="00254B72">
        <w:rPr>
          <w:rFonts w:ascii="Tahoma" w:hAnsi="Tahoma" w:cs="Tahoma"/>
        </w:rPr>
        <w:t xml:space="preserve">The dataset contains </w:t>
      </w:r>
      <w:r w:rsidRPr="00254B72">
        <w:rPr>
          <w:rFonts w:ascii="Tahoma" w:hAnsi="Tahoma" w:cs="Tahoma"/>
          <w:b/>
          <w:bCs/>
        </w:rPr>
        <w:t>20,000 records</w:t>
      </w:r>
      <w:r w:rsidRPr="00254B72">
        <w:rPr>
          <w:rFonts w:ascii="Tahoma" w:hAnsi="Tahoma" w:cs="Tahoma"/>
        </w:rPr>
        <w:t xml:space="preserve"> and may not represent the complete global data centre population. </w:t>
      </w:r>
    </w:p>
    <w:p w14:paraId="076986B7" w14:textId="77777777" w:rsidR="00254B72" w:rsidRPr="00254B72" w:rsidRDefault="00254B72" w:rsidP="00DA1E85">
      <w:pPr>
        <w:ind w:left="720"/>
        <w:rPr>
          <w:rFonts w:ascii="Tahoma" w:hAnsi="Tahoma" w:cs="Tahoma"/>
        </w:rPr>
      </w:pPr>
    </w:p>
    <w:p w14:paraId="5785379B" w14:textId="77777777" w:rsidR="00254B72" w:rsidRDefault="00254B72" w:rsidP="00254B72">
      <w:pPr>
        <w:numPr>
          <w:ilvl w:val="0"/>
          <w:numId w:val="1"/>
        </w:numPr>
        <w:rPr>
          <w:rFonts w:ascii="Tahoma" w:hAnsi="Tahoma" w:cs="Tahoma"/>
        </w:rPr>
      </w:pPr>
      <w:r w:rsidRPr="00254B72">
        <w:rPr>
          <w:rFonts w:ascii="Tahoma" w:hAnsi="Tahoma" w:cs="Tahoma"/>
        </w:rPr>
        <w:t xml:space="preserve">The analysis is limited to the </w:t>
      </w:r>
      <w:r w:rsidRPr="00254B72">
        <w:rPr>
          <w:rFonts w:ascii="Tahoma" w:hAnsi="Tahoma" w:cs="Tahoma"/>
          <w:b/>
          <w:bCs/>
        </w:rPr>
        <w:t>variables available in the dataset</w:t>
      </w:r>
      <w:r w:rsidRPr="00254B72">
        <w:rPr>
          <w:rFonts w:ascii="Tahoma" w:hAnsi="Tahoma" w:cs="Tahoma"/>
        </w:rPr>
        <w:t xml:space="preserve">. </w:t>
      </w:r>
    </w:p>
    <w:p w14:paraId="0FBD3F47" w14:textId="77777777" w:rsidR="00DA1E85" w:rsidRPr="00254B72" w:rsidRDefault="00DA1E85" w:rsidP="00DA1E85">
      <w:pPr>
        <w:rPr>
          <w:rFonts w:ascii="Tahoma" w:hAnsi="Tahoma" w:cs="Tahoma"/>
        </w:rPr>
      </w:pPr>
    </w:p>
    <w:p w14:paraId="3718B700" w14:textId="77777777" w:rsidR="00DA1E85" w:rsidRDefault="00254B72" w:rsidP="00254B72">
      <w:pPr>
        <w:numPr>
          <w:ilvl w:val="0"/>
          <w:numId w:val="1"/>
        </w:numPr>
        <w:rPr>
          <w:rFonts w:ascii="Tahoma" w:hAnsi="Tahoma" w:cs="Tahoma"/>
        </w:rPr>
      </w:pPr>
      <w:r w:rsidRPr="00254B72">
        <w:rPr>
          <w:rFonts w:ascii="Tahoma" w:hAnsi="Tahoma" w:cs="Tahoma"/>
        </w:rPr>
        <w:t xml:space="preserve">Observed relationships or correlations do not necessarily imply </w:t>
      </w:r>
      <w:r w:rsidRPr="00254B72">
        <w:rPr>
          <w:rFonts w:ascii="Tahoma" w:hAnsi="Tahoma" w:cs="Tahoma"/>
          <w:b/>
          <w:bCs/>
        </w:rPr>
        <w:t>causation</w:t>
      </w:r>
      <w:r w:rsidRPr="00254B72">
        <w:rPr>
          <w:rFonts w:ascii="Tahoma" w:hAnsi="Tahoma" w:cs="Tahoma"/>
        </w:rPr>
        <w:t>.</w:t>
      </w:r>
    </w:p>
    <w:p w14:paraId="2CB31585" w14:textId="5E859C49" w:rsidR="00254B72" w:rsidRPr="00254B72" w:rsidRDefault="00254B72" w:rsidP="00DA1E85">
      <w:pPr>
        <w:rPr>
          <w:rFonts w:ascii="Tahoma" w:hAnsi="Tahoma" w:cs="Tahoma"/>
        </w:rPr>
      </w:pPr>
      <w:r w:rsidRPr="00254B72">
        <w:rPr>
          <w:rFonts w:ascii="Tahoma" w:hAnsi="Tahoma" w:cs="Tahoma"/>
        </w:rPr>
        <w:t xml:space="preserve"> </w:t>
      </w:r>
    </w:p>
    <w:p w14:paraId="6D4D4B7B" w14:textId="3EED3E1F" w:rsidR="00254B72" w:rsidRDefault="00254B72" w:rsidP="00254B72">
      <w:pPr>
        <w:numPr>
          <w:ilvl w:val="0"/>
          <w:numId w:val="1"/>
        </w:numPr>
        <w:rPr>
          <w:rFonts w:ascii="Tahoma" w:hAnsi="Tahoma" w:cs="Tahoma"/>
        </w:rPr>
      </w:pPr>
      <w:r w:rsidRPr="00254B72">
        <w:rPr>
          <w:rFonts w:ascii="Tahoma" w:hAnsi="Tahoma" w:cs="Tahoma"/>
        </w:rPr>
        <w:t xml:space="preserve">Regional and city-level comparisons may be affected by differences in </w:t>
      </w:r>
      <w:r w:rsidRPr="00254B72">
        <w:rPr>
          <w:rFonts w:ascii="Tahoma" w:hAnsi="Tahoma" w:cs="Tahoma"/>
          <w:b/>
          <w:bCs/>
        </w:rPr>
        <w:t>data availability and infrastructure</w:t>
      </w:r>
      <w:r w:rsidRPr="00254B72">
        <w:rPr>
          <w:rFonts w:ascii="Tahoma" w:hAnsi="Tahoma" w:cs="Tahoma"/>
        </w:rPr>
        <w:t>.</w:t>
      </w:r>
    </w:p>
    <w:p w14:paraId="5A5747DB" w14:textId="77777777" w:rsidR="00DA1E85" w:rsidRPr="00254B72" w:rsidRDefault="00DA1E85" w:rsidP="00DA1E85">
      <w:pPr>
        <w:rPr>
          <w:rFonts w:ascii="Tahoma" w:hAnsi="Tahoma" w:cs="Tahoma"/>
        </w:rPr>
      </w:pPr>
    </w:p>
    <w:p w14:paraId="4955A86A" w14:textId="77777777" w:rsidR="00254B72" w:rsidRDefault="00254B72" w:rsidP="00254B72">
      <w:pPr>
        <w:numPr>
          <w:ilvl w:val="0"/>
          <w:numId w:val="1"/>
        </w:numPr>
        <w:rPr>
          <w:rFonts w:ascii="Tahoma" w:hAnsi="Tahoma" w:cs="Tahoma"/>
        </w:rPr>
      </w:pPr>
      <w:r w:rsidRPr="00254B72">
        <w:rPr>
          <w:rFonts w:ascii="Tahoma" w:hAnsi="Tahoma" w:cs="Tahoma"/>
        </w:rPr>
        <w:t xml:space="preserve">External factors such as </w:t>
      </w:r>
      <w:r w:rsidRPr="00254B72">
        <w:rPr>
          <w:rFonts w:ascii="Tahoma" w:hAnsi="Tahoma" w:cs="Tahoma"/>
          <w:b/>
          <w:bCs/>
        </w:rPr>
        <w:t>government policies, investments, market conditions, and technology changes</w:t>
      </w:r>
      <w:r w:rsidRPr="00254B72">
        <w:rPr>
          <w:rFonts w:ascii="Tahoma" w:hAnsi="Tahoma" w:cs="Tahoma"/>
        </w:rPr>
        <w:t xml:space="preserve"> are not fully included. </w:t>
      </w:r>
    </w:p>
    <w:p w14:paraId="506C9DA9" w14:textId="77777777" w:rsidR="00DA1E85" w:rsidRPr="00254B72" w:rsidRDefault="00DA1E85" w:rsidP="00DA1E85">
      <w:pPr>
        <w:rPr>
          <w:rFonts w:ascii="Tahoma" w:hAnsi="Tahoma" w:cs="Tahoma"/>
        </w:rPr>
      </w:pPr>
    </w:p>
    <w:p w14:paraId="762AD8B9" w14:textId="77777777" w:rsidR="00254B72" w:rsidRPr="00254B72" w:rsidRDefault="00254B72" w:rsidP="00254B72">
      <w:pPr>
        <w:numPr>
          <w:ilvl w:val="0"/>
          <w:numId w:val="1"/>
        </w:numPr>
        <w:rPr>
          <w:rFonts w:ascii="Tahoma" w:hAnsi="Tahoma" w:cs="Tahoma"/>
        </w:rPr>
      </w:pPr>
      <w:r w:rsidRPr="00254B72">
        <w:rPr>
          <w:rFonts w:ascii="Tahoma" w:hAnsi="Tahoma" w:cs="Tahoma"/>
        </w:rPr>
        <w:t xml:space="preserve">The dataset covers the period from </w:t>
      </w:r>
      <w:r w:rsidRPr="00254B72">
        <w:rPr>
          <w:rFonts w:ascii="Tahoma" w:hAnsi="Tahoma" w:cs="Tahoma"/>
          <w:b/>
          <w:bCs/>
        </w:rPr>
        <w:t>2000 to 2025</w:t>
      </w:r>
      <w:r w:rsidRPr="00254B72">
        <w:rPr>
          <w:rFonts w:ascii="Tahoma" w:hAnsi="Tahoma" w:cs="Tahoma"/>
        </w:rPr>
        <w:t>, so developments beyond 2025 are not represented.</w:t>
      </w:r>
    </w:p>
    <w:p w14:paraId="3FDB2FC1" w14:textId="77777777" w:rsidR="00E10B14" w:rsidRDefault="00E10B14">
      <w:pPr>
        <w:rPr>
          <w:lang w:val="en-US"/>
        </w:rPr>
      </w:pPr>
    </w:p>
    <w:p w14:paraId="3E155959" w14:textId="77777777" w:rsidR="00E10B14" w:rsidRDefault="00E10B14">
      <w:pPr>
        <w:rPr>
          <w:lang w:val="en-US"/>
        </w:rPr>
      </w:pPr>
    </w:p>
    <w:p w14:paraId="3EA1E0FE" w14:textId="77777777" w:rsidR="00E10B14" w:rsidRDefault="00E10B14">
      <w:pPr>
        <w:rPr>
          <w:lang w:val="en-US"/>
        </w:rPr>
      </w:pPr>
    </w:p>
    <w:p w14:paraId="5FBCE771" w14:textId="3A82DB8A" w:rsidR="00DA1E85" w:rsidRDefault="00DA1E85" w:rsidP="00DA1E85">
      <w:pPr>
        <w:jc w:val="center"/>
        <w:rPr>
          <w:rFonts w:ascii="Georgia" w:hAnsi="Georgia"/>
          <w:color w:val="D86DCB" w:themeColor="accent5" w:themeTint="99"/>
          <w:sz w:val="36"/>
          <w:szCs w:val="36"/>
          <w:u w:val="thick"/>
        </w:rPr>
      </w:pPr>
      <w:r w:rsidRPr="00DA1E85">
        <w:rPr>
          <w:rFonts w:ascii="Georgia" w:hAnsi="Georgia"/>
          <w:color w:val="D86DCB" w:themeColor="accent5" w:themeTint="99"/>
          <w:sz w:val="36"/>
          <w:szCs w:val="36"/>
          <w:u w:val="thick"/>
        </w:rPr>
        <w:t>Data Cleaning Log</w:t>
      </w:r>
    </w:p>
    <w:p w14:paraId="27B377B5" w14:textId="77777777" w:rsidR="00DA1E85" w:rsidRPr="00DA1E85" w:rsidRDefault="00DA1E85" w:rsidP="00DA1E85">
      <w:pPr>
        <w:jc w:val="center"/>
        <w:rPr>
          <w:rFonts w:ascii="Georgia" w:hAnsi="Georgia"/>
          <w:color w:val="D86DCB" w:themeColor="accent5" w:themeTint="99"/>
          <w:sz w:val="36"/>
          <w:szCs w:val="36"/>
          <w:u w:val="thick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977"/>
        <w:gridCol w:w="2409"/>
        <w:gridCol w:w="1116"/>
      </w:tblGrid>
      <w:tr w:rsidR="00DA1E85" w:rsidRPr="00DA1E85" w14:paraId="4278034B" w14:textId="77777777" w:rsidTr="00DA1E85">
        <w:trPr>
          <w:gridBefore w:val="1"/>
          <w:wBefore w:w="1373" w:type="dxa"/>
          <w:trHeight w:val="1094"/>
          <w:tblHeader/>
          <w:tblCellSpacing w:w="15" w:type="dxa"/>
        </w:trPr>
        <w:tc>
          <w:tcPr>
            <w:tcW w:w="2947" w:type="dxa"/>
            <w:vAlign w:val="center"/>
            <w:hideMark/>
          </w:tcPr>
          <w:p w14:paraId="6D07C160" w14:textId="35C73F2A" w:rsidR="00DA1E85" w:rsidRPr="00DA1E85" w:rsidRDefault="00DA1E85" w:rsidP="00DA1E85">
            <w:pPr>
              <w:rPr>
                <w:rFonts w:ascii="Tahoma" w:hAnsi="Tahoma" w:cs="Tahoma"/>
                <w:b/>
                <w:bCs/>
                <w:u w:val="single"/>
              </w:rPr>
            </w:pPr>
            <w:r w:rsidRPr="00DA1E85">
              <w:rPr>
                <w:rFonts w:ascii="Tahoma" w:hAnsi="Tahoma" w:cs="Tahoma"/>
                <w:b/>
                <w:bCs/>
                <w:u w:val="single"/>
              </w:rPr>
              <w:t>Stage</w:t>
            </w:r>
          </w:p>
        </w:tc>
        <w:tc>
          <w:tcPr>
            <w:tcW w:w="2379" w:type="dxa"/>
            <w:vAlign w:val="center"/>
            <w:hideMark/>
          </w:tcPr>
          <w:p w14:paraId="5D926C38" w14:textId="0592B497" w:rsidR="00DA1E85" w:rsidRPr="00DA1E85" w:rsidRDefault="00DA1E85" w:rsidP="00DA1E85">
            <w:pPr>
              <w:rPr>
                <w:rFonts w:ascii="Tahoma" w:hAnsi="Tahoma" w:cs="Tahoma"/>
                <w:b/>
                <w:bCs/>
                <w:u w:val="single"/>
              </w:rPr>
            </w:pPr>
            <w:r w:rsidRPr="00DA1E85">
              <w:rPr>
                <w:rFonts w:ascii="Tahoma" w:hAnsi="Tahoma" w:cs="Tahoma"/>
                <w:b/>
                <w:bCs/>
                <w:u w:val="single"/>
              </w:rPr>
              <w:t>Rows</w:t>
            </w:r>
          </w:p>
        </w:tc>
        <w:tc>
          <w:tcPr>
            <w:tcW w:w="1071" w:type="dxa"/>
            <w:vAlign w:val="center"/>
            <w:hideMark/>
          </w:tcPr>
          <w:p w14:paraId="554E935C" w14:textId="3012EB35" w:rsidR="00DA1E85" w:rsidRPr="00DA1E85" w:rsidRDefault="00DA1E85" w:rsidP="00DA1E85">
            <w:pPr>
              <w:rPr>
                <w:rFonts w:ascii="Tahoma" w:hAnsi="Tahoma" w:cs="Tahoma"/>
                <w:b/>
                <w:bCs/>
                <w:u w:val="single"/>
              </w:rPr>
            </w:pPr>
            <w:r w:rsidRPr="00DA1E85">
              <w:rPr>
                <w:rFonts w:ascii="Tahoma" w:hAnsi="Tahoma" w:cs="Tahoma"/>
                <w:b/>
                <w:bCs/>
                <w:u w:val="single"/>
              </w:rPr>
              <w:t>Columns</w:t>
            </w:r>
          </w:p>
        </w:tc>
      </w:tr>
      <w:tr w:rsidR="00DA1E85" w:rsidRPr="00DA1E85" w14:paraId="79E76714" w14:textId="77777777" w:rsidTr="00DA1E85">
        <w:trPr>
          <w:trHeight w:val="539"/>
          <w:tblCellSpacing w:w="15" w:type="dxa"/>
        </w:trPr>
        <w:tc>
          <w:tcPr>
            <w:tcW w:w="4350" w:type="dxa"/>
            <w:gridSpan w:val="2"/>
            <w:vAlign w:val="center"/>
            <w:hideMark/>
          </w:tcPr>
          <w:p w14:paraId="11232A0B" w14:textId="58663D61" w:rsidR="00DA1E85" w:rsidRPr="00DA1E85" w:rsidRDefault="00DA1E85" w:rsidP="00DA1E85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</w:t>
            </w:r>
            <w:r w:rsidRPr="00DA1E85">
              <w:rPr>
                <w:rFonts w:ascii="Tahoma" w:hAnsi="Tahoma" w:cs="Tahoma"/>
              </w:rPr>
              <w:t>Before Cleaning</w:t>
            </w:r>
          </w:p>
        </w:tc>
        <w:tc>
          <w:tcPr>
            <w:tcW w:w="2379" w:type="dxa"/>
            <w:vAlign w:val="center"/>
            <w:hideMark/>
          </w:tcPr>
          <w:p w14:paraId="0D109AA7" w14:textId="77777777" w:rsidR="00DA1E85" w:rsidRPr="00DA1E85" w:rsidRDefault="00DA1E85" w:rsidP="00DA1E85">
            <w:pPr>
              <w:rPr>
                <w:rFonts w:ascii="Tahoma" w:hAnsi="Tahoma" w:cs="Tahoma"/>
              </w:rPr>
            </w:pPr>
            <w:r w:rsidRPr="00DA1E85">
              <w:rPr>
                <w:rFonts w:ascii="Tahoma" w:hAnsi="Tahoma" w:cs="Tahoma"/>
              </w:rPr>
              <w:t>20,000</w:t>
            </w:r>
          </w:p>
        </w:tc>
        <w:tc>
          <w:tcPr>
            <w:tcW w:w="1071" w:type="dxa"/>
            <w:vAlign w:val="center"/>
            <w:hideMark/>
          </w:tcPr>
          <w:p w14:paraId="5109A40D" w14:textId="77777777" w:rsidR="00DA1E85" w:rsidRPr="00DA1E85" w:rsidRDefault="00DA1E85" w:rsidP="00DA1E85">
            <w:pPr>
              <w:rPr>
                <w:rFonts w:ascii="Tahoma" w:hAnsi="Tahoma" w:cs="Tahoma"/>
              </w:rPr>
            </w:pPr>
            <w:r w:rsidRPr="00DA1E85">
              <w:rPr>
                <w:rFonts w:ascii="Tahoma" w:hAnsi="Tahoma" w:cs="Tahoma"/>
              </w:rPr>
              <w:t>15</w:t>
            </w:r>
          </w:p>
        </w:tc>
      </w:tr>
      <w:tr w:rsidR="00DA1E85" w:rsidRPr="00DA1E85" w14:paraId="4703AF41" w14:textId="77777777" w:rsidTr="00DA1E85">
        <w:trPr>
          <w:trHeight w:val="539"/>
          <w:tblCellSpacing w:w="15" w:type="dxa"/>
        </w:trPr>
        <w:tc>
          <w:tcPr>
            <w:tcW w:w="4350" w:type="dxa"/>
            <w:gridSpan w:val="2"/>
            <w:vAlign w:val="center"/>
            <w:hideMark/>
          </w:tcPr>
          <w:p w14:paraId="3D6A5ABC" w14:textId="6BDB433C" w:rsidR="00DA1E85" w:rsidRPr="00DA1E85" w:rsidRDefault="00DA1E85" w:rsidP="00DA1E85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</w:t>
            </w:r>
            <w:r w:rsidRPr="00DA1E85">
              <w:rPr>
                <w:rFonts w:ascii="Tahoma" w:hAnsi="Tahoma" w:cs="Tahoma"/>
              </w:rPr>
              <w:t>After Cleaning</w:t>
            </w:r>
          </w:p>
        </w:tc>
        <w:tc>
          <w:tcPr>
            <w:tcW w:w="2379" w:type="dxa"/>
            <w:vAlign w:val="center"/>
            <w:hideMark/>
          </w:tcPr>
          <w:p w14:paraId="3427AA80" w14:textId="77777777" w:rsidR="00DA1E85" w:rsidRPr="00DA1E85" w:rsidRDefault="00DA1E85" w:rsidP="00DA1E85">
            <w:pPr>
              <w:rPr>
                <w:rFonts w:ascii="Tahoma" w:hAnsi="Tahoma" w:cs="Tahoma"/>
              </w:rPr>
            </w:pPr>
            <w:r w:rsidRPr="00DA1E85">
              <w:rPr>
                <w:rFonts w:ascii="Tahoma" w:hAnsi="Tahoma" w:cs="Tahoma"/>
              </w:rPr>
              <w:t>20,000</w:t>
            </w:r>
          </w:p>
        </w:tc>
        <w:tc>
          <w:tcPr>
            <w:tcW w:w="1071" w:type="dxa"/>
            <w:vAlign w:val="center"/>
            <w:hideMark/>
          </w:tcPr>
          <w:p w14:paraId="70C4BFEC" w14:textId="77777777" w:rsidR="00DA1E85" w:rsidRPr="00DA1E85" w:rsidRDefault="00DA1E85" w:rsidP="00DA1E85">
            <w:pPr>
              <w:rPr>
                <w:rFonts w:ascii="Tahoma" w:hAnsi="Tahoma" w:cs="Tahoma"/>
              </w:rPr>
            </w:pPr>
            <w:r w:rsidRPr="00DA1E85">
              <w:rPr>
                <w:rFonts w:ascii="Tahoma" w:hAnsi="Tahoma" w:cs="Tahoma"/>
              </w:rPr>
              <w:t>15</w:t>
            </w:r>
          </w:p>
        </w:tc>
      </w:tr>
    </w:tbl>
    <w:p w14:paraId="1A95DA55" w14:textId="7BD54EE6" w:rsidR="00B00D45" w:rsidRDefault="00B00D45">
      <w:pPr>
        <w:rPr>
          <w:rFonts w:ascii="Tahoma" w:hAnsi="Tahoma" w:cs="Tahoma"/>
          <w:lang w:val="en-US"/>
        </w:rPr>
      </w:pPr>
    </w:p>
    <w:tbl>
      <w:tblPr>
        <w:tblW w:w="9179" w:type="dxa"/>
        <w:tblCellSpacing w:w="15" w:type="dxa"/>
        <w:tblInd w:w="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4643"/>
      </w:tblGrid>
      <w:tr w:rsidR="009768BB" w:rsidRPr="00B00D45" w14:paraId="42FC5143" w14:textId="77777777" w:rsidTr="009768BB">
        <w:trPr>
          <w:trHeight w:val="1078"/>
          <w:tblHeader/>
          <w:tblCellSpacing w:w="15" w:type="dxa"/>
        </w:trPr>
        <w:tc>
          <w:tcPr>
            <w:tcW w:w="4491" w:type="dxa"/>
            <w:vAlign w:val="center"/>
            <w:hideMark/>
          </w:tcPr>
          <w:p w14:paraId="01E59FA9" w14:textId="77777777" w:rsidR="00B00D45" w:rsidRPr="00B00D45" w:rsidRDefault="00B00D45" w:rsidP="00B00D45">
            <w:pPr>
              <w:rPr>
                <w:rFonts w:ascii="Georgia" w:hAnsi="Georgia" w:cs="Tahoma"/>
                <w:color w:val="EE0000"/>
                <w:sz w:val="36"/>
                <w:szCs w:val="36"/>
                <w:u w:val="thick"/>
              </w:rPr>
            </w:pPr>
            <w:r w:rsidRPr="00B00D45">
              <w:rPr>
                <w:rFonts w:ascii="Georgia" w:hAnsi="Georgia" w:cs="Tahoma"/>
                <w:color w:val="EE0000"/>
                <w:sz w:val="36"/>
                <w:szCs w:val="36"/>
                <w:u w:val="thick"/>
              </w:rPr>
              <w:lastRenderedPageBreak/>
              <w:t>Cleaning Activity</w:t>
            </w:r>
          </w:p>
        </w:tc>
        <w:tc>
          <w:tcPr>
            <w:tcW w:w="4598" w:type="dxa"/>
            <w:vAlign w:val="center"/>
            <w:hideMark/>
          </w:tcPr>
          <w:p w14:paraId="612AD362" w14:textId="77777777" w:rsidR="00B00D45" w:rsidRPr="00B00D45" w:rsidRDefault="00B00D45" w:rsidP="00B00D45">
            <w:pPr>
              <w:rPr>
                <w:rFonts w:ascii="Georgia" w:hAnsi="Georgia" w:cs="Tahoma"/>
                <w:color w:val="EE0000"/>
                <w:sz w:val="36"/>
                <w:szCs w:val="36"/>
                <w:u w:val="thick"/>
              </w:rPr>
            </w:pPr>
            <w:r w:rsidRPr="00B00D45">
              <w:rPr>
                <w:rFonts w:ascii="Georgia" w:hAnsi="Georgia" w:cs="Tahoma"/>
                <w:color w:val="EE0000"/>
                <w:sz w:val="36"/>
                <w:szCs w:val="36"/>
                <w:u w:val="thick"/>
              </w:rPr>
              <w:t>Action Taken</w:t>
            </w:r>
          </w:p>
        </w:tc>
      </w:tr>
      <w:tr w:rsidR="009768BB" w:rsidRPr="00B00D45" w14:paraId="4717AB0D" w14:textId="77777777" w:rsidTr="009768BB">
        <w:trPr>
          <w:trHeight w:val="1438"/>
          <w:tblCellSpacing w:w="15" w:type="dxa"/>
        </w:trPr>
        <w:tc>
          <w:tcPr>
            <w:tcW w:w="4491" w:type="dxa"/>
            <w:vAlign w:val="center"/>
            <w:hideMark/>
          </w:tcPr>
          <w:p w14:paraId="64C64F14" w14:textId="77777777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  <w:r w:rsidRPr="00B00D45">
              <w:rPr>
                <w:rFonts w:ascii="Tahoma" w:hAnsi="Tahoma" w:cs="Tahoma"/>
                <w:b/>
                <w:bCs/>
              </w:rPr>
              <w:t>Missing Values</w:t>
            </w:r>
          </w:p>
        </w:tc>
        <w:tc>
          <w:tcPr>
            <w:tcW w:w="4598" w:type="dxa"/>
            <w:vAlign w:val="center"/>
            <w:hideMark/>
          </w:tcPr>
          <w:p w14:paraId="26D4A701" w14:textId="77777777" w:rsidR="00B00D45" w:rsidRPr="00B00D45" w:rsidRDefault="00B00D45" w:rsidP="00B00D45">
            <w:pPr>
              <w:rPr>
                <w:rFonts w:ascii="Tahoma" w:hAnsi="Tahoma" w:cs="Tahoma"/>
              </w:rPr>
            </w:pPr>
            <w:r w:rsidRPr="00B00D45">
              <w:rPr>
                <w:rFonts w:ascii="Tahoma" w:hAnsi="Tahoma" w:cs="Tahoma"/>
              </w:rPr>
              <w:t>Checked and confirmed that no missing/null values were present.</w:t>
            </w:r>
          </w:p>
        </w:tc>
      </w:tr>
      <w:tr w:rsidR="009768BB" w:rsidRPr="00B00D45" w14:paraId="3CA79349" w14:textId="77777777" w:rsidTr="009768BB">
        <w:trPr>
          <w:trHeight w:val="1412"/>
          <w:tblCellSpacing w:w="15" w:type="dxa"/>
        </w:trPr>
        <w:tc>
          <w:tcPr>
            <w:tcW w:w="4491" w:type="dxa"/>
            <w:vAlign w:val="center"/>
            <w:hideMark/>
          </w:tcPr>
          <w:p w14:paraId="7209FBD2" w14:textId="77777777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  <w:r w:rsidRPr="00B00D45">
              <w:rPr>
                <w:rFonts w:ascii="Tahoma" w:hAnsi="Tahoma" w:cs="Tahoma"/>
                <w:b/>
                <w:bCs/>
              </w:rPr>
              <w:t>Duplicate Records</w:t>
            </w:r>
          </w:p>
        </w:tc>
        <w:tc>
          <w:tcPr>
            <w:tcW w:w="4598" w:type="dxa"/>
            <w:vAlign w:val="center"/>
            <w:hideMark/>
          </w:tcPr>
          <w:p w14:paraId="040E88ED" w14:textId="77777777" w:rsidR="00B00D45" w:rsidRPr="00B00D45" w:rsidRDefault="00B00D45" w:rsidP="00B00D45">
            <w:pPr>
              <w:rPr>
                <w:rFonts w:ascii="Tahoma" w:hAnsi="Tahoma" w:cs="Tahoma"/>
              </w:rPr>
            </w:pPr>
            <w:r w:rsidRPr="00B00D45">
              <w:rPr>
                <w:rFonts w:ascii="Tahoma" w:hAnsi="Tahoma" w:cs="Tahoma"/>
              </w:rPr>
              <w:t>Checked and confirmed that no duplicate records were present.</w:t>
            </w:r>
          </w:p>
        </w:tc>
      </w:tr>
      <w:tr w:rsidR="009768BB" w:rsidRPr="00B00D45" w14:paraId="4763D038" w14:textId="77777777" w:rsidTr="009768BB">
        <w:trPr>
          <w:trHeight w:val="1412"/>
          <w:tblCellSpacing w:w="15" w:type="dxa"/>
        </w:trPr>
        <w:tc>
          <w:tcPr>
            <w:tcW w:w="4491" w:type="dxa"/>
            <w:vAlign w:val="center"/>
            <w:hideMark/>
          </w:tcPr>
          <w:p w14:paraId="03CA314A" w14:textId="77777777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  <w:r w:rsidRPr="00B00D45">
              <w:rPr>
                <w:rFonts w:ascii="Tahoma" w:hAnsi="Tahoma" w:cs="Tahoma"/>
                <w:b/>
                <w:bCs/>
              </w:rPr>
              <w:t>Data Types</w:t>
            </w:r>
          </w:p>
        </w:tc>
        <w:tc>
          <w:tcPr>
            <w:tcW w:w="4598" w:type="dxa"/>
            <w:vAlign w:val="center"/>
            <w:hideMark/>
          </w:tcPr>
          <w:p w14:paraId="7ED18838" w14:textId="77777777" w:rsidR="00B00D45" w:rsidRPr="00B00D45" w:rsidRDefault="00B00D45" w:rsidP="00B00D45">
            <w:pPr>
              <w:rPr>
                <w:rFonts w:ascii="Tahoma" w:hAnsi="Tahoma" w:cs="Tahoma"/>
              </w:rPr>
            </w:pPr>
            <w:r w:rsidRPr="00B00D45">
              <w:rPr>
                <w:rFonts w:ascii="Tahoma" w:hAnsi="Tahoma" w:cs="Tahoma"/>
              </w:rPr>
              <w:t>Checked and corrected data types where required.</w:t>
            </w:r>
          </w:p>
        </w:tc>
      </w:tr>
      <w:tr w:rsidR="009768BB" w:rsidRPr="00B00D45" w14:paraId="7BECF444" w14:textId="77777777" w:rsidTr="009768BB">
        <w:trPr>
          <w:trHeight w:val="1438"/>
          <w:tblCellSpacing w:w="15" w:type="dxa"/>
        </w:trPr>
        <w:tc>
          <w:tcPr>
            <w:tcW w:w="4491" w:type="dxa"/>
            <w:vAlign w:val="center"/>
            <w:hideMark/>
          </w:tcPr>
          <w:p w14:paraId="5B37C231" w14:textId="77777777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  <w:r w:rsidRPr="00B00D45">
              <w:rPr>
                <w:rFonts w:ascii="Tahoma" w:hAnsi="Tahoma" w:cs="Tahoma"/>
                <w:b/>
                <w:bCs/>
              </w:rPr>
              <w:t>Year Validation</w:t>
            </w:r>
          </w:p>
        </w:tc>
        <w:tc>
          <w:tcPr>
            <w:tcW w:w="4598" w:type="dxa"/>
            <w:vAlign w:val="center"/>
            <w:hideMark/>
          </w:tcPr>
          <w:p w14:paraId="0521C771" w14:textId="77777777" w:rsidR="00B00D45" w:rsidRPr="00B00D45" w:rsidRDefault="00B00D45" w:rsidP="00B00D45">
            <w:pPr>
              <w:rPr>
                <w:rFonts w:ascii="Tahoma" w:hAnsi="Tahoma" w:cs="Tahoma"/>
              </w:rPr>
            </w:pPr>
            <w:r w:rsidRPr="00B00D45">
              <w:rPr>
                <w:rFonts w:ascii="Tahoma" w:hAnsi="Tahoma" w:cs="Tahoma"/>
              </w:rPr>
              <w:t>Validated the Year column and confirmed the expected range of 2000–2025.</w:t>
            </w:r>
          </w:p>
        </w:tc>
      </w:tr>
      <w:tr w:rsidR="009768BB" w:rsidRPr="00B00D45" w14:paraId="1E78897D" w14:textId="77777777" w:rsidTr="009768BB">
        <w:trPr>
          <w:trHeight w:val="1412"/>
          <w:tblCellSpacing w:w="15" w:type="dxa"/>
        </w:trPr>
        <w:tc>
          <w:tcPr>
            <w:tcW w:w="4491" w:type="dxa"/>
            <w:vAlign w:val="center"/>
            <w:hideMark/>
          </w:tcPr>
          <w:p w14:paraId="4C63DA13" w14:textId="77777777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  <w:r w:rsidRPr="00B00D45">
              <w:rPr>
                <w:rFonts w:ascii="Tahoma" w:hAnsi="Tahoma" w:cs="Tahoma"/>
                <w:b/>
                <w:bCs/>
              </w:rPr>
              <w:t>Categorical Data</w:t>
            </w:r>
          </w:p>
        </w:tc>
        <w:tc>
          <w:tcPr>
            <w:tcW w:w="4598" w:type="dxa"/>
            <w:vAlign w:val="center"/>
            <w:hideMark/>
          </w:tcPr>
          <w:p w14:paraId="2DB1F108" w14:textId="77777777" w:rsidR="00B00D45" w:rsidRPr="00B00D45" w:rsidRDefault="00B00D45" w:rsidP="00B00D45">
            <w:pPr>
              <w:rPr>
                <w:rFonts w:ascii="Tahoma" w:hAnsi="Tahoma" w:cs="Tahoma"/>
              </w:rPr>
            </w:pPr>
            <w:r w:rsidRPr="00B00D45">
              <w:rPr>
                <w:rFonts w:ascii="Tahoma" w:hAnsi="Tahoma" w:cs="Tahoma"/>
              </w:rPr>
              <w:t>Checked Country, City, and Region values for consistency.</w:t>
            </w:r>
          </w:p>
        </w:tc>
      </w:tr>
      <w:tr w:rsidR="009768BB" w:rsidRPr="00B00D45" w14:paraId="07627856" w14:textId="77777777" w:rsidTr="009768BB">
        <w:trPr>
          <w:trHeight w:val="1438"/>
          <w:tblCellSpacing w:w="15" w:type="dxa"/>
        </w:trPr>
        <w:tc>
          <w:tcPr>
            <w:tcW w:w="4491" w:type="dxa"/>
            <w:vAlign w:val="center"/>
            <w:hideMark/>
          </w:tcPr>
          <w:p w14:paraId="113F4220" w14:textId="77777777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  <w:r w:rsidRPr="00B00D45">
              <w:rPr>
                <w:rFonts w:ascii="Tahoma" w:hAnsi="Tahoma" w:cs="Tahoma"/>
                <w:b/>
                <w:bCs/>
              </w:rPr>
              <w:t>Numeric Data</w:t>
            </w:r>
          </w:p>
        </w:tc>
        <w:tc>
          <w:tcPr>
            <w:tcW w:w="4598" w:type="dxa"/>
            <w:vAlign w:val="center"/>
            <w:hideMark/>
          </w:tcPr>
          <w:p w14:paraId="42D88491" w14:textId="77777777" w:rsidR="00B00D45" w:rsidRPr="00B00D45" w:rsidRDefault="00B00D45" w:rsidP="00B00D45">
            <w:pPr>
              <w:rPr>
                <w:rFonts w:ascii="Tahoma" w:hAnsi="Tahoma" w:cs="Tahoma"/>
              </w:rPr>
            </w:pPr>
            <w:r w:rsidRPr="00B00D45">
              <w:rPr>
                <w:rFonts w:ascii="Tahoma" w:hAnsi="Tahoma" w:cs="Tahoma"/>
              </w:rPr>
              <w:t>Checked and validated the numeric columns.</w:t>
            </w:r>
          </w:p>
        </w:tc>
      </w:tr>
      <w:tr w:rsidR="009768BB" w:rsidRPr="00B00D45" w14:paraId="62295A61" w14:textId="77777777" w:rsidTr="009768BB">
        <w:trPr>
          <w:trHeight w:val="1412"/>
          <w:tblCellSpacing w:w="15" w:type="dxa"/>
        </w:trPr>
        <w:tc>
          <w:tcPr>
            <w:tcW w:w="4491" w:type="dxa"/>
            <w:vAlign w:val="center"/>
            <w:hideMark/>
          </w:tcPr>
          <w:p w14:paraId="67AF1D8F" w14:textId="77777777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  <w:r w:rsidRPr="00B00D45">
              <w:rPr>
                <w:rFonts w:ascii="Tahoma" w:hAnsi="Tahoma" w:cs="Tahoma"/>
                <w:b/>
                <w:bCs/>
              </w:rPr>
              <w:t>Final Dataset</w:t>
            </w:r>
          </w:p>
        </w:tc>
        <w:tc>
          <w:tcPr>
            <w:tcW w:w="4598" w:type="dxa"/>
            <w:vAlign w:val="center"/>
            <w:hideMark/>
          </w:tcPr>
          <w:p w14:paraId="440DD822" w14:textId="77777777" w:rsidR="00B00D45" w:rsidRPr="00B00D45" w:rsidRDefault="00B00D45" w:rsidP="00B00D45">
            <w:pPr>
              <w:rPr>
                <w:rFonts w:ascii="Tahoma" w:hAnsi="Tahoma" w:cs="Tahoma"/>
              </w:rPr>
            </w:pPr>
            <w:r w:rsidRPr="00B00D45">
              <w:rPr>
                <w:rFonts w:ascii="Tahoma" w:hAnsi="Tahoma" w:cs="Tahoma"/>
              </w:rPr>
              <w:t>Final dataset contains 20,000 rows and 15 columns.</w:t>
            </w:r>
          </w:p>
        </w:tc>
      </w:tr>
    </w:tbl>
    <w:p w14:paraId="5A90DAA7" w14:textId="4F5C14C6" w:rsidR="00B00D45" w:rsidRDefault="000507F0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br w:type="page"/>
      </w:r>
    </w:p>
    <w:tbl>
      <w:tblPr>
        <w:tblW w:w="7104" w:type="dxa"/>
        <w:tblCellSpacing w:w="15" w:type="dxa"/>
        <w:tblInd w:w="20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"/>
        <w:gridCol w:w="7009"/>
      </w:tblGrid>
      <w:tr w:rsidR="00B00D45" w:rsidRPr="00B00D45" w14:paraId="2F511F2D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0221258B" w14:textId="69D31EEA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CA9F60D" w14:textId="25347E04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49D4EE07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5625D2A5" w14:textId="731C4E3F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40EE0DB" w14:textId="6355F170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5875551B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08BC4C6D" w14:textId="3B8B200B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ACCA8D2" w14:textId="1FF2AAB2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371BC8A9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284EDE54" w14:textId="6B6F5A33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4B3F71B" w14:textId="6359145F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7F80C502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3FEDCCFE" w14:textId="34901BC2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0DDFEB2" w14:textId="29E440A1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43FF6D96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0A12CF79" w14:textId="7E95996F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EADFE3F" w14:textId="1785AEF5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49BB7023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391BDDE6" w14:textId="55B47ABA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D1C8230" w14:textId="4C2C2C83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4F43ABDC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36C9BC91" w14:textId="11DEBB6F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453D5F2" w14:textId="07D502F2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57CB487D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023E10B3" w14:textId="58352555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21341AD" w14:textId="32AAA97E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6E52F0DD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2CA8CE8F" w14:textId="5A162041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309140C" w14:textId="09E61090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56576896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7EEF4CB0" w14:textId="3F881A1F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D5DE643" w14:textId="1DE04371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74D84C9E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725430EF" w14:textId="4B2F114F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2E636FD" w14:textId="635EE975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19F4CB2C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290038E5" w14:textId="136A4C6E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8936776" w14:textId="67B7DB70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1844E871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5F231E64" w14:textId="363D999E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151C023" w14:textId="7002CB49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78F0D15B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2695F5D8" w14:textId="1BE21462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2051B2F" w14:textId="743B2407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11778EBB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499C96DB" w14:textId="42B1C59F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75420B5" w14:textId="4B34C68C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0AD7955C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1D13A939" w14:textId="7F6BB426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64FB4CB" w14:textId="38F739A8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5D0624C8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0B899416" w14:textId="132B174E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802C32B" w14:textId="61EB1901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47B7CE31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4FBDF687" w14:textId="16CF2BA5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5A78C22" w14:textId="7729B9F0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143D8AA3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716DFF78" w14:textId="7622F85A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3EE9E59" w14:textId="24CA0B5F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330F4B3C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17FC3B93" w14:textId="79D7AEEC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2863E42" w14:textId="369E816B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3A3ADAC2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6CC60DCB" w14:textId="61F0C969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50C0C27" w14:textId="625E97C2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7005C705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7EE70CDB" w14:textId="592A6D69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0E5193C" w14:textId="6D6BBC79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5F989914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28B0FBD0" w14:textId="5377CBEE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8B91648" w14:textId="5F441F76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1151BA26" w14:textId="77777777" w:rsidTr="00B00D45">
        <w:trPr>
          <w:tblHeader/>
          <w:tblCellSpacing w:w="15" w:type="dxa"/>
        </w:trPr>
        <w:tc>
          <w:tcPr>
            <w:tcW w:w="50" w:type="dxa"/>
            <w:vAlign w:val="center"/>
          </w:tcPr>
          <w:p w14:paraId="48F51EE3" w14:textId="20265CA9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EAEC1E7" w14:textId="35D7500A" w:rsidR="00B00D45" w:rsidRPr="00B00D45" w:rsidRDefault="00B00D45" w:rsidP="00B00D4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B00D45" w:rsidRPr="00B00D45" w14:paraId="672FDC59" w14:textId="77777777" w:rsidTr="00B00D45">
        <w:trPr>
          <w:tblCellSpacing w:w="15" w:type="dxa"/>
        </w:trPr>
        <w:tc>
          <w:tcPr>
            <w:tcW w:w="50" w:type="dxa"/>
            <w:vAlign w:val="center"/>
          </w:tcPr>
          <w:p w14:paraId="075F07C5" w14:textId="5519F693" w:rsidR="00B00D45" w:rsidRPr="00B00D45" w:rsidRDefault="00B00D45" w:rsidP="00B00D45">
            <w:pPr>
              <w:rPr>
                <w:rFonts w:ascii="Tahoma" w:hAnsi="Tahoma" w:cs="Tahoma"/>
              </w:rPr>
            </w:pPr>
          </w:p>
        </w:tc>
        <w:tc>
          <w:tcPr>
            <w:tcW w:w="0" w:type="auto"/>
            <w:vAlign w:val="center"/>
          </w:tcPr>
          <w:p w14:paraId="63B9BA60" w14:textId="7ABD8EBE" w:rsidR="00B00D45" w:rsidRPr="00B00D45" w:rsidRDefault="00B00D45" w:rsidP="00B00D45">
            <w:pPr>
              <w:rPr>
                <w:rFonts w:ascii="Tahoma" w:hAnsi="Tahoma" w:cs="Tahoma"/>
              </w:rPr>
            </w:pPr>
          </w:p>
        </w:tc>
      </w:tr>
      <w:tr w:rsidR="00B00D45" w:rsidRPr="00B00D45" w14:paraId="00B14215" w14:textId="77777777" w:rsidTr="00B00D45">
        <w:trPr>
          <w:tblCellSpacing w:w="15" w:type="dxa"/>
        </w:trPr>
        <w:tc>
          <w:tcPr>
            <w:tcW w:w="50" w:type="dxa"/>
            <w:vAlign w:val="center"/>
          </w:tcPr>
          <w:p w14:paraId="32253C9E" w14:textId="2A55FD21" w:rsidR="00B00D45" w:rsidRPr="00B00D45" w:rsidRDefault="00B00D45" w:rsidP="00B00D45">
            <w:pPr>
              <w:rPr>
                <w:rFonts w:ascii="Tahoma" w:hAnsi="Tahoma" w:cs="Tahoma"/>
              </w:rPr>
            </w:pPr>
          </w:p>
        </w:tc>
        <w:tc>
          <w:tcPr>
            <w:tcW w:w="0" w:type="auto"/>
            <w:vAlign w:val="center"/>
          </w:tcPr>
          <w:p w14:paraId="59933DA8" w14:textId="60154070" w:rsidR="00B00D45" w:rsidRPr="00B00D45" w:rsidRDefault="00B00D45" w:rsidP="00B00D45">
            <w:pPr>
              <w:rPr>
                <w:rFonts w:ascii="Tahoma" w:hAnsi="Tahoma" w:cs="Tahoma"/>
              </w:rPr>
            </w:pPr>
          </w:p>
        </w:tc>
      </w:tr>
      <w:tr w:rsidR="00B00D45" w:rsidRPr="00B00D45" w14:paraId="51468FBB" w14:textId="77777777" w:rsidTr="00B00D45">
        <w:trPr>
          <w:tblCellSpacing w:w="15" w:type="dxa"/>
        </w:trPr>
        <w:tc>
          <w:tcPr>
            <w:tcW w:w="50" w:type="dxa"/>
            <w:vAlign w:val="center"/>
          </w:tcPr>
          <w:p w14:paraId="2B40D042" w14:textId="0CDEEB0F" w:rsidR="00B00D45" w:rsidRPr="00B00D45" w:rsidRDefault="00B00D45" w:rsidP="00B00D45">
            <w:pPr>
              <w:rPr>
                <w:rFonts w:ascii="Tahoma" w:hAnsi="Tahoma" w:cs="Tahoma"/>
              </w:rPr>
            </w:pPr>
          </w:p>
        </w:tc>
        <w:tc>
          <w:tcPr>
            <w:tcW w:w="0" w:type="auto"/>
            <w:vAlign w:val="center"/>
          </w:tcPr>
          <w:p w14:paraId="70824965" w14:textId="3FDC98CE" w:rsidR="00B00D45" w:rsidRPr="00B00D45" w:rsidRDefault="00B00D45" w:rsidP="00B00D45">
            <w:pPr>
              <w:rPr>
                <w:rFonts w:ascii="Tahoma" w:hAnsi="Tahoma" w:cs="Tahoma"/>
              </w:rPr>
            </w:pPr>
          </w:p>
        </w:tc>
      </w:tr>
      <w:tr w:rsidR="00B00D45" w:rsidRPr="00B00D45" w14:paraId="7B3F0083" w14:textId="77777777" w:rsidTr="00B00D45">
        <w:trPr>
          <w:tblCellSpacing w:w="15" w:type="dxa"/>
        </w:trPr>
        <w:tc>
          <w:tcPr>
            <w:tcW w:w="50" w:type="dxa"/>
            <w:vAlign w:val="center"/>
          </w:tcPr>
          <w:p w14:paraId="1B04C7B0" w14:textId="2C0137E8" w:rsidR="00B00D45" w:rsidRPr="00B00D45" w:rsidRDefault="00B00D45" w:rsidP="00B00D45">
            <w:pPr>
              <w:rPr>
                <w:rFonts w:ascii="Tahoma" w:hAnsi="Tahoma" w:cs="Tahoma"/>
              </w:rPr>
            </w:pPr>
          </w:p>
        </w:tc>
        <w:tc>
          <w:tcPr>
            <w:tcW w:w="0" w:type="auto"/>
            <w:vAlign w:val="center"/>
          </w:tcPr>
          <w:p w14:paraId="216D5ABE" w14:textId="5EEC5838" w:rsidR="00B00D45" w:rsidRPr="00B00D45" w:rsidRDefault="00B00D45" w:rsidP="00B00D45">
            <w:pPr>
              <w:rPr>
                <w:rFonts w:ascii="Tahoma" w:hAnsi="Tahoma" w:cs="Tahoma"/>
              </w:rPr>
            </w:pPr>
          </w:p>
        </w:tc>
      </w:tr>
      <w:tr w:rsidR="00B00D45" w:rsidRPr="00B00D45" w14:paraId="1911D029" w14:textId="77777777" w:rsidTr="00B00D45">
        <w:trPr>
          <w:tblCellSpacing w:w="15" w:type="dxa"/>
        </w:trPr>
        <w:tc>
          <w:tcPr>
            <w:tcW w:w="50" w:type="dxa"/>
            <w:vAlign w:val="center"/>
          </w:tcPr>
          <w:p w14:paraId="3B03AB75" w14:textId="082D4E44" w:rsidR="00B00D45" w:rsidRPr="00B00D45" w:rsidRDefault="00B00D45" w:rsidP="00B00D45">
            <w:pPr>
              <w:rPr>
                <w:rFonts w:ascii="Tahoma" w:hAnsi="Tahoma" w:cs="Tahoma"/>
              </w:rPr>
            </w:pPr>
          </w:p>
        </w:tc>
        <w:tc>
          <w:tcPr>
            <w:tcW w:w="0" w:type="auto"/>
            <w:vAlign w:val="center"/>
          </w:tcPr>
          <w:p w14:paraId="16D589BD" w14:textId="45CA97C6" w:rsidR="00B00D45" w:rsidRPr="00B00D45" w:rsidRDefault="00B00D45" w:rsidP="00B00D45">
            <w:pPr>
              <w:rPr>
                <w:rFonts w:ascii="Tahoma" w:hAnsi="Tahoma" w:cs="Tahoma"/>
              </w:rPr>
            </w:pPr>
          </w:p>
        </w:tc>
      </w:tr>
      <w:tr w:rsidR="00B00D45" w:rsidRPr="00B00D45" w14:paraId="290B88DF" w14:textId="77777777" w:rsidTr="00B00D45">
        <w:trPr>
          <w:tblCellSpacing w:w="15" w:type="dxa"/>
        </w:trPr>
        <w:tc>
          <w:tcPr>
            <w:tcW w:w="50" w:type="dxa"/>
            <w:vAlign w:val="center"/>
          </w:tcPr>
          <w:p w14:paraId="5B6B66B8" w14:textId="67F1CD8E" w:rsidR="00B00D45" w:rsidRPr="00B00D45" w:rsidRDefault="00B00D45" w:rsidP="00B00D45">
            <w:pPr>
              <w:rPr>
                <w:rFonts w:ascii="Tahoma" w:hAnsi="Tahoma" w:cs="Tahoma"/>
              </w:rPr>
            </w:pPr>
          </w:p>
        </w:tc>
        <w:tc>
          <w:tcPr>
            <w:tcW w:w="0" w:type="auto"/>
            <w:vAlign w:val="center"/>
          </w:tcPr>
          <w:p w14:paraId="42509907" w14:textId="4D20372E" w:rsidR="00B00D45" w:rsidRPr="00B00D45" w:rsidRDefault="00B00D45" w:rsidP="00B00D45">
            <w:pPr>
              <w:rPr>
                <w:rFonts w:ascii="Tahoma" w:hAnsi="Tahoma" w:cs="Tahoma"/>
              </w:rPr>
            </w:pPr>
          </w:p>
        </w:tc>
      </w:tr>
      <w:tr w:rsidR="00B00D45" w:rsidRPr="00B00D45" w14:paraId="37399903" w14:textId="77777777" w:rsidTr="00B00D45">
        <w:trPr>
          <w:tblCellSpacing w:w="15" w:type="dxa"/>
        </w:trPr>
        <w:tc>
          <w:tcPr>
            <w:tcW w:w="50" w:type="dxa"/>
            <w:vAlign w:val="center"/>
          </w:tcPr>
          <w:p w14:paraId="3A8E98FF" w14:textId="1D3FC664" w:rsidR="00B00D45" w:rsidRPr="00B00D45" w:rsidRDefault="00B00D45" w:rsidP="00B00D45">
            <w:pPr>
              <w:rPr>
                <w:rFonts w:ascii="Tahoma" w:hAnsi="Tahoma" w:cs="Tahoma"/>
              </w:rPr>
            </w:pPr>
          </w:p>
        </w:tc>
        <w:tc>
          <w:tcPr>
            <w:tcW w:w="0" w:type="auto"/>
            <w:vAlign w:val="center"/>
          </w:tcPr>
          <w:p w14:paraId="0B903B24" w14:textId="4267A55D" w:rsidR="00B00D45" w:rsidRPr="00B00D45" w:rsidRDefault="00B00D45" w:rsidP="00B00D45">
            <w:pPr>
              <w:rPr>
                <w:rFonts w:ascii="Tahoma" w:hAnsi="Tahoma" w:cs="Tahoma"/>
              </w:rPr>
            </w:pPr>
          </w:p>
        </w:tc>
      </w:tr>
    </w:tbl>
    <w:p w14:paraId="4D8E6014" w14:textId="5222BF3A" w:rsidR="000507F0" w:rsidRDefault="000507F0">
      <w:pPr>
        <w:rPr>
          <w:rFonts w:ascii="Tahoma" w:hAnsi="Tahoma" w:cs="Tahoma"/>
          <w:lang w:val="en-US"/>
        </w:rPr>
      </w:pPr>
    </w:p>
    <w:p w14:paraId="28DE09EA" w14:textId="77777777" w:rsidR="00E10B14" w:rsidRPr="00DA1E85" w:rsidRDefault="00E10B14" w:rsidP="00DA1E85">
      <w:pPr>
        <w:jc w:val="right"/>
        <w:rPr>
          <w:rFonts w:ascii="Tahoma" w:hAnsi="Tahoma" w:cs="Tahoma"/>
          <w:lang w:val="en-US"/>
        </w:rPr>
      </w:pPr>
    </w:p>
    <w:sectPr w:rsidR="00E10B14" w:rsidRPr="00DA1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F90F0" w14:textId="77777777" w:rsidR="00E10B14" w:rsidRDefault="00E10B14" w:rsidP="00E10B14">
      <w:pPr>
        <w:spacing w:after="0" w:line="240" w:lineRule="auto"/>
      </w:pPr>
      <w:r>
        <w:separator/>
      </w:r>
    </w:p>
  </w:endnote>
  <w:endnote w:type="continuationSeparator" w:id="0">
    <w:p w14:paraId="5B4FD2F7" w14:textId="77777777" w:rsidR="00E10B14" w:rsidRDefault="00E10B14" w:rsidP="00E10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772BC" w14:textId="77777777" w:rsidR="00E10B14" w:rsidRDefault="00E10B14" w:rsidP="00E10B14">
      <w:pPr>
        <w:spacing w:after="0" w:line="240" w:lineRule="auto"/>
      </w:pPr>
      <w:r>
        <w:separator/>
      </w:r>
    </w:p>
  </w:footnote>
  <w:footnote w:type="continuationSeparator" w:id="0">
    <w:p w14:paraId="7D9B6FEE" w14:textId="77777777" w:rsidR="00E10B14" w:rsidRDefault="00E10B14" w:rsidP="00E10B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03293"/>
    <w:multiLevelType w:val="multilevel"/>
    <w:tmpl w:val="FE42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45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14"/>
    <w:rsid w:val="000507F0"/>
    <w:rsid w:val="00254B72"/>
    <w:rsid w:val="0053168B"/>
    <w:rsid w:val="007D6437"/>
    <w:rsid w:val="00874CC9"/>
    <w:rsid w:val="00897BAC"/>
    <w:rsid w:val="009164EA"/>
    <w:rsid w:val="009768BB"/>
    <w:rsid w:val="00A07ED5"/>
    <w:rsid w:val="00B00D45"/>
    <w:rsid w:val="00BF725A"/>
    <w:rsid w:val="00C10E8D"/>
    <w:rsid w:val="00CA63F6"/>
    <w:rsid w:val="00DA1E85"/>
    <w:rsid w:val="00E10B14"/>
    <w:rsid w:val="00E405D1"/>
    <w:rsid w:val="00EA70B7"/>
    <w:rsid w:val="00F1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4BA48"/>
  <w15:chartTrackingRefBased/>
  <w15:docId w15:val="{8AC2A283-AD55-4206-A886-525506EE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0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0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B14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E10B14"/>
    <w:rPr>
      <w:smallCaps/>
      <w:color w:val="5A5A5A" w:themeColor="text1" w:themeTint="A5"/>
    </w:rPr>
  </w:style>
  <w:style w:type="paragraph" w:styleId="Header">
    <w:name w:val="header"/>
    <w:basedOn w:val="Normal"/>
    <w:link w:val="HeaderChar"/>
    <w:uiPriority w:val="99"/>
    <w:unhideWhenUsed/>
    <w:rsid w:val="00E10B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B14"/>
  </w:style>
  <w:style w:type="paragraph" w:styleId="Footer">
    <w:name w:val="footer"/>
    <w:basedOn w:val="Normal"/>
    <w:link w:val="FooterChar"/>
    <w:uiPriority w:val="99"/>
    <w:unhideWhenUsed/>
    <w:rsid w:val="00E10B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B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Reddy Satti</dc:creator>
  <cp:keywords/>
  <dc:description/>
  <cp:lastModifiedBy>Reshma Reddy Satti</cp:lastModifiedBy>
  <cp:revision>2</cp:revision>
  <dcterms:created xsi:type="dcterms:W3CDTF">2026-08-07T12:21:00Z</dcterms:created>
  <dcterms:modified xsi:type="dcterms:W3CDTF">2026-08-07T12:21:00Z</dcterms:modified>
</cp:coreProperties>
</file>